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6F25" w14:textId="77777777" w:rsidR="00F2386A" w:rsidRDefault="00F2386A" w:rsidP="00891FA7">
      <w:pPr>
        <w:rPr>
          <w:rStyle w:val="Style1"/>
        </w:rPr>
      </w:pPr>
    </w:p>
    <w:p w14:paraId="35441FB4" w14:textId="77777777" w:rsidR="00891FA7" w:rsidRPr="00CC7B3D" w:rsidRDefault="00891FA7" w:rsidP="00891FA7">
      <w:pPr>
        <w:rPr>
          <w:rStyle w:val="Style1"/>
        </w:rPr>
      </w:pPr>
    </w:p>
    <w:p w14:paraId="11E12C3F" w14:textId="693D1614" w:rsidR="00D07031" w:rsidRPr="00417FB4" w:rsidRDefault="00891FA7" w:rsidP="00D07031">
      <w:pPr>
        <w:jc w:val="center"/>
        <w:rPr>
          <w:b/>
          <w:sz w:val="36"/>
          <w:szCs w:val="36"/>
        </w:rPr>
      </w:pPr>
      <w:bookmarkStart w:id="0" w:name="_Toc517798894"/>
      <w:bookmarkStart w:id="1" w:name="_Toc519602226"/>
      <w:bookmarkStart w:id="2" w:name="_Toc519602307"/>
      <w:r>
        <w:rPr>
          <w:b/>
          <w:sz w:val="36"/>
          <w:szCs w:val="36"/>
        </w:rPr>
        <w:t xml:space="preserve">U.S. </w:t>
      </w:r>
      <w:r w:rsidR="004E672B" w:rsidRPr="00120F39">
        <w:rPr>
          <w:b/>
          <w:sz w:val="36"/>
          <w:szCs w:val="36"/>
        </w:rPr>
        <w:t>D</w:t>
      </w:r>
      <w:r w:rsidR="004E672B" w:rsidRPr="6BB432CC">
        <w:rPr>
          <w:b/>
          <w:sz w:val="36"/>
          <w:szCs w:val="36"/>
        </w:rPr>
        <w:t>epartment of Energy (DOE)</w:t>
      </w:r>
    </w:p>
    <w:p w14:paraId="0E330FED" w14:textId="0C45B9C4" w:rsidR="00CC7B3D" w:rsidRDefault="004E672B" w:rsidP="00A0557C">
      <w:pPr>
        <w:jc w:val="center"/>
        <w:rPr>
          <w:b/>
          <w:sz w:val="36"/>
          <w:szCs w:val="36"/>
        </w:rPr>
      </w:pPr>
      <w:r w:rsidRPr="6BB432CC">
        <w:rPr>
          <w:b/>
          <w:sz w:val="36"/>
          <w:szCs w:val="36"/>
        </w:rPr>
        <w:t>Office of Energy Efficiency and Renewable Energy (EERE)</w:t>
      </w:r>
    </w:p>
    <w:p w14:paraId="69F44A99" w14:textId="77777777" w:rsidR="00A0557C" w:rsidRPr="00A0557C" w:rsidRDefault="00A0557C" w:rsidP="00A0557C">
      <w:pPr>
        <w:jc w:val="center"/>
        <w:rPr>
          <w:b/>
          <w:sz w:val="36"/>
          <w:szCs w:val="36"/>
        </w:rPr>
      </w:pPr>
    </w:p>
    <w:p w14:paraId="17AC4FB0" w14:textId="719B2B02" w:rsidR="00A0557C" w:rsidRDefault="00213CF4" w:rsidP="00E832C0">
      <w:pPr>
        <w:jc w:val="center"/>
        <w:rPr>
          <w:b/>
          <w:sz w:val="36"/>
          <w:szCs w:val="36"/>
        </w:rPr>
      </w:pPr>
      <w:r>
        <w:rPr>
          <w:b/>
          <w:sz w:val="36"/>
          <w:szCs w:val="36"/>
        </w:rPr>
        <w:t xml:space="preserve">Bipartisan Infrastructure Law (BIL) </w:t>
      </w:r>
      <w:r w:rsidR="002E3F3A">
        <w:rPr>
          <w:b/>
          <w:sz w:val="36"/>
          <w:szCs w:val="36"/>
        </w:rPr>
        <w:t>Solar and Wind Grid Services and Reliability Demonstration</w:t>
      </w:r>
    </w:p>
    <w:p w14:paraId="18E614EE" w14:textId="77777777" w:rsidR="007849F3" w:rsidRPr="00A0557C" w:rsidRDefault="007849F3" w:rsidP="00E832C0">
      <w:pPr>
        <w:jc w:val="center"/>
        <w:rPr>
          <w:b/>
          <w:sz w:val="36"/>
          <w:szCs w:val="36"/>
        </w:rPr>
      </w:pPr>
    </w:p>
    <w:p w14:paraId="18550949" w14:textId="6DA83E54" w:rsidR="00D07031" w:rsidRPr="00120F39" w:rsidRDefault="004E672B" w:rsidP="00E832C0">
      <w:pPr>
        <w:jc w:val="center"/>
        <w:rPr>
          <w:b/>
          <w:sz w:val="28"/>
          <w:szCs w:val="28"/>
        </w:rPr>
      </w:pPr>
      <w:r w:rsidRPr="00120F39">
        <w:rPr>
          <w:b/>
          <w:sz w:val="28"/>
          <w:szCs w:val="28"/>
        </w:rPr>
        <w:t xml:space="preserve">Funding Opportunity Announcement (FOA) Number: </w:t>
      </w:r>
      <w:r w:rsidR="006757DF">
        <w:rPr>
          <w:b/>
          <w:sz w:val="28"/>
          <w:szCs w:val="28"/>
        </w:rPr>
        <w:t>DE-FOA-0002745</w:t>
      </w:r>
    </w:p>
    <w:p w14:paraId="1151EB52" w14:textId="47A2632B" w:rsidR="00D07031" w:rsidRPr="00665B37" w:rsidRDefault="004E672B" w:rsidP="00D07031">
      <w:pPr>
        <w:jc w:val="center"/>
        <w:rPr>
          <w:rStyle w:val="Style3"/>
        </w:rPr>
      </w:pPr>
      <w:r w:rsidRPr="00F7481E">
        <w:rPr>
          <w:b/>
          <w:sz w:val="28"/>
          <w:szCs w:val="28"/>
          <w:highlight w:val="yellow"/>
        </w:rPr>
        <w:t xml:space="preserve">FOA Type: </w:t>
      </w:r>
      <w:r w:rsidR="00F7481E" w:rsidRPr="00F7481E">
        <w:rPr>
          <w:rStyle w:val="Style4"/>
          <w:highlight w:val="yellow"/>
        </w:rPr>
        <w:t>Modification 0000</w:t>
      </w:r>
      <w:r w:rsidR="00F7481E" w:rsidRPr="000D1B73">
        <w:rPr>
          <w:rStyle w:val="Style4"/>
          <w:highlight w:val="yellow"/>
        </w:rPr>
        <w:t>0</w:t>
      </w:r>
      <w:r w:rsidR="000D1B73" w:rsidRPr="000D1B73">
        <w:rPr>
          <w:rStyle w:val="Style4"/>
          <w:highlight w:val="yellow"/>
        </w:rPr>
        <w:t>3</w:t>
      </w:r>
    </w:p>
    <w:p w14:paraId="0EBD6C4E" w14:textId="7DD2D0CD" w:rsidR="00D07031" w:rsidRPr="008858B4" w:rsidRDefault="004E672B" w:rsidP="00D07031">
      <w:pPr>
        <w:jc w:val="center"/>
      </w:pPr>
      <w:r w:rsidRPr="6BB432CC">
        <w:rPr>
          <w:b/>
          <w:sz w:val="28"/>
          <w:szCs w:val="28"/>
        </w:rPr>
        <w:t xml:space="preserve">CFDA Number: </w:t>
      </w:r>
      <w:r w:rsidR="00D75D9F">
        <w:rPr>
          <w:b/>
          <w:sz w:val="28"/>
          <w:szCs w:val="28"/>
        </w:rPr>
        <w:t>81.087</w:t>
      </w:r>
    </w:p>
    <w:p w14:paraId="13F092B4" w14:textId="0DCE18EA" w:rsidR="00D07031" w:rsidRPr="008858B4" w:rsidRDefault="00D07031" w:rsidP="00D07031"/>
    <w:tbl>
      <w:tblPr>
        <w:tblStyle w:val="TableGrid"/>
        <w:tblW w:w="0" w:type="auto"/>
        <w:jc w:val="center"/>
        <w:tblLook w:val="04A0" w:firstRow="1" w:lastRow="0" w:firstColumn="1" w:lastColumn="0" w:noHBand="0" w:noVBand="1"/>
      </w:tblPr>
      <w:tblGrid>
        <w:gridCol w:w="6025"/>
        <w:gridCol w:w="2430"/>
      </w:tblGrid>
      <w:tr w:rsidR="00BF65D1" w14:paraId="6E00072D" w14:textId="77777777" w:rsidTr="0006734F">
        <w:trPr>
          <w:jc w:val="center"/>
        </w:trPr>
        <w:tc>
          <w:tcPr>
            <w:tcW w:w="6025" w:type="dxa"/>
          </w:tcPr>
          <w:p w14:paraId="0F38B6DF" w14:textId="0104A26B" w:rsidR="00D07031" w:rsidRPr="008858B4" w:rsidRDefault="004E672B" w:rsidP="00390B40">
            <w:pPr>
              <w:rPr>
                <w:b/>
                <w:sz w:val="21"/>
                <w:szCs w:val="21"/>
              </w:rPr>
            </w:pPr>
            <w:r w:rsidRPr="00891C66">
              <w:rPr>
                <w:b/>
                <w:sz w:val="21"/>
                <w:szCs w:val="21"/>
              </w:rPr>
              <w:t>FOA Issue Date</w:t>
            </w:r>
            <w:r>
              <w:rPr>
                <w:b/>
                <w:sz w:val="21"/>
                <w:szCs w:val="21"/>
              </w:rPr>
              <w:t>:</w:t>
            </w:r>
            <w:r w:rsidR="007E480A">
              <w:rPr>
                <w:b/>
                <w:sz w:val="21"/>
                <w:szCs w:val="21"/>
              </w:rPr>
              <w:t xml:space="preserve"> </w:t>
            </w:r>
          </w:p>
        </w:tc>
        <w:tc>
          <w:tcPr>
            <w:tcW w:w="2430" w:type="dxa"/>
          </w:tcPr>
          <w:p w14:paraId="0DCC3453" w14:textId="0DAF596C" w:rsidR="00D07031" w:rsidRPr="005C7876" w:rsidRDefault="0006734F" w:rsidP="00FE56A3">
            <w:pPr>
              <w:rPr>
                <w:sz w:val="21"/>
                <w:szCs w:val="21"/>
              </w:rPr>
            </w:pPr>
            <w:r>
              <w:rPr>
                <w:sz w:val="21"/>
                <w:szCs w:val="21"/>
              </w:rPr>
              <w:t>8</w:t>
            </w:r>
            <w:r w:rsidR="00043971">
              <w:rPr>
                <w:sz w:val="21"/>
                <w:szCs w:val="21"/>
              </w:rPr>
              <w:t>/</w:t>
            </w:r>
            <w:r>
              <w:rPr>
                <w:sz w:val="21"/>
                <w:szCs w:val="21"/>
              </w:rPr>
              <w:t>2</w:t>
            </w:r>
            <w:r w:rsidR="00043971">
              <w:rPr>
                <w:sz w:val="21"/>
                <w:szCs w:val="21"/>
              </w:rPr>
              <w:t>/2022</w:t>
            </w:r>
          </w:p>
        </w:tc>
      </w:tr>
      <w:tr w:rsidR="00BF65D1" w14:paraId="2CBBE9D3" w14:textId="77777777" w:rsidTr="0006734F">
        <w:trPr>
          <w:jc w:val="center"/>
        </w:trPr>
        <w:tc>
          <w:tcPr>
            <w:tcW w:w="6025" w:type="dxa"/>
          </w:tcPr>
          <w:p w14:paraId="26474414" w14:textId="54BA34ED" w:rsidR="00D07031" w:rsidRPr="008858B4" w:rsidRDefault="004E672B" w:rsidP="00FA40F4">
            <w:pPr>
              <w:rPr>
                <w:b/>
                <w:sz w:val="21"/>
                <w:szCs w:val="21"/>
              </w:rPr>
            </w:pPr>
            <w:r w:rsidRPr="00714C9F">
              <w:rPr>
                <w:b/>
                <w:sz w:val="21"/>
                <w:szCs w:val="21"/>
              </w:rPr>
              <w:t>Informational Webinar:</w:t>
            </w:r>
            <w:r w:rsidR="007E480A">
              <w:rPr>
                <w:b/>
                <w:sz w:val="21"/>
                <w:szCs w:val="21"/>
              </w:rPr>
              <w:t xml:space="preserve"> </w:t>
            </w:r>
          </w:p>
        </w:tc>
        <w:tc>
          <w:tcPr>
            <w:tcW w:w="2430" w:type="dxa"/>
          </w:tcPr>
          <w:p w14:paraId="170B6F5C" w14:textId="0D1086B7" w:rsidR="00D07031" w:rsidRPr="005C7876" w:rsidRDefault="00043971" w:rsidP="00E76325">
            <w:pPr>
              <w:rPr>
                <w:sz w:val="21"/>
                <w:szCs w:val="21"/>
              </w:rPr>
            </w:pPr>
            <w:r>
              <w:rPr>
                <w:sz w:val="21"/>
                <w:szCs w:val="21"/>
              </w:rPr>
              <w:t>8/1</w:t>
            </w:r>
            <w:r w:rsidR="0006734F">
              <w:rPr>
                <w:sz w:val="21"/>
                <w:szCs w:val="21"/>
              </w:rPr>
              <w:t>7</w:t>
            </w:r>
            <w:r>
              <w:rPr>
                <w:sz w:val="21"/>
                <w:szCs w:val="21"/>
              </w:rPr>
              <w:t xml:space="preserve">/2022 </w:t>
            </w:r>
            <w:r w:rsidR="007E480A">
              <w:rPr>
                <w:sz w:val="21"/>
                <w:szCs w:val="21"/>
              </w:rPr>
              <w:t>1:00pm ET</w:t>
            </w:r>
          </w:p>
        </w:tc>
      </w:tr>
      <w:tr w:rsidR="00BF65D1" w14:paraId="07FA6141" w14:textId="77777777" w:rsidTr="0006734F">
        <w:trPr>
          <w:jc w:val="center"/>
        </w:trPr>
        <w:tc>
          <w:tcPr>
            <w:tcW w:w="6025" w:type="dxa"/>
          </w:tcPr>
          <w:p w14:paraId="40060F7B" w14:textId="51E74EA9" w:rsidR="00FE56A3" w:rsidRPr="00120F39" w:rsidRDefault="004E672B" w:rsidP="00FE56A3">
            <w:pPr>
              <w:rPr>
                <w:b/>
                <w:sz w:val="21"/>
                <w:szCs w:val="21"/>
              </w:rPr>
            </w:pPr>
            <w:r w:rsidRPr="00697CFD">
              <w:rPr>
                <w:b/>
                <w:sz w:val="21"/>
                <w:szCs w:val="21"/>
              </w:rPr>
              <w:t>Submission Deadline for Concept Papers</w:t>
            </w:r>
            <w:r>
              <w:rPr>
                <w:b/>
                <w:sz w:val="21"/>
                <w:szCs w:val="21"/>
              </w:rPr>
              <w:t>:</w:t>
            </w:r>
            <w:r w:rsidR="002E3F3A">
              <w:rPr>
                <w:b/>
                <w:sz w:val="21"/>
                <w:szCs w:val="21"/>
              </w:rPr>
              <w:t xml:space="preserve"> </w:t>
            </w:r>
          </w:p>
        </w:tc>
        <w:tc>
          <w:tcPr>
            <w:tcW w:w="2430" w:type="dxa"/>
          </w:tcPr>
          <w:p w14:paraId="438CB4A1" w14:textId="1E5ADE6F" w:rsidR="00FE56A3" w:rsidRPr="005C7876" w:rsidRDefault="00BC0FCC" w:rsidP="00FE56A3">
            <w:pPr>
              <w:rPr>
                <w:sz w:val="21"/>
                <w:szCs w:val="21"/>
              </w:rPr>
            </w:pPr>
            <w:r w:rsidRPr="00094F67">
              <w:rPr>
                <w:sz w:val="21"/>
                <w:szCs w:val="21"/>
                <w:highlight w:val="yellow"/>
              </w:rPr>
              <w:t>9</w:t>
            </w:r>
            <w:r w:rsidR="00043971" w:rsidRPr="00094F67">
              <w:rPr>
                <w:sz w:val="21"/>
                <w:szCs w:val="21"/>
                <w:highlight w:val="yellow"/>
              </w:rPr>
              <w:t>/</w:t>
            </w:r>
            <w:r w:rsidR="00094F67" w:rsidRPr="00094F67">
              <w:rPr>
                <w:sz w:val="21"/>
                <w:szCs w:val="21"/>
                <w:highlight w:val="yellow"/>
              </w:rPr>
              <w:t>15</w:t>
            </w:r>
            <w:r w:rsidR="00043971" w:rsidRPr="00094F67">
              <w:rPr>
                <w:sz w:val="21"/>
                <w:szCs w:val="21"/>
                <w:highlight w:val="yellow"/>
              </w:rPr>
              <w:t xml:space="preserve">/2022 </w:t>
            </w:r>
            <w:r w:rsidR="004E672B" w:rsidRPr="00094F67">
              <w:rPr>
                <w:sz w:val="21"/>
                <w:szCs w:val="21"/>
                <w:highlight w:val="yellow"/>
              </w:rPr>
              <w:t>5:00pm ET</w:t>
            </w:r>
          </w:p>
        </w:tc>
      </w:tr>
      <w:tr w:rsidR="00BF65D1" w14:paraId="479EEB26" w14:textId="77777777" w:rsidTr="0006734F">
        <w:trPr>
          <w:jc w:val="center"/>
        </w:trPr>
        <w:tc>
          <w:tcPr>
            <w:tcW w:w="6025" w:type="dxa"/>
          </w:tcPr>
          <w:p w14:paraId="2B71A925" w14:textId="32F0CF20" w:rsidR="00FE56A3" w:rsidRPr="00120F39" w:rsidRDefault="004E672B" w:rsidP="00FE56A3">
            <w:pPr>
              <w:rPr>
                <w:b/>
                <w:sz w:val="21"/>
                <w:szCs w:val="21"/>
              </w:rPr>
            </w:pPr>
            <w:r w:rsidRPr="00152174">
              <w:rPr>
                <w:b/>
                <w:sz w:val="21"/>
                <w:szCs w:val="21"/>
              </w:rPr>
              <w:t>Submission Deadline for Full Applications</w:t>
            </w:r>
            <w:r>
              <w:rPr>
                <w:b/>
                <w:sz w:val="21"/>
                <w:szCs w:val="21"/>
              </w:rPr>
              <w:t>:</w:t>
            </w:r>
            <w:r w:rsidR="002E3F3A">
              <w:rPr>
                <w:b/>
                <w:sz w:val="21"/>
                <w:szCs w:val="21"/>
              </w:rPr>
              <w:t xml:space="preserve"> </w:t>
            </w:r>
          </w:p>
        </w:tc>
        <w:tc>
          <w:tcPr>
            <w:tcW w:w="2430" w:type="dxa"/>
          </w:tcPr>
          <w:p w14:paraId="4272C290" w14:textId="39D327E2" w:rsidR="00FE56A3" w:rsidRPr="005C7876" w:rsidRDefault="00043971" w:rsidP="00FE56A3">
            <w:pPr>
              <w:rPr>
                <w:sz w:val="21"/>
                <w:szCs w:val="21"/>
              </w:rPr>
            </w:pPr>
            <w:r w:rsidRPr="00094F67">
              <w:rPr>
                <w:sz w:val="21"/>
                <w:szCs w:val="21"/>
                <w:highlight w:val="yellow"/>
              </w:rPr>
              <w:t>11/</w:t>
            </w:r>
            <w:r w:rsidR="00BC0FCC" w:rsidRPr="00094F67">
              <w:rPr>
                <w:sz w:val="21"/>
                <w:szCs w:val="21"/>
                <w:highlight w:val="yellow"/>
              </w:rPr>
              <w:t>1</w:t>
            </w:r>
            <w:r w:rsidR="00094F67" w:rsidRPr="00094F67">
              <w:rPr>
                <w:sz w:val="21"/>
                <w:szCs w:val="21"/>
                <w:highlight w:val="yellow"/>
              </w:rPr>
              <w:t>7</w:t>
            </w:r>
            <w:r w:rsidRPr="00094F67">
              <w:rPr>
                <w:sz w:val="21"/>
                <w:szCs w:val="21"/>
                <w:highlight w:val="yellow"/>
              </w:rPr>
              <w:t xml:space="preserve">/2022 </w:t>
            </w:r>
            <w:r w:rsidR="004E672B" w:rsidRPr="00094F67">
              <w:rPr>
                <w:sz w:val="21"/>
                <w:szCs w:val="21"/>
                <w:highlight w:val="yellow"/>
              </w:rPr>
              <w:t>5:00pm ET</w:t>
            </w:r>
          </w:p>
        </w:tc>
      </w:tr>
      <w:tr w:rsidR="00BF65D1" w14:paraId="11B7C47A" w14:textId="77777777" w:rsidTr="0006734F">
        <w:trPr>
          <w:jc w:val="center"/>
        </w:trPr>
        <w:tc>
          <w:tcPr>
            <w:tcW w:w="6025" w:type="dxa"/>
          </w:tcPr>
          <w:p w14:paraId="36AFECAB" w14:textId="62FF6B6E" w:rsidR="00FE56A3" w:rsidRPr="008858B4" w:rsidRDefault="004E672B" w:rsidP="00FE56A3">
            <w:pPr>
              <w:rPr>
                <w:b/>
                <w:sz w:val="21"/>
                <w:szCs w:val="21"/>
              </w:rPr>
            </w:pPr>
            <w:r w:rsidRPr="000E797E">
              <w:rPr>
                <w:b/>
                <w:sz w:val="21"/>
                <w:szCs w:val="21"/>
              </w:rPr>
              <w:t>Expected Submission Deadline for Replies to Reviewer Comments:</w:t>
            </w:r>
            <w:r w:rsidR="007E480A">
              <w:rPr>
                <w:b/>
                <w:sz w:val="21"/>
                <w:szCs w:val="21"/>
              </w:rPr>
              <w:t xml:space="preserve"> </w:t>
            </w:r>
          </w:p>
        </w:tc>
        <w:tc>
          <w:tcPr>
            <w:tcW w:w="2430" w:type="dxa"/>
          </w:tcPr>
          <w:p w14:paraId="16172A20" w14:textId="5D1B8655" w:rsidR="00FE56A3" w:rsidRPr="005C7876" w:rsidRDefault="00043971" w:rsidP="00FE56A3">
            <w:pPr>
              <w:rPr>
                <w:sz w:val="21"/>
                <w:szCs w:val="21"/>
              </w:rPr>
            </w:pPr>
            <w:r w:rsidRPr="00094F67">
              <w:rPr>
                <w:sz w:val="21"/>
                <w:szCs w:val="21"/>
                <w:highlight w:val="yellow"/>
              </w:rPr>
              <w:t>12/</w:t>
            </w:r>
            <w:r w:rsidR="00E63DDA">
              <w:rPr>
                <w:sz w:val="21"/>
                <w:szCs w:val="21"/>
                <w:highlight w:val="yellow"/>
              </w:rPr>
              <w:t>20</w:t>
            </w:r>
            <w:r w:rsidRPr="00094F67">
              <w:rPr>
                <w:sz w:val="21"/>
                <w:szCs w:val="21"/>
                <w:highlight w:val="yellow"/>
              </w:rPr>
              <w:t xml:space="preserve">/2022 </w:t>
            </w:r>
            <w:r w:rsidR="004E672B" w:rsidRPr="00094F67">
              <w:rPr>
                <w:sz w:val="21"/>
                <w:szCs w:val="21"/>
                <w:highlight w:val="yellow"/>
              </w:rPr>
              <w:t>5:00pm ET</w:t>
            </w:r>
          </w:p>
        </w:tc>
      </w:tr>
      <w:tr w:rsidR="00BF65D1" w14:paraId="32786A3C" w14:textId="77777777" w:rsidTr="0006734F">
        <w:trPr>
          <w:jc w:val="center"/>
        </w:trPr>
        <w:tc>
          <w:tcPr>
            <w:tcW w:w="6025" w:type="dxa"/>
          </w:tcPr>
          <w:p w14:paraId="51F92E4C" w14:textId="10E5BB6B" w:rsidR="00D07031" w:rsidRPr="008858B4" w:rsidRDefault="004E672B" w:rsidP="00390B40">
            <w:pPr>
              <w:rPr>
                <w:b/>
                <w:sz w:val="21"/>
                <w:szCs w:val="21"/>
              </w:rPr>
            </w:pPr>
            <w:r w:rsidRPr="0027192C">
              <w:rPr>
                <w:b/>
                <w:sz w:val="21"/>
                <w:szCs w:val="21"/>
              </w:rPr>
              <w:t>Expected Date for EERE Selection Notifications</w:t>
            </w:r>
            <w:r>
              <w:rPr>
                <w:b/>
                <w:sz w:val="21"/>
                <w:szCs w:val="21"/>
              </w:rPr>
              <w:t>:</w:t>
            </w:r>
            <w:r w:rsidR="002E3F3A">
              <w:rPr>
                <w:b/>
                <w:sz w:val="21"/>
                <w:szCs w:val="21"/>
              </w:rPr>
              <w:t xml:space="preserve"> </w:t>
            </w:r>
          </w:p>
        </w:tc>
        <w:tc>
          <w:tcPr>
            <w:tcW w:w="2430" w:type="dxa"/>
          </w:tcPr>
          <w:p w14:paraId="5F71F95E" w14:textId="638FA612" w:rsidR="00D07031" w:rsidRPr="005C7876" w:rsidRDefault="000F3253" w:rsidP="004D5AD0">
            <w:pPr>
              <w:rPr>
                <w:sz w:val="21"/>
                <w:szCs w:val="21"/>
              </w:rPr>
            </w:pPr>
            <w:r>
              <w:rPr>
                <w:sz w:val="21"/>
                <w:szCs w:val="21"/>
                <w:highlight w:val="yellow"/>
              </w:rPr>
              <w:t>3</w:t>
            </w:r>
            <w:r w:rsidR="00043971" w:rsidRPr="00094F67">
              <w:rPr>
                <w:sz w:val="21"/>
                <w:szCs w:val="21"/>
                <w:highlight w:val="yellow"/>
              </w:rPr>
              <w:t>/</w:t>
            </w:r>
            <w:r>
              <w:rPr>
                <w:sz w:val="21"/>
                <w:szCs w:val="21"/>
                <w:highlight w:val="yellow"/>
              </w:rPr>
              <w:t>1</w:t>
            </w:r>
            <w:r w:rsidR="00043971" w:rsidRPr="00094F67">
              <w:rPr>
                <w:sz w:val="21"/>
                <w:szCs w:val="21"/>
                <w:highlight w:val="yellow"/>
              </w:rPr>
              <w:t>/2023</w:t>
            </w:r>
          </w:p>
        </w:tc>
      </w:tr>
      <w:tr w:rsidR="00BF65D1" w14:paraId="60D1CABC" w14:textId="77777777" w:rsidTr="0006734F">
        <w:trPr>
          <w:jc w:val="center"/>
        </w:trPr>
        <w:tc>
          <w:tcPr>
            <w:tcW w:w="6025" w:type="dxa"/>
          </w:tcPr>
          <w:p w14:paraId="50904687" w14:textId="14B67891" w:rsidR="00D07031" w:rsidRPr="00120F39" w:rsidRDefault="004E672B" w:rsidP="00390B40">
            <w:pPr>
              <w:rPr>
                <w:b/>
                <w:sz w:val="21"/>
                <w:szCs w:val="21"/>
              </w:rPr>
            </w:pPr>
            <w:r w:rsidRPr="00672734">
              <w:rPr>
                <w:b/>
                <w:sz w:val="21"/>
                <w:szCs w:val="21"/>
              </w:rPr>
              <w:t>Expected Timeframe for Award Negotiations</w:t>
            </w:r>
            <w:r>
              <w:rPr>
                <w:b/>
                <w:sz w:val="21"/>
                <w:szCs w:val="21"/>
              </w:rPr>
              <w:t>:</w:t>
            </w:r>
            <w:r w:rsidR="002E3F3A">
              <w:rPr>
                <w:b/>
                <w:sz w:val="21"/>
                <w:szCs w:val="21"/>
              </w:rPr>
              <w:t xml:space="preserve"> </w:t>
            </w:r>
          </w:p>
        </w:tc>
        <w:tc>
          <w:tcPr>
            <w:tcW w:w="2430" w:type="dxa"/>
          </w:tcPr>
          <w:p w14:paraId="49EE94DD" w14:textId="22669903" w:rsidR="00D07031" w:rsidRPr="005C7876" w:rsidRDefault="000F3253" w:rsidP="004D5AD0">
            <w:pPr>
              <w:rPr>
                <w:sz w:val="21"/>
                <w:szCs w:val="21"/>
              </w:rPr>
            </w:pPr>
            <w:r>
              <w:rPr>
                <w:sz w:val="21"/>
                <w:szCs w:val="21"/>
                <w:highlight w:val="yellow"/>
              </w:rPr>
              <w:t>3</w:t>
            </w:r>
            <w:r w:rsidR="00043971" w:rsidRPr="00094F67">
              <w:rPr>
                <w:sz w:val="21"/>
                <w:szCs w:val="21"/>
                <w:highlight w:val="yellow"/>
              </w:rPr>
              <w:t>/</w:t>
            </w:r>
            <w:r w:rsidR="00094F67" w:rsidRPr="00094F67">
              <w:rPr>
                <w:sz w:val="21"/>
                <w:szCs w:val="21"/>
                <w:highlight w:val="yellow"/>
              </w:rPr>
              <w:t>1</w:t>
            </w:r>
            <w:r w:rsidR="00043971" w:rsidRPr="00094F67">
              <w:rPr>
                <w:sz w:val="21"/>
                <w:szCs w:val="21"/>
                <w:highlight w:val="yellow"/>
              </w:rPr>
              <w:t>/2023 – 6/</w:t>
            </w:r>
            <w:r w:rsidR="0006734F" w:rsidRPr="00094F67">
              <w:rPr>
                <w:sz w:val="21"/>
                <w:szCs w:val="21"/>
                <w:highlight w:val="yellow"/>
              </w:rPr>
              <w:t>2</w:t>
            </w:r>
            <w:r w:rsidR="00094F67" w:rsidRPr="00094F67">
              <w:rPr>
                <w:sz w:val="21"/>
                <w:szCs w:val="21"/>
                <w:highlight w:val="yellow"/>
              </w:rPr>
              <w:t>9</w:t>
            </w:r>
            <w:r w:rsidR="00043971" w:rsidRPr="00094F67">
              <w:rPr>
                <w:sz w:val="21"/>
                <w:szCs w:val="21"/>
                <w:highlight w:val="yellow"/>
              </w:rPr>
              <w:t>/2023</w:t>
            </w:r>
          </w:p>
        </w:tc>
      </w:tr>
    </w:tbl>
    <w:p w14:paraId="6B5B7013" w14:textId="21CEE653" w:rsidR="00D07031" w:rsidRPr="008858B4" w:rsidRDefault="00D07031" w:rsidP="007C7F97">
      <w:pPr>
        <w:ind w:left="360"/>
      </w:pPr>
    </w:p>
    <w:p w14:paraId="6E87E2A4" w14:textId="069C745D" w:rsidR="003C14CB" w:rsidRPr="008858B4" w:rsidRDefault="004E672B" w:rsidP="00F836F4">
      <w:pPr>
        <w:pStyle w:val="ListParagraph"/>
        <w:numPr>
          <w:ilvl w:val="0"/>
          <w:numId w:val="42"/>
        </w:numPr>
        <w:ind w:left="720"/>
      </w:pPr>
      <w:r w:rsidRPr="00D35C0F">
        <w:t xml:space="preserve">Applicants must submit </w:t>
      </w:r>
      <w:r w:rsidR="00A36D4C">
        <w:t>a</w:t>
      </w:r>
      <w:r w:rsidR="003975B0">
        <w:t xml:space="preserve"> </w:t>
      </w:r>
      <w:r w:rsidR="00A36D4C">
        <w:t>Concept Paper</w:t>
      </w:r>
      <w:r w:rsidRPr="00D35C0F">
        <w:t xml:space="preserve"> by 5:00pm ET</w:t>
      </w:r>
      <w:r w:rsidR="000F0038">
        <w:t xml:space="preserve"> on</w:t>
      </w:r>
      <w:r w:rsidRPr="00D35C0F">
        <w:t xml:space="preserve"> the due date listed above to be eligible to submit a Full Application.</w:t>
      </w:r>
    </w:p>
    <w:p w14:paraId="26BFFFC4" w14:textId="71865044" w:rsidR="00D07031" w:rsidRPr="008858B4" w:rsidRDefault="00D07031" w:rsidP="00D07031"/>
    <w:p w14:paraId="6DFD2660" w14:textId="52B6311E" w:rsidR="003A2EEC" w:rsidRPr="008858B4" w:rsidRDefault="00187415" w:rsidP="00F836F4">
      <w:pPr>
        <w:pStyle w:val="ListParagraph"/>
        <w:numPr>
          <w:ilvl w:val="0"/>
          <w:numId w:val="81"/>
        </w:numPr>
      </w:pPr>
      <w:r>
        <w:t>To apply to this FOA, applicants must register with and submit application materials through</w:t>
      </w:r>
      <w:r w:rsidR="003A2EEC">
        <w:t xml:space="preserve"> </w:t>
      </w:r>
      <w:r>
        <w:t xml:space="preserve">EERE Exchange at </w:t>
      </w:r>
      <w:hyperlink r:id="rId13" w:history="1">
        <w:r w:rsidRPr="003A2EEC">
          <w:rPr>
            <w:rStyle w:val="Hyperlink"/>
          </w:rPr>
          <w:t>https://eere-Exchange.energy.gov</w:t>
        </w:r>
      </w:hyperlink>
      <w:r>
        <w:t>, EERE’s online application portal.</w:t>
      </w:r>
    </w:p>
    <w:p w14:paraId="29539563" w14:textId="77777777" w:rsidR="00D07031" w:rsidRPr="008858B4" w:rsidRDefault="00D07031" w:rsidP="00E97D64">
      <w:pPr>
        <w:pStyle w:val="ListParagraph"/>
      </w:pPr>
    </w:p>
    <w:p w14:paraId="0696C57E" w14:textId="50654E83" w:rsidR="00D07031" w:rsidRDefault="004E672B" w:rsidP="00D07031">
      <w:pPr>
        <w:pStyle w:val="ListParagraph"/>
        <w:numPr>
          <w:ilvl w:val="0"/>
          <w:numId w:val="1"/>
        </w:numPr>
      </w:pPr>
      <w:r>
        <w:t xml:space="preserve">Applicants must designate primary and backup points-of-contact in </w:t>
      </w:r>
      <w:r w:rsidR="003A2EEC">
        <w:t>EERE Exchange</w:t>
      </w:r>
      <w:r>
        <w:t xml:space="preserve"> with whom EERE will communicate to conduct award negotiations. If an application is selected for award negotiations, it is not a commitment to issue an award. It is imperative that the applicant/selectee be responsive during award negotiations and meet negotiation deadlines. Failure to do so may result in cancelation of further award nego</w:t>
      </w:r>
      <w:r w:rsidR="00565A45">
        <w:t xml:space="preserve">tiations and rescission of the </w:t>
      </w:r>
      <w:r w:rsidR="003F26AB">
        <w:t>s</w:t>
      </w:r>
      <w:r>
        <w:t>election.</w:t>
      </w:r>
    </w:p>
    <w:p w14:paraId="5981D83F" w14:textId="37F44335" w:rsidR="00DE12A1" w:rsidRDefault="00DE12A1">
      <w:r>
        <w:br w:type="page"/>
      </w:r>
    </w:p>
    <w:p w14:paraId="503C1CEB" w14:textId="77777777" w:rsidR="00DE12A1" w:rsidRPr="00891FA7" w:rsidRDefault="00DE12A1" w:rsidP="00891FA7">
      <w:pPr>
        <w:spacing w:before="240"/>
        <w:ind w:left="90"/>
        <w:rPr>
          <w:rFonts w:eastAsia="Calibri"/>
          <w:b/>
          <w:bCs/>
          <w:sz w:val="36"/>
          <w:szCs w:val="36"/>
        </w:rPr>
      </w:pPr>
      <w:r w:rsidRPr="00891FA7">
        <w:rPr>
          <w:rFonts w:eastAsia="Calibri"/>
          <w:b/>
          <w:bCs/>
          <w:sz w:val="36"/>
          <w:szCs w:val="36"/>
        </w:rPr>
        <w:lastRenderedPageBreak/>
        <w:t>NOTE: REGISTRATION/SUBMISSION REQUIREMENTS</w:t>
      </w:r>
    </w:p>
    <w:p w14:paraId="2D2E5317" w14:textId="77777777" w:rsidR="00DE12A1" w:rsidRPr="00DE12A1" w:rsidRDefault="00DE12A1" w:rsidP="00DE12A1">
      <w:pPr>
        <w:widowControl w:val="0"/>
        <w:autoSpaceDE w:val="0"/>
        <w:autoSpaceDN w:val="0"/>
        <w:spacing w:before="292"/>
        <w:ind w:left="120" w:right="-900"/>
        <w:rPr>
          <w:rFonts w:ascii="Calibri" w:eastAsia="Calibri" w:hAnsi="Calibri" w:cs="Calibri"/>
          <w:b/>
          <w:i/>
          <w:szCs w:val="22"/>
        </w:rPr>
      </w:pPr>
      <w:r w:rsidRPr="00DE12A1">
        <w:rPr>
          <w:rFonts w:ascii="Calibri" w:eastAsia="Calibri" w:hAnsi="Calibri" w:cs="Calibri"/>
          <w:b/>
          <w:i/>
          <w:szCs w:val="22"/>
          <w:u w:val="single"/>
        </w:rPr>
        <w:t>Registration</w:t>
      </w:r>
      <w:r w:rsidRPr="00DE12A1">
        <w:rPr>
          <w:rFonts w:ascii="Calibri" w:eastAsia="Calibri" w:hAnsi="Calibri" w:cs="Calibri"/>
          <w:b/>
          <w:i/>
          <w:spacing w:val="-7"/>
          <w:szCs w:val="22"/>
          <w:u w:val="single"/>
        </w:rPr>
        <w:t xml:space="preserve"> </w:t>
      </w:r>
      <w:r w:rsidRPr="00DE12A1">
        <w:rPr>
          <w:rFonts w:ascii="Calibri" w:eastAsia="Calibri" w:hAnsi="Calibri" w:cs="Calibri"/>
          <w:b/>
          <w:i/>
          <w:spacing w:val="-2"/>
          <w:szCs w:val="22"/>
          <w:u w:val="single"/>
        </w:rPr>
        <w:t>Requirements</w:t>
      </w:r>
    </w:p>
    <w:p w14:paraId="65366C86" w14:textId="77777777" w:rsidR="00DE12A1" w:rsidRPr="00DE12A1" w:rsidRDefault="00DE12A1" w:rsidP="00DE12A1">
      <w:pPr>
        <w:widowControl w:val="0"/>
        <w:autoSpaceDE w:val="0"/>
        <w:autoSpaceDN w:val="0"/>
        <w:spacing w:before="10"/>
        <w:ind w:right="-900"/>
        <w:rPr>
          <w:rFonts w:ascii="Calibri" w:eastAsia="Calibri" w:hAnsi="Calibri" w:cs="Calibri"/>
          <w:b/>
          <w:i/>
          <w:sz w:val="19"/>
          <w:szCs w:val="24"/>
        </w:rPr>
      </w:pPr>
    </w:p>
    <w:p w14:paraId="73EE4258" w14:textId="77777777" w:rsidR="00DE12A1" w:rsidRPr="00DE12A1" w:rsidRDefault="00DE12A1" w:rsidP="00DE12A1">
      <w:pPr>
        <w:widowControl w:val="0"/>
        <w:autoSpaceDE w:val="0"/>
        <w:autoSpaceDN w:val="0"/>
        <w:spacing w:before="52"/>
        <w:ind w:left="119" w:right="-900"/>
        <w:rPr>
          <w:rFonts w:ascii="Calibri" w:eastAsia="Calibri" w:hAnsi="Calibri" w:cs="Calibri"/>
          <w:szCs w:val="24"/>
        </w:rPr>
      </w:pPr>
      <w:r w:rsidRPr="00DE12A1">
        <w:rPr>
          <w:rFonts w:ascii="Calibri" w:eastAsia="Calibri" w:hAnsi="Calibri" w:cs="Calibri"/>
          <w:szCs w:val="24"/>
        </w:rPr>
        <w:t xml:space="preserve">There are several one-time actions you must complete </w:t>
      </w:r>
      <w:proofErr w:type="gramStart"/>
      <w:r w:rsidRPr="00DE12A1">
        <w:rPr>
          <w:rFonts w:ascii="Calibri" w:eastAsia="Calibri" w:hAnsi="Calibri" w:cs="Calibri"/>
          <w:szCs w:val="24"/>
        </w:rPr>
        <w:t>in order to</w:t>
      </w:r>
      <w:proofErr w:type="gramEnd"/>
      <w:r w:rsidRPr="00DE12A1">
        <w:rPr>
          <w:rFonts w:ascii="Calibri" w:eastAsia="Calibri" w:hAnsi="Calibri" w:cs="Calibri"/>
          <w:szCs w:val="24"/>
        </w:rPr>
        <w:t xml:space="preserve"> submit an application in response</w:t>
      </w:r>
      <w:r w:rsidRPr="00DE12A1">
        <w:rPr>
          <w:rFonts w:ascii="Calibri" w:eastAsia="Calibri" w:hAnsi="Calibri" w:cs="Calibri"/>
          <w:spacing w:val="-3"/>
          <w:szCs w:val="24"/>
        </w:rPr>
        <w:t xml:space="preserve"> </w:t>
      </w:r>
      <w:r w:rsidRPr="00DE12A1">
        <w:rPr>
          <w:rFonts w:ascii="Calibri" w:eastAsia="Calibri" w:hAnsi="Calibri" w:cs="Calibri"/>
          <w:szCs w:val="24"/>
        </w:rPr>
        <w:t>to</w:t>
      </w:r>
      <w:r w:rsidRPr="00DE12A1">
        <w:rPr>
          <w:rFonts w:ascii="Calibri" w:eastAsia="Calibri" w:hAnsi="Calibri" w:cs="Calibri"/>
          <w:spacing w:val="-3"/>
          <w:szCs w:val="24"/>
        </w:rPr>
        <w:t xml:space="preserve"> </w:t>
      </w:r>
      <w:r w:rsidRPr="00DE12A1">
        <w:rPr>
          <w:rFonts w:ascii="Calibri" w:eastAsia="Calibri" w:hAnsi="Calibri" w:cs="Calibri"/>
          <w:szCs w:val="24"/>
        </w:rPr>
        <w:t>this</w:t>
      </w:r>
      <w:r w:rsidRPr="00DE12A1">
        <w:rPr>
          <w:rFonts w:ascii="Calibri" w:eastAsia="Calibri" w:hAnsi="Calibri" w:cs="Calibri"/>
          <w:spacing w:val="-4"/>
          <w:szCs w:val="24"/>
        </w:rPr>
        <w:t xml:space="preserve"> </w:t>
      </w:r>
      <w:r w:rsidRPr="00DE12A1">
        <w:rPr>
          <w:rFonts w:ascii="Calibri" w:eastAsia="Calibri" w:hAnsi="Calibri" w:cs="Calibri"/>
          <w:szCs w:val="24"/>
        </w:rPr>
        <w:t>Announcement</w:t>
      </w:r>
      <w:r w:rsidRPr="00DE12A1">
        <w:rPr>
          <w:rFonts w:ascii="Calibri" w:eastAsia="Calibri" w:hAnsi="Calibri" w:cs="Calibri"/>
          <w:spacing w:val="-4"/>
          <w:szCs w:val="24"/>
        </w:rPr>
        <w:t xml:space="preserve"> </w:t>
      </w:r>
      <w:r w:rsidRPr="00DE12A1">
        <w:rPr>
          <w:rFonts w:ascii="Calibri" w:eastAsia="Calibri" w:hAnsi="Calibri" w:cs="Calibri"/>
          <w:szCs w:val="24"/>
        </w:rPr>
        <w:t>(e.g.,</w:t>
      </w:r>
      <w:r w:rsidRPr="00DE12A1">
        <w:rPr>
          <w:rFonts w:ascii="Calibri" w:eastAsia="Calibri" w:hAnsi="Calibri" w:cs="Calibri"/>
          <w:spacing w:val="-4"/>
          <w:szCs w:val="24"/>
        </w:rPr>
        <w:t xml:space="preserve"> </w:t>
      </w:r>
      <w:r w:rsidRPr="00DE12A1">
        <w:rPr>
          <w:rFonts w:ascii="Calibri" w:eastAsia="Calibri" w:hAnsi="Calibri" w:cs="Calibri"/>
          <w:szCs w:val="24"/>
        </w:rPr>
        <w:t>obtain</w:t>
      </w:r>
      <w:r w:rsidRPr="00DE12A1">
        <w:rPr>
          <w:rFonts w:ascii="Calibri" w:eastAsia="Calibri" w:hAnsi="Calibri" w:cs="Calibri"/>
          <w:spacing w:val="-4"/>
          <w:szCs w:val="24"/>
        </w:rPr>
        <w:t xml:space="preserve"> </w:t>
      </w:r>
      <w:r w:rsidRPr="00DE12A1">
        <w:rPr>
          <w:rFonts w:ascii="Calibri" w:eastAsia="Calibri" w:hAnsi="Calibri" w:cs="Calibri"/>
          <w:szCs w:val="24"/>
        </w:rPr>
        <w:t>a</w:t>
      </w:r>
      <w:r w:rsidRPr="00DE12A1">
        <w:rPr>
          <w:rFonts w:ascii="Calibri" w:eastAsia="Calibri" w:hAnsi="Calibri" w:cs="Calibri"/>
          <w:spacing w:val="-4"/>
          <w:szCs w:val="24"/>
        </w:rPr>
        <w:t xml:space="preserve"> </w:t>
      </w:r>
      <w:r w:rsidRPr="00DE12A1">
        <w:rPr>
          <w:rFonts w:ascii="Calibri" w:eastAsia="Calibri" w:hAnsi="Calibri" w:cs="Calibri"/>
          <w:szCs w:val="24"/>
        </w:rPr>
        <w:t>Universal</w:t>
      </w:r>
      <w:r w:rsidRPr="00DE12A1">
        <w:rPr>
          <w:rFonts w:ascii="Calibri" w:eastAsia="Calibri" w:hAnsi="Calibri" w:cs="Calibri"/>
          <w:spacing w:val="-4"/>
          <w:szCs w:val="24"/>
        </w:rPr>
        <w:t xml:space="preserve"> </w:t>
      </w:r>
      <w:r w:rsidRPr="00DE12A1">
        <w:rPr>
          <w:rFonts w:ascii="Calibri" w:eastAsia="Calibri" w:hAnsi="Calibri" w:cs="Calibri"/>
          <w:szCs w:val="24"/>
        </w:rPr>
        <w:t>Entity</w:t>
      </w:r>
      <w:r w:rsidRPr="00DE12A1">
        <w:rPr>
          <w:rFonts w:ascii="Calibri" w:eastAsia="Calibri" w:hAnsi="Calibri" w:cs="Calibri"/>
          <w:spacing w:val="-3"/>
          <w:szCs w:val="24"/>
        </w:rPr>
        <w:t xml:space="preserve"> </w:t>
      </w:r>
      <w:r w:rsidRPr="00DE12A1">
        <w:rPr>
          <w:rFonts w:ascii="Calibri" w:eastAsia="Calibri" w:hAnsi="Calibri" w:cs="Calibri"/>
          <w:szCs w:val="24"/>
        </w:rPr>
        <w:t>Identifier</w:t>
      </w:r>
      <w:r w:rsidRPr="00DE12A1">
        <w:rPr>
          <w:rFonts w:ascii="Calibri" w:eastAsia="Calibri" w:hAnsi="Calibri" w:cs="Calibri"/>
          <w:spacing w:val="-5"/>
          <w:szCs w:val="24"/>
        </w:rPr>
        <w:t xml:space="preserve"> </w:t>
      </w:r>
      <w:r w:rsidRPr="00DE12A1">
        <w:rPr>
          <w:rFonts w:ascii="Calibri" w:eastAsia="Calibri" w:hAnsi="Calibri" w:cs="Calibri"/>
          <w:szCs w:val="24"/>
        </w:rPr>
        <w:t>(UEI)</w:t>
      </w:r>
      <w:r w:rsidRPr="00DE12A1">
        <w:rPr>
          <w:rFonts w:ascii="Calibri" w:eastAsia="Calibri" w:hAnsi="Calibri" w:cs="Calibri"/>
          <w:spacing w:val="-2"/>
          <w:szCs w:val="24"/>
        </w:rPr>
        <w:t xml:space="preserve"> </w:t>
      </w:r>
      <w:r w:rsidRPr="00DE12A1">
        <w:rPr>
          <w:rFonts w:ascii="Calibri" w:eastAsia="Calibri" w:hAnsi="Calibri" w:cs="Calibri"/>
          <w:szCs w:val="24"/>
        </w:rPr>
        <w:t>number,</w:t>
      </w:r>
      <w:r w:rsidRPr="00DE12A1">
        <w:rPr>
          <w:rFonts w:ascii="Calibri" w:eastAsia="Calibri" w:hAnsi="Calibri" w:cs="Calibri"/>
          <w:spacing w:val="-3"/>
          <w:szCs w:val="24"/>
        </w:rPr>
        <w:t xml:space="preserve"> </w:t>
      </w:r>
      <w:r w:rsidRPr="00DE12A1">
        <w:rPr>
          <w:rFonts w:ascii="Calibri" w:eastAsia="Calibri" w:hAnsi="Calibri" w:cs="Calibri"/>
          <w:szCs w:val="24"/>
        </w:rPr>
        <w:t xml:space="preserve">register with EERE eXCHANGE.gov, register with the System for Award Management (SAM), register with Grants.gov, and, if selected for award, be registered in </w:t>
      </w:r>
      <w:proofErr w:type="spellStart"/>
      <w:r w:rsidRPr="00DE12A1">
        <w:rPr>
          <w:rFonts w:ascii="Calibri" w:eastAsia="Calibri" w:hAnsi="Calibri" w:cs="Calibri"/>
          <w:szCs w:val="24"/>
        </w:rPr>
        <w:t>FedConnect</w:t>
      </w:r>
      <w:proofErr w:type="spellEnd"/>
      <w:r w:rsidRPr="00DE12A1">
        <w:rPr>
          <w:rFonts w:ascii="Calibri" w:eastAsia="Calibri" w:hAnsi="Calibri" w:cs="Calibri"/>
          <w:szCs w:val="24"/>
        </w:rPr>
        <w:t>).</w:t>
      </w:r>
      <w:r w:rsidRPr="00DE12A1">
        <w:rPr>
          <w:rFonts w:ascii="Calibri" w:eastAsia="Calibri" w:hAnsi="Calibri" w:cs="Calibri"/>
          <w:spacing w:val="40"/>
          <w:szCs w:val="24"/>
        </w:rPr>
        <w:t xml:space="preserve"> </w:t>
      </w:r>
      <w:r w:rsidRPr="00DE12A1">
        <w:rPr>
          <w:rFonts w:ascii="Calibri" w:eastAsia="Calibri" w:hAnsi="Calibri" w:cs="Calibri"/>
          <w:szCs w:val="24"/>
        </w:rPr>
        <w:t xml:space="preserve">Applicants who are not registered with SAM and Grants.gov, should allow </w:t>
      </w:r>
      <w:r w:rsidRPr="00DE12A1">
        <w:rPr>
          <w:rFonts w:ascii="Calibri" w:eastAsia="Calibri" w:hAnsi="Calibri" w:cs="Calibri"/>
          <w:szCs w:val="24"/>
          <w:u w:val="single"/>
        </w:rPr>
        <w:t>at least 44 days</w:t>
      </w:r>
      <w:r w:rsidRPr="00DE12A1">
        <w:rPr>
          <w:rFonts w:ascii="Calibri" w:eastAsia="Calibri" w:hAnsi="Calibri" w:cs="Calibri"/>
          <w:szCs w:val="24"/>
        </w:rPr>
        <w:t xml:space="preserve"> to complete these requirements.</w:t>
      </w:r>
      <w:r w:rsidRPr="00DE12A1">
        <w:rPr>
          <w:rFonts w:ascii="Calibri" w:eastAsia="Calibri" w:hAnsi="Calibri" w:cs="Calibri"/>
          <w:spacing w:val="40"/>
          <w:szCs w:val="24"/>
        </w:rPr>
        <w:t xml:space="preserve"> </w:t>
      </w:r>
      <w:r w:rsidRPr="00DE12A1">
        <w:rPr>
          <w:rFonts w:ascii="Calibri" w:eastAsia="Calibri" w:hAnsi="Calibri" w:cs="Calibri"/>
          <w:szCs w:val="24"/>
        </w:rPr>
        <w:t>It is suggested that the process be started as soon as possible.</w:t>
      </w:r>
    </w:p>
    <w:p w14:paraId="167418DE" w14:textId="77777777" w:rsidR="00DE12A1" w:rsidRPr="00DE12A1" w:rsidRDefault="00DE12A1" w:rsidP="00DE12A1">
      <w:pPr>
        <w:widowControl w:val="0"/>
        <w:autoSpaceDE w:val="0"/>
        <w:autoSpaceDN w:val="0"/>
        <w:spacing w:before="12"/>
        <w:ind w:right="-900"/>
        <w:rPr>
          <w:rFonts w:ascii="Calibri" w:eastAsia="Calibri" w:hAnsi="Calibri" w:cs="Calibri"/>
          <w:sz w:val="23"/>
          <w:szCs w:val="24"/>
        </w:rPr>
      </w:pPr>
    </w:p>
    <w:p w14:paraId="7EEAA987" w14:textId="77777777" w:rsidR="00DE12A1" w:rsidRPr="00DE12A1" w:rsidRDefault="00DE12A1" w:rsidP="00DE12A1">
      <w:pPr>
        <w:widowControl w:val="0"/>
        <w:autoSpaceDE w:val="0"/>
        <w:autoSpaceDN w:val="0"/>
        <w:ind w:left="119" w:right="-900"/>
        <w:rPr>
          <w:rFonts w:ascii="Calibri" w:eastAsia="Calibri" w:hAnsi="Calibri" w:cs="Calibri"/>
          <w:szCs w:val="22"/>
        </w:rPr>
      </w:pPr>
      <w:r w:rsidRPr="00DE12A1">
        <w:rPr>
          <w:rFonts w:ascii="Calibri" w:eastAsia="Calibri" w:hAnsi="Calibri" w:cs="Calibri"/>
          <w:b/>
          <w:szCs w:val="22"/>
        </w:rPr>
        <w:t>Applicants must obtain an UEI from the SAM to uniquely identify the entity.</w:t>
      </w:r>
      <w:r w:rsidRPr="00DE12A1">
        <w:rPr>
          <w:rFonts w:ascii="Calibri" w:eastAsia="Calibri" w:hAnsi="Calibri" w:cs="Calibri"/>
          <w:b/>
          <w:spacing w:val="40"/>
          <w:szCs w:val="22"/>
        </w:rPr>
        <w:t xml:space="preserve"> </w:t>
      </w:r>
      <w:r w:rsidRPr="00DE12A1">
        <w:rPr>
          <w:rFonts w:ascii="Calibri" w:eastAsia="Calibri" w:hAnsi="Calibri" w:cs="Calibri"/>
          <w:szCs w:val="22"/>
        </w:rPr>
        <w:t>The UEI is available</w:t>
      </w:r>
      <w:r w:rsidRPr="00DE12A1">
        <w:rPr>
          <w:rFonts w:ascii="Calibri" w:eastAsia="Calibri" w:hAnsi="Calibri" w:cs="Calibri"/>
          <w:spacing w:val="-3"/>
          <w:szCs w:val="22"/>
        </w:rPr>
        <w:t xml:space="preserve"> </w:t>
      </w:r>
      <w:r w:rsidRPr="00DE12A1">
        <w:rPr>
          <w:rFonts w:ascii="Calibri" w:eastAsia="Calibri" w:hAnsi="Calibri" w:cs="Calibri"/>
          <w:szCs w:val="22"/>
        </w:rPr>
        <w:t>in</w:t>
      </w:r>
      <w:r w:rsidRPr="00DE12A1">
        <w:rPr>
          <w:rFonts w:ascii="Calibri" w:eastAsia="Calibri" w:hAnsi="Calibri" w:cs="Calibri"/>
          <w:spacing w:val="-5"/>
          <w:szCs w:val="22"/>
        </w:rPr>
        <w:t xml:space="preserve"> </w:t>
      </w:r>
      <w:r w:rsidRPr="00DE12A1">
        <w:rPr>
          <w:rFonts w:ascii="Calibri" w:eastAsia="Calibri" w:hAnsi="Calibri" w:cs="Calibri"/>
          <w:szCs w:val="22"/>
        </w:rPr>
        <w:t>the</w:t>
      </w:r>
      <w:r w:rsidRPr="00DE12A1">
        <w:rPr>
          <w:rFonts w:ascii="Calibri" w:eastAsia="Calibri" w:hAnsi="Calibri" w:cs="Calibri"/>
          <w:spacing w:val="-3"/>
          <w:szCs w:val="22"/>
        </w:rPr>
        <w:t xml:space="preserve"> </w:t>
      </w:r>
      <w:r w:rsidRPr="00DE12A1">
        <w:rPr>
          <w:rFonts w:ascii="Calibri" w:eastAsia="Calibri" w:hAnsi="Calibri" w:cs="Calibri"/>
          <w:szCs w:val="22"/>
        </w:rPr>
        <w:t>SAM</w:t>
      </w:r>
      <w:r w:rsidRPr="00DE12A1">
        <w:rPr>
          <w:rFonts w:ascii="Calibri" w:eastAsia="Calibri" w:hAnsi="Calibri" w:cs="Calibri"/>
          <w:spacing w:val="-4"/>
          <w:szCs w:val="22"/>
        </w:rPr>
        <w:t xml:space="preserve"> </w:t>
      </w:r>
      <w:r w:rsidRPr="00DE12A1">
        <w:rPr>
          <w:rFonts w:ascii="Calibri" w:eastAsia="Calibri" w:hAnsi="Calibri" w:cs="Calibri"/>
          <w:szCs w:val="22"/>
        </w:rPr>
        <w:t>entity</w:t>
      </w:r>
      <w:r w:rsidRPr="00DE12A1">
        <w:rPr>
          <w:rFonts w:ascii="Calibri" w:eastAsia="Calibri" w:hAnsi="Calibri" w:cs="Calibri"/>
          <w:spacing w:val="-3"/>
          <w:szCs w:val="22"/>
        </w:rPr>
        <w:t xml:space="preserve"> </w:t>
      </w:r>
      <w:r w:rsidRPr="00DE12A1">
        <w:rPr>
          <w:rFonts w:ascii="Calibri" w:eastAsia="Calibri" w:hAnsi="Calibri" w:cs="Calibri"/>
          <w:szCs w:val="22"/>
        </w:rPr>
        <w:t>registration</w:t>
      </w:r>
      <w:r w:rsidRPr="00DE12A1">
        <w:rPr>
          <w:rFonts w:ascii="Calibri" w:eastAsia="Calibri" w:hAnsi="Calibri" w:cs="Calibri"/>
          <w:spacing w:val="-4"/>
          <w:szCs w:val="22"/>
        </w:rPr>
        <w:t xml:space="preserve"> </w:t>
      </w:r>
      <w:r w:rsidRPr="00DE12A1">
        <w:rPr>
          <w:rFonts w:ascii="Calibri" w:eastAsia="Calibri" w:hAnsi="Calibri" w:cs="Calibri"/>
          <w:szCs w:val="22"/>
        </w:rPr>
        <w:t>record.</w:t>
      </w:r>
      <w:r w:rsidRPr="00DE12A1">
        <w:rPr>
          <w:rFonts w:ascii="Calibri" w:eastAsia="Calibri" w:hAnsi="Calibri" w:cs="Calibri"/>
          <w:spacing w:val="40"/>
          <w:szCs w:val="22"/>
        </w:rPr>
        <w:t xml:space="preserve"> </w:t>
      </w:r>
      <w:r w:rsidRPr="00DE12A1">
        <w:rPr>
          <w:rFonts w:ascii="Calibri" w:eastAsia="Calibri" w:hAnsi="Calibri" w:cs="Calibri"/>
          <w:szCs w:val="22"/>
        </w:rPr>
        <w:t>NOTE:</w:t>
      </w:r>
      <w:r w:rsidRPr="00DE12A1">
        <w:rPr>
          <w:rFonts w:ascii="Calibri" w:eastAsia="Calibri" w:hAnsi="Calibri" w:cs="Calibri"/>
          <w:spacing w:val="40"/>
          <w:szCs w:val="22"/>
        </w:rPr>
        <w:t xml:space="preserve"> </w:t>
      </w:r>
      <w:proofErr w:type="spellStart"/>
      <w:r w:rsidRPr="00DE12A1">
        <w:rPr>
          <w:rFonts w:ascii="Calibri" w:eastAsia="Calibri" w:hAnsi="Calibri" w:cs="Calibri"/>
          <w:szCs w:val="22"/>
        </w:rPr>
        <w:t>Subawardees</w:t>
      </w:r>
      <w:proofErr w:type="spellEnd"/>
      <w:r w:rsidRPr="00DE12A1">
        <w:rPr>
          <w:rFonts w:ascii="Calibri" w:eastAsia="Calibri" w:hAnsi="Calibri" w:cs="Calibri"/>
          <w:szCs w:val="22"/>
        </w:rPr>
        <w:t>/subrecipients</w:t>
      </w:r>
      <w:r w:rsidRPr="00DE12A1">
        <w:rPr>
          <w:rFonts w:ascii="Calibri" w:eastAsia="Calibri" w:hAnsi="Calibri" w:cs="Calibri"/>
          <w:spacing w:val="-4"/>
          <w:szCs w:val="22"/>
        </w:rPr>
        <w:t xml:space="preserve"> </w:t>
      </w:r>
      <w:r w:rsidRPr="00DE12A1">
        <w:rPr>
          <w:rFonts w:ascii="Calibri" w:eastAsia="Calibri" w:hAnsi="Calibri" w:cs="Calibri"/>
          <w:szCs w:val="22"/>
        </w:rPr>
        <w:t>at</w:t>
      </w:r>
      <w:r w:rsidRPr="00DE12A1">
        <w:rPr>
          <w:rFonts w:ascii="Calibri" w:eastAsia="Calibri" w:hAnsi="Calibri" w:cs="Calibri"/>
          <w:spacing w:val="-4"/>
          <w:szCs w:val="22"/>
        </w:rPr>
        <w:t xml:space="preserve"> </w:t>
      </w:r>
      <w:r w:rsidRPr="00DE12A1">
        <w:rPr>
          <w:rFonts w:ascii="Calibri" w:eastAsia="Calibri" w:hAnsi="Calibri" w:cs="Calibri"/>
          <w:szCs w:val="22"/>
        </w:rPr>
        <w:t>all</w:t>
      </w:r>
      <w:r w:rsidRPr="00DE12A1">
        <w:rPr>
          <w:rFonts w:ascii="Calibri" w:eastAsia="Calibri" w:hAnsi="Calibri" w:cs="Calibri"/>
          <w:spacing w:val="-4"/>
          <w:szCs w:val="22"/>
        </w:rPr>
        <w:t xml:space="preserve"> </w:t>
      </w:r>
      <w:r w:rsidRPr="00DE12A1">
        <w:rPr>
          <w:rFonts w:ascii="Calibri" w:eastAsia="Calibri" w:hAnsi="Calibri" w:cs="Calibri"/>
          <w:szCs w:val="22"/>
        </w:rPr>
        <w:t>tiers must also obtain an UEI from the SAM and provide the UEI to the Prime Recipient before the subaward can be issued.</w:t>
      </w:r>
    </w:p>
    <w:p w14:paraId="0B7698AE" w14:textId="77777777" w:rsidR="00DE12A1" w:rsidRPr="00DE12A1" w:rsidRDefault="00DE12A1" w:rsidP="00DE12A1">
      <w:pPr>
        <w:widowControl w:val="0"/>
        <w:autoSpaceDE w:val="0"/>
        <w:autoSpaceDN w:val="0"/>
        <w:spacing w:before="11"/>
        <w:ind w:right="-900"/>
        <w:rPr>
          <w:rFonts w:ascii="Calibri" w:eastAsia="Calibri" w:hAnsi="Calibri" w:cs="Calibri"/>
          <w:sz w:val="23"/>
          <w:szCs w:val="24"/>
        </w:rPr>
      </w:pPr>
    </w:p>
    <w:p w14:paraId="5FCC0FC5" w14:textId="77777777" w:rsidR="00DE12A1" w:rsidRPr="00DE12A1" w:rsidRDefault="00DE12A1" w:rsidP="00C251BE">
      <w:pPr>
        <w:ind w:left="90"/>
        <w:rPr>
          <w:rFonts w:ascii="Calibri" w:eastAsia="Calibri" w:hAnsi="Calibri" w:cs="Calibri"/>
          <w:b/>
          <w:bCs/>
          <w:szCs w:val="24"/>
        </w:rPr>
      </w:pPr>
      <w:r w:rsidRPr="00DE12A1">
        <w:rPr>
          <w:rFonts w:ascii="Calibri" w:eastAsia="Calibri" w:hAnsi="Calibri" w:cs="Calibri"/>
          <w:b/>
          <w:bCs/>
          <w:szCs w:val="24"/>
        </w:rPr>
        <w:t>Applicants</w:t>
      </w:r>
      <w:r w:rsidRPr="00DE12A1">
        <w:rPr>
          <w:rFonts w:ascii="Calibri" w:eastAsia="Calibri" w:hAnsi="Calibri" w:cs="Calibri"/>
          <w:b/>
          <w:bCs/>
          <w:spacing w:val="-4"/>
          <w:szCs w:val="24"/>
        </w:rPr>
        <w:t xml:space="preserve"> </w:t>
      </w:r>
      <w:r w:rsidRPr="00DE12A1">
        <w:rPr>
          <w:rFonts w:ascii="Calibri" w:eastAsia="Calibri" w:hAnsi="Calibri" w:cs="Calibri"/>
          <w:b/>
          <w:bCs/>
          <w:szCs w:val="24"/>
        </w:rPr>
        <w:t>must</w:t>
      </w:r>
      <w:r w:rsidRPr="00DE12A1">
        <w:rPr>
          <w:rFonts w:ascii="Calibri" w:eastAsia="Calibri" w:hAnsi="Calibri" w:cs="Calibri"/>
          <w:b/>
          <w:bCs/>
          <w:spacing w:val="-4"/>
          <w:szCs w:val="24"/>
        </w:rPr>
        <w:t xml:space="preserve"> </w:t>
      </w:r>
      <w:r w:rsidRPr="00DE12A1">
        <w:rPr>
          <w:rFonts w:ascii="Calibri" w:eastAsia="Calibri" w:hAnsi="Calibri" w:cs="Calibri"/>
          <w:b/>
          <w:bCs/>
          <w:szCs w:val="24"/>
        </w:rPr>
        <w:t>register</w:t>
      </w:r>
      <w:r w:rsidRPr="00DE12A1">
        <w:rPr>
          <w:rFonts w:ascii="Calibri" w:eastAsia="Calibri" w:hAnsi="Calibri" w:cs="Calibri"/>
          <w:b/>
          <w:bCs/>
          <w:spacing w:val="-3"/>
          <w:szCs w:val="24"/>
        </w:rPr>
        <w:t xml:space="preserve"> </w:t>
      </w:r>
      <w:r w:rsidRPr="00DE12A1">
        <w:rPr>
          <w:rFonts w:ascii="Calibri" w:eastAsia="Calibri" w:hAnsi="Calibri" w:cs="Calibri"/>
          <w:b/>
          <w:bCs/>
          <w:szCs w:val="24"/>
        </w:rPr>
        <w:t>through</w:t>
      </w:r>
      <w:r w:rsidRPr="00DE12A1">
        <w:rPr>
          <w:rFonts w:ascii="Calibri" w:eastAsia="Calibri" w:hAnsi="Calibri" w:cs="Calibri"/>
          <w:b/>
          <w:bCs/>
          <w:spacing w:val="-4"/>
          <w:szCs w:val="24"/>
        </w:rPr>
        <w:t xml:space="preserve"> </w:t>
      </w:r>
      <w:r w:rsidRPr="00DE12A1">
        <w:rPr>
          <w:rFonts w:ascii="Calibri" w:eastAsia="Calibri" w:hAnsi="Calibri" w:cs="Calibri"/>
          <w:b/>
          <w:bCs/>
          <w:szCs w:val="24"/>
        </w:rPr>
        <w:t>the</w:t>
      </w:r>
      <w:r w:rsidRPr="00DE12A1">
        <w:rPr>
          <w:rFonts w:ascii="Calibri" w:eastAsia="Calibri" w:hAnsi="Calibri" w:cs="Calibri"/>
          <w:b/>
          <w:bCs/>
          <w:spacing w:val="-3"/>
          <w:szCs w:val="24"/>
        </w:rPr>
        <w:t xml:space="preserve"> </w:t>
      </w:r>
      <w:r w:rsidRPr="00DE12A1">
        <w:rPr>
          <w:rFonts w:ascii="Calibri" w:eastAsia="Calibri" w:hAnsi="Calibri" w:cs="Calibri"/>
          <w:b/>
          <w:bCs/>
          <w:szCs w:val="24"/>
        </w:rPr>
        <w:t>EERE</w:t>
      </w:r>
      <w:r w:rsidRPr="00DE12A1">
        <w:rPr>
          <w:rFonts w:ascii="Calibri" w:eastAsia="Calibri" w:hAnsi="Calibri" w:cs="Calibri"/>
          <w:b/>
          <w:bCs/>
          <w:spacing w:val="-2"/>
          <w:szCs w:val="24"/>
        </w:rPr>
        <w:t xml:space="preserve"> </w:t>
      </w:r>
      <w:proofErr w:type="spellStart"/>
      <w:r w:rsidRPr="00DE12A1">
        <w:rPr>
          <w:rFonts w:ascii="Calibri" w:eastAsia="Calibri" w:hAnsi="Calibri" w:cs="Calibri"/>
          <w:b/>
          <w:bCs/>
          <w:spacing w:val="-2"/>
          <w:szCs w:val="24"/>
        </w:rPr>
        <w:t>eXCHANGE</w:t>
      </w:r>
      <w:proofErr w:type="spellEnd"/>
      <w:r w:rsidRPr="00DE12A1">
        <w:rPr>
          <w:rFonts w:ascii="Calibri" w:eastAsia="Calibri" w:hAnsi="Calibri" w:cs="Calibri"/>
          <w:b/>
          <w:bCs/>
          <w:spacing w:val="-2"/>
          <w:szCs w:val="24"/>
        </w:rPr>
        <w:t>.</w:t>
      </w:r>
    </w:p>
    <w:p w14:paraId="3285DA20" w14:textId="77777777" w:rsidR="00DE12A1" w:rsidRPr="00DE12A1" w:rsidRDefault="00DE12A1" w:rsidP="00DE12A1">
      <w:pPr>
        <w:widowControl w:val="0"/>
        <w:autoSpaceDE w:val="0"/>
        <w:autoSpaceDN w:val="0"/>
        <w:ind w:left="119" w:right="-900"/>
        <w:rPr>
          <w:rFonts w:ascii="Calibri" w:eastAsia="Calibri" w:hAnsi="Calibri" w:cs="Calibri"/>
          <w:b/>
          <w:szCs w:val="22"/>
        </w:rPr>
      </w:pPr>
      <w:r w:rsidRPr="00DE12A1">
        <w:rPr>
          <w:rFonts w:ascii="Calibri" w:eastAsia="Calibri" w:hAnsi="Calibri" w:cs="Calibri"/>
          <w:b/>
          <w:szCs w:val="22"/>
        </w:rPr>
        <w:t>EERE</w:t>
      </w:r>
      <w:r w:rsidRPr="00DE12A1">
        <w:rPr>
          <w:rFonts w:ascii="Calibri" w:eastAsia="Calibri" w:hAnsi="Calibri" w:cs="Calibri"/>
          <w:b/>
          <w:spacing w:val="-8"/>
          <w:szCs w:val="22"/>
        </w:rPr>
        <w:t xml:space="preserve"> </w:t>
      </w:r>
      <w:proofErr w:type="spellStart"/>
      <w:r w:rsidRPr="00DE12A1">
        <w:rPr>
          <w:rFonts w:ascii="Calibri" w:eastAsia="Calibri" w:hAnsi="Calibri" w:cs="Calibri"/>
          <w:b/>
          <w:szCs w:val="22"/>
        </w:rPr>
        <w:t>eXCHANGE</w:t>
      </w:r>
      <w:proofErr w:type="spellEnd"/>
      <w:r w:rsidRPr="00DE12A1">
        <w:rPr>
          <w:rFonts w:ascii="Calibri" w:eastAsia="Calibri" w:hAnsi="Calibri" w:cs="Calibri"/>
          <w:b/>
          <w:spacing w:val="-5"/>
          <w:szCs w:val="22"/>
        </w:rPr>
        <w:t xml:space="preserve"> </w:t>
      </w:r>
      <w:r w:rsidRPr="00DE12A1">
        <w:rPr>
          <w:rFonts w:ascii="Calibri" w:eastAsia="Calibri" w:hAnsi="Calibri" w:cs="Calibri"/>
          <w:b/>
          <w:szCs w:val="22"/>
        </w:rPr>
        <w:t>website:</w:t>
      </w:r>
      <w:r w:rsidRPr="00DE12A1">
        <w:rPr>
          <w:rFonts w:ascii="Calibri" w:eastAsia="Calibri" w:hAnsi="Calibri" w:cs="Calibri"/>
          <w:b/>
          <w:spacing w:val="-5"/>
          <w:szCs w:val="22"/>
        </w:rPr>
        <w:t xml:space="preserve"> </w:t>
      </w:r>
      <w:hyperlink r:id="rId14">
        <w:r w:rsidRPr="00DE12A1">
          <w:rPr>
            <w:rFonts w:ascii="Calibri" w:eastAsia="Calibri" w:hAnsi="Calibri" w:cs="Calibri"/>
            <w:b/>
            <w:color w:val="0000FF"/>
            <w:szCs w:val="22"/>
            <w:u w:val="single" w:color="0000FF"/>
          </w:rPr>
          <w:t>https://eere-</w:t>
        </w:r>
        <w:r w:rsidRPr="00DE12A1">
          <w:rPr>
            <w:rFonts w:ascii="Calibri" w:eastAsia="Calibri" w:hAnsi="Calibri" w:cs="Calibri"/>
            <w:b/>
            <w:color w:val="0000FF"/>
            <w:spacing w:val="-2"/>
            <w:szCs w:val="22"/>
            <w:u w:val="single" w:color="0000FF"/>
          </w:rPr>
          <w:t>exchange.energy.gov/</w:t>
        </w:r>
      </w:hyperlink>
    </w:p>
    <w:p w14:paraId="540DC422" w14:textId="77777777" w:rsidR="00DE12A1" w:rsidRPr="00DE12A1" w:rsidRDefault="00DE12A1" w:rsidP="00DE12A1">
      <w:pPr>
        <w:widowControl w:val="0"/>
        <w:autoSpaceDE w:val="0"/>
        <w:autoSpaceDN w:val="0"/>
        <w:spacing w:before="10"/>
        <w:ind w:right="-900"/>
        <w:rPr>
          <w:rFonts w:ascii="Calibri" w:eastAsia="Calibri" w:hAnsi="Calibri" w:cs="Calibri"/>
          <w:b/>
          <w:sz w:val="19"/>
          <w:szCs w:val="24"/>
        </w:rPr>
      </w:pPr>
    </w:p>
    <w:p w14:paraId="2F2A2345" w14:textId="77777777" w:rsidR="00DE12A1" w:rsidRPr="00DE12A1" w:rsidRDefault="00DE12A1" w:rsidP="00C251BE">
      <w:pPr>
        <w:ind w:left="90"/>
        <w:rPr>
          <w:rFonts w:ascii="Calibri" w:eastAsia="Calibri" w:hAnsi="Calibri" w:cs="Calibri"/>
          <w:b/>
          <w:bCs/>
          <w:szCs w:val="24"/>
        </w:rPr>
      </w:pPr>
      <w:r w:rsidRPr="00DE12A1">
        <w:rPr>
          <w:rFonts w:ascii="Calibri" w:eastAsia="Calibri" w:hAnsi="Calibri" w:cs="Calibri"/>
          <w:b/>
          <w:bCs/>
          <w:szCs w:val="24"/>
        </w:rPr>
        <w:t>Applicants</w:t>
      </w:r>
      <w:r w:rsidRPr="00DE12A1">
        <w:rPr>
          <w:rFonts w:ascii="Calibri" w:eastAsia="Calibri" w:hAnsi="Calibri" w:cs="Calibri"/>
          <w:b/>
          <w:bCs/>
          <w:spacing w:val="-5"/>
          <w:szCs w:val="24"/>
        </w:rPr>
        <w:t xml:space="preserve"> </w:t>
      </w:r>
      <w:r w:rsidRPr="00DE12A1">
        <w:rPr>
          <w:rFonts w:ascii="Calibri" w:eastAsia="Calibri" w:hAnsi="Calibri" w:cs="Calibri"/>
          <w:b/>
          <w:bCs/>
          <w:szCs w:val="24"/>
        </w:rPr>
        <w:t>must</w:t>
      </w:r>
      <w:r w:rsidRPr="00DE12A1">
        <w:rPr>
          <w:rFonts w:ascii="Calibri" w:eastAsia="Calibri" w:hAnsi="Calibri" w:cs="Calibri"/>
          <w:b/>
          <w:bCs/>
          <w:spacing w:val="-4"/>
          <w:szCs w:val="24"/>
        </w:rPr>
        <w:t xml:space="preserve"> </w:t>
      </w:r>
      <w:r w:rsidRPr="00DE12A1">
        <w:rPr>
          <w:rFonts w:ascii="Calibri" w:eastAsia="Calibri" w:hAnsi="Calibri" w:cs="Calibri"/>
          <w:b/>
          <w:bCs/>
          <w:szCs w:val="24"/>
        </w:rPr>
        <w:t>register</w:t>
      </w:r>
      <w:r w:rsidRPr="00DE12A1">
        <w:rPr>
          <w:rFonts w:ascii="Calibri" w:eastAsia="Calibri" w:hAnsi="Calibri" w:cs="Calibri"/>
          <w:b/>
          <w:bCs/>
          <w:spacing w:val="-3"/>
          <w:szCs w:val="24"/>
        </w:rPr>
        <w:t xml:space="preserve"> </w:t>
      </w:r>
      <w:r w:rsidRPr="00DE12A1">
        <w:rPr>
          <w:rFonts w:ascii="Calibri" w:eastAsia="Calibri" w:hAnsi="Calibri" w:cs="Calibri"/>
          <w:b/>
          <w:bCs/>
          <w:szCs w:val="24"/>
        </w:rPr>
        <w:t>with</w:t>
      </w:r>
      <w:r w:rsidRPr="00DE12A1">
        <w:rPr>
          <w:rFonts w:ascii="Calibri" w:eastAsia="Calibri" w:hAnsi="Calibri" w:cs="Calibri"/>
          <w:b/>
          <w:bCs/>
          <w:spacing w:val="-4"/>
          <w:szCs w:val="24"/>
        </w:rPr>
        <w:t xml:space="preserve"> </w:t>
      </w:r>
      <w:r w:rsidRPr="00DE12A1">
        <w:rPr>
          <w:rFonts w:ascii="Calibri" w:eastAsia="Calibri" w:hAnsi="Calibri" w:cs="Calibri"/>
          <w:b/>
          <w:bCs/>
          <w:szCs w:val="24"/>
        </w:rPr>
        <w:t>the</w:t>
      </w:r>
      <w:r w:rsidRPr="00DE12A1">
        <w:rPr>
          <w:rFonts w:ascii="Calibri" w:eastAsia="Calibri" w:hAnsi="Calibri" w:cs="Calibri"/>
          <w:b/>
          <w:bCs/>
          <w:spacing w:val="-2"/>
          <w:szCs w:val="24"/>
        </w:rPr>
        <w:t xml:space="preserve"> </w:t>
      </w:r>
      <w:r w:rsidRPr="00DE12A1">
        <w:rPr>
          <w:rFonts w:ascii="Calibri" w:eastAsia="Calibri" w:hAnsi="Calibri" w:cs="Calibri"/>
          <w:b/>
          <w:bCs/>
          <w:spacing w:val="-4"/>
          <w:szCs w:val="24"/>
        </w:rPr>
        <w:t>SAM.</w:t>
      </w:r>
    </w:p>
    <w:p w14:paraId="7E97DC83" w14:textId="77777777" w:rsidR="00DE12A1" w:rsidRPr="00DE12A1" w:rsidRDefault="00DE12A1" w:rsidP="00DE12A1">
      <w:pPr>
        <w:widowControl w:val="0"/>
        <w:autoSpaceDE w:val="0"/>
        <w:autoSpaceDN w:val="0"/>
        <w:ind w:left="120" w:right="-900"/>
        <w:rPr>
          <w:rFonts w:ascii="Calibri" w:eastAsia="Calibri" w:hAnsi="Calibri" w:cs="Calibri"/>
          <w:szCs w:val="24"/>
        </w:rPr>
      </w:pPr>
      <w:r w:rsidRPr="00DE12A1">
        <w:rPr>
          <w:rFonts w:ascii="Calibri" w:eastAsia="Calibri" w:hAnsi="Calibri" w:cs="Calibri"/>
          <w:b/>
          <w:szCs w:val="24"/>
        </w:rPr>
        <w:t xml:space="preserve">SAM website: </w:t>
      </w:r>
      <w:hyperlink r:id="rId15">
        <w:r w:rsidRPr="00DE12A1">
          <w:rPr>
            <w:rFonts w:ascii="Calibri" w:eastAsia="Calibri" w:hAnsi="Calibri" w:cs="Calibri"/>
            <w:color w:val="0000FF"/>
            <w:szCs w:val="24"/>
            <w:u w:val="single" w:color="0000FF"/>
          </w:rPr>
          <w:t>http://www.sam.gov/</w:t>
        </w:r>
      </w:hyperlink>
      <w:r w:rsidRPr="00DE12A1">
        <w:rPr>
          <w:rFonts w:ascii="Calibri" w:eastAsia="Calibri" w:hAnsi="Calibri" w:cs="Calibri"/>
          <w:color w:val="0000FF"/>
          <w:spacing w:val="40"/>
          <w:szCs w:val="24"/>
        </w:rPr>
        <w:t xml:space="preserve"> </w:t>
      </w:r>
      <w:r w:rsidRPr="00DE12A1">
        <w:rPr>
          <w:rFonts w:ascii="Calibri" w:eastAsia="Calibri" w:hAnsi="Calibri" w:cs="Calibri"/>
          <w:szCs w:val="24"/>
        </w:rPr>
        <w:t>NOTE:</w:t>
      </w:r>
      <w:r w:rsidRPr="00DE12A1">
        <w:rPr>
          <w:rFonts w:ascii="Calibri" w:eastAsia="Calibri" w:hAnsi="Calibri" w:cs="Calibri"/>
          <w:spacing w:val="40"/>
          <w:szCs w:val="24"/>
        </w:rPr>
        <w:t xml:space="preserve"> </w:t>
      </w:r>
      <w:r w:rsidRPr="00DE12A1">
        <w:rPr>
          <w:rFonts w:ascii="Calibri" w:eastAsia="Calibri" w:hAnsi="Calibri" w:cs="Calibri"/>
          <w:szCs w:val="24"/>
        </w:rPr>
        <w:t>Designating an Electronic Business Point of</w:t>
      </w:r>
      <w:r w:rsidRPr="00DE12A1">
        <w:rPr>
          <w:rFonts w:ascii="Calibri" w:eastAsia="Calibri" w:hAnsi="Calibri" w:cs="Calibri"/>
          <w:spacing w:val="40"/>
          <w:szCs w:val="24"/>
        </w:rPr>
        <w:t xml:space="preserve"> </w:t>
      </w:r>
      <w:r w:rsidRPr="00DE12A1">
        <w:rPr>
          <w:rFonts w:ascii="Calibri" w:eastAsia="Calibri" w:hAnsi="Calibri" w:cs="Calibri"/>
          <w:szCs w:val="24"/>
        </w:rPr>
        <w:t>Contact</w:t>
      </w:r>
      <w:r w:rsidRPr="00DE12A1">
        <w:rPr>
          <w:rFonts w:ascii="Calibri" w:eastAsia="Calibri" w:hAnsi="Calibri" w:cs="Calibri"/>
          <w:spacing w:val="-4"/>
          <w:szCs w:val="24"/>
        </w:rPr>
        <w:t xml:space="preserve"> </w:t>
      </w:r>
      <w:r w:rsidRPr="00DE12A1">
        <w:rPr>
          <w:rFonts w:ascii="Calibri" w:eastAsia="Calibri" w:hAnsi="Calibri" w:cs="Calibri"/>
          <w:szCs w:val="24"/>
        </w:rPr>
        <w:t>(</w:t>
      </w:r>
      <w:proofErr w:type="spellStart"/>
      <w:r w:rsidRPr="00DE12A1">
        <w:rPr>
          <w:rFonts w:ascii="Calibri" w:eastAsia="Calibri" w:hAnsi="Calibri" w:cs="Calibri"/>
          <w:szCs w:val="24"/>
        </w:rPr>
        <w:t>EBiz</w:t>
      </w:r>
      <w:proofErr w:type="spellEnd"/>
      <w:r w:rsidRPr="00DE12A1">
        <w:rPr>
          <w:rFonts w:ascii="Calibri" w:eastAsia="Calibri" w:hAnsi="Calibri" w:cs="Calibri"/>
          <w:spacing w:val="-3"/>
          <w:szCs w:val="24"/>
        </w:rPr>
        <w:t xml:space="preserve"> </w:t>
      </w:r>
      <w:r w:rsidRPr="00DE12A1">
        <w:rPr>
          <w:rFonts w:ascii="Calibri" w:eastAsia="Calibri" w:hAnsi="Calibri" w:cs="Calibri"/>
          <w:szCs w:val="24"/>
        </w:rPr>
        <w:t>POC)</w:t>
      </w:r>
      <w:r w:rsidRPr="00DE12A1">
        <w:rPr>
          <w:rFonts w:ascii="Calibri" w:eastAsia="Calibri" w:hAnsi="Calibri" w:cs="Calibri"/>
          <w:spacing w:val="-2"/>
          <w:szCs w:val="24"/>
        </w:rPr>
        <w:t xml:space="preserve"> </w:t>
      </w:r>
      <w:r w:rsidRPr="00DE12A1">
        <w:rPr>
          <w:rFonts w:ascii="Calibri" w:eastAsia="Calibri" w:hAnsi="Calibri" w:cs="Calibri"/>
          <w:szCs w:val="24"/>
        </w:rPr>
        <w:t>and</w:t>
      </w:r>
      <w:r w:rsidRPr="00DE12A1">
        <w:rPr>
          <w:rFonts w:ascii="Calibri" w:eastAsia="Calibri" w:hAnsi="Calibri" w:cs="Calibri"/>
          <w:spacing w:val="-2"/>
          <w:szCs w:val="24"/>
        </w:rPr>
        <w:t xml:space="preserve"> </w:t>
      </w:r>
      <w:r w:rsidRPr="00DE12A1">
        <w:rPr>
          <w:rFonts w:ascii="Calibri" w:eastAsia="Calibri" w:hAnsi="Calibri" w:cs="Calibri"/>
          <w:szCs w:val="24"/>
        </w:rPr>
        <w:t>obtaining</w:t>
      </w:r>
      <w:r w:rsidRPr="00DE12A1">
        <w:rPr>
          <w:rFonts w:ascii="Calibri" w:eastAsia="Calibri" w:hAnsi="Calibri" w:cs="Calibri"/>
          <w:spacing w:val="-3"/>
          <w:szCs w:val="24"/>
        </w:rPr>
        <w:t xml:space="preserve"> </w:t>
      </w:r>
      <w:r w:rsidRPr="00DE12A1">
        <w:rPr>
          <w:rFonts w:ascii="Calibri" w:eastAsia="Calibri" w:hAnsi="Calibri" w:cs="Calibri"/>
          <w:szCs w:val="24"/>
        </w:rPr>
        <w:t>a</w:t>
      </w:r>
      <w:r w:rsidRPr="00DE12A1">
        <w:rPr>
          <w:rFonts w:ascii="Calibri" w:eastAsia="Calibri" w:hAnsi="Calibri" w:cs="Calibri"/>
          <w:spacing w:val="-3"/>
          <w:szCs w:val="24"/>
        </w:rPr>
        <w:t xml:space="preserve"> </w:t>
      </w:r>
      <w:r w:rsidRPr="00DE12A1">
        <w:rPr>
          <w:rFonts w:ascii="Calibri" w:eastAsia="Calibri" w:hAnsi="Calibri" w:cs="Calibri"/>
          <w:szCs w:val="24"/>
        </w:rPr>
        <w:t>special</w:t>
      </w:r>
      <w:r w:rsidRPr="00DE12A1">
        <w:rPr>
          <w:rFonts w:ascii="Calibri" w:eastAsia="Calibri" w:hAnsi="Calibri" w:cs="Calibri"/>
          <w:spacing w:val="-3"/>
          <w:szCs w:val="24"/>
        </w:rPr>
        <w:t xml:space="preserve"> </w:t>
      </w:r>
      <w:r w:rsidRPr="00DE12A1">
        <w:rPr>
          <w:rFonts w:ascii="Calibri" w:eastAsia="Calibri" w:hAnsi="Calibri" w:cs="Calibri"/>
          <w:szCs w:val="24"/>
        </w:rPr>
        <w:t>password</w:t>
      </w:r>
      <w:r w:rsidRPr="00DE12A1">
        <w:rPr>
          <w:rFonts w:ascii="Calibri" w:eastAsia="Calibri" w:hAnsi="Calibri" w:cs="Calibri"/>
          <w:spacing w:val="-3"/>
          <w:szCs w:val="24"/>
        </w:rPr>
        <w:t xml:space="preserve"> </w:t>
      </w:r>
      <w:r w:rsidRPr="00DE12A1">
        <w:rPr>
          <w:rFonts w:ascii="Calibri" w:eastAsia="Calibri" w:hAnsi="Calibri" w:cs="Calibri"/>
          <w:szCs w:val="24"/>
        </w:rPr>
        <w:t>called</w:t>
      </w:r>
      <w:r w:rsidRPr="00DE12A1">
        <w:rPr>
          <w:rFonts w:ascii="Calibri" w:eastAsia="Calibri" w:hAnsi="Calibri" w:cs="Calibri"/>
          <w:spacing w:val="-4"/>
          <w:szCs w:val="24"/>
        </w:rPr>
        <w:t xml:space="preserve"> </w:t>
      </w:r>
      <w:r w:rsidRPr="00DE12A1">
        <w:rPr>
          <w:rFonts w:ascii="Calibri" w:eastAsia="Calibri" w:hAnsi="Calibri" w:cs="Calibri"/>
          <w:szCs w:val="24"/>
        </w:rPr>
        <w:t>an</w:t>
      </w:r>
      <w:r w:rsidRPr="00DE12A1">
        <w:rPr>
          <w:rFonts w:ascii="Calibri" w:eastAsia="Calibri" w:hAnsi="Calibri" w:cs="Calibri"/>
          <w:spacing w:val="-3"/>
          <w:szCs w:val="24"/>
        </w:rPr>
        <w:t xml:space="preserve"> </w:t>
      </w:r>
      <w:r w:rsidRPr="00DE12A1">
        <w:rPr>
          <w:rFonts w:ascii="Calibri" w:eastAsia="Calibri" w:hAnsi="Calibri" w:cs="Calibri"/>
          <w:szCs w:val="24"/>
        </w:rPr>
        <w:t>MPIN</w:t>
      </w:r>
      <w:r w:rsidRPr="00DE12A1">
        <w:rPr>
          <w:rFonts w:ascii="Calibri" w:eastAsia="Calibri" w:hAnsi="Calibri" w:cs="Calibri"/>
          <w:spacing w:val="-3"/>
          <w:szCs w:val="24"/>
        </w:rPr>
        <w:t xml:space="preserve"> </w:t>
      </w:r>
      <w:r w:rsidRPr="00DE12A1">
        <w:rPr>
          <w:rFonts w:ascii="Calibri" w:eastAsia="Calibri" w:hAnsi="Calibri" w:cs="Calibri"/>
          <w:szCs w:val="24"/>
        </w:rPr>
        <w:t>are</w:t>
      </w:r>
      <w:r w:rsidRPr="00DE12A1">
        <w:rPr>
          <w:rFonts w:ascii="Calibri" w:eastAsia="Calibri" w:hAnsi="Calibri" w:cs="Calibri"/>
          <w:spacing w:val="-2"/>
          <w:szCs w:val="24"/>
        </w:rPr>
        <w:t xml:space="preserve"> </w:t>
      </w:r>
      <w:r w:rsidRPr="00DE12A1">
        <w:rPr>
          <w:rFonts w:ascii="Calibri" w:eastAsia="Calibri" w:hAnsi="Calibri" w:cs="Calibri"/>
          <w:szCs w:val="24"/>
        </w:rPr>
        <w:t>important</w:t>
      </w:r>
      <w:r w:rsidRPr="00DE12A1">
        <w:rPr>
          <w:rFonts w:ascii="Calibri" w:eastAsia="Calibri" w:hAnsi="Calibri" w:cs="Calibri"/>
          <w:spacing w:val="-3"/>
          <w:szCs w:val="24"/>
        </w:rPr>
        <w:t xml:space="preserve"> </w:t>
      </w:r>
      <w:r w:rsidRPr="00DE12A1">
        <w:rPr>
          <w:rFonts w:ascii="Calibri" w:eastAsia="Calibri" w:hAnsi="Calibri" w:cs="Calibri"/>
          <w:szCs w:val="24"/>
        </w:rPr>
        <w:t>steps</w:t>
      </w:r>
      <w:r w:rsidRPr="00DE12A1">
        <w:rPr>
          <w:rFonts w:ascii="Calibri" w:eastAsia="Calibri" w:hAnsi="Calibri" w:cs="Calibri"/>
          <w:spacing w:val="-3"/>
          <w:szCs w:val="24"/>
        </w:rPr>
        <w:t xml:space="preserve"> </w:t>
      </w:r>
      <w:r w:rsidRPr="00DE12A1">
        <w:rPr>
          <w:rFonts w:ascii="Calibri" w:eastAsia="Calibri" w:hAnsi="Calibri" w:cs="Calibri"/>
          <w:szCs w:val="24"/>
        </w:rPr>
        <w:t>in</w:t>
      </w:r>
      <w:r w:rsidRPr="00DE12A1">
        <w:rPr>
          <w:rFonts w:ascii="Calibri" w:eastAsia="Calibri" w:hAnsi="Calibri" w:cs="Calibri"/>
          <w:spacing w:val="-3"/>
          <w:szCs w:val="24"/>
        </w:rPr>
        <w:t xml:space="preserve"> </w:t>
      </w:r>
      <w:r w:rsidRPr="00DE12A1">
        <w:rPr>
          <w:rFonts w:ascii="Calibri" w:eastAsia="Calibri" w:hAnsi="Calibri" w:cs="Calibri"/>
          <w:szCs w:val="24"/>
        </w:rPr>
        <w:t>SAM registration.</w:t>
      </w:r>
      <w:r w:rsidRPr="00DE12A1">
        <w:rPr>
          <w:rFonts w:ascii="Calibri" w:eastAsia="Calibri" w:hAnsi="Calibri" w:cs="Calibri"/>
          <w:spacing w:val="40"/>
          <w:szCs w:val="24"/>
        </w:rPr>
        <w:t xml:space="preserve"> </w:t>
      </w:r>
      <w:r w:rsidRPr="00DE12A1">
        <w:rPr>
          <w:rFonts w:ascii="Calibri" w:eastAsia="Calibri" w:hAnsi="Calibri" w:cs="Calibri"/>
          <w:szCs w:val="24"/>
        </w:rPr>
        <w:t xml:space="preserve">The applicant must </w:t>
      </w:r>
      <w:proofErr w:type="gramStart"/>
      <w:r w:rsidRPr="00DE12A1">
        <w:rPr>
          <w:rFonts w:ascii="Calibri" w:eastAsia="Calibri" w:hAnsi="Calibri" w:cs="Calibri"/>
          <w:szCs w:val="24"/>
        </w:rPr>
        <w:t>maintain an active SAM registration with current information at all times</w:t>
      </w:r>
      <w:proofErr w:type="gramEnd"/>
      <w:r w:rsidRPr="00DE12A1">
        <w:rPr>
          <w:rFonts w:ascii="Calibri" w:eastAsia="Calibri" w:hAnsi="Calibri" w:cs="Calibri"/>
          <w:szCs w:val="24"/>
        </w:rPr>
        <w:t xml:space="preserve"> during which it has an active Federal award or an application under consideration.</w:t>
      </w:r>
    </w:p>
    <w:p w14:paraId="22F3949D" w14:textId="77777777" w:rsidR="00DE12A1" w:rsidRPr="00DE12A1" w:rsidRDefault="00DE12A1" w:rsidP="00DE12A1">
      <w:pPr>
        <w:widowControl w:val="0"/>
        <w:autoSpaceDE w:val="0"/>
        <w:autoSpaceDN w:val="0"/>
        <w:ind w:left="120" w:right="-900"/>
        <w:rPr>
          <w:rFonts w:ascii="Calibri" w:eastAsia="Calibri" w:hAnsi="Calibri" w:cs="Calibri"/>
          <w:szCs w:val="24"/>
        </w:rPr>
      </w:pPr>
      <w:r w:rsidRPr="00DE12A1">
        <w:rPr>
          <w:rFonts w:ascii="Calibri" w:eastAsia="Calibri" w:hAnsi="Calibri" w:cs="Calibri"/>
          <w:szCs w:val="24"/>
        </w:rPr>
        <w:t xml:space="preserve">More information about SAM registration for applicants is found at: </w:t>
      </w:r>
      <w:hyperlink r:id="rId16">
        <w:r w:rsidRPr="00DE12A1">
          <w:rPr>
            <w:rFonts w:ascii="Calibri" w:eastAsia="Calibri" w:hAnsi="Calibri" w:cs="Calibri"/>
            <w:color w:val="0000FF"/>
            <w:spacing w:val="-2"/>
            <w:szCs w:val="24"/>
            <w:u w:val="single" w:color="0000FF"/>
          </w:rPr>
          <w:t>https://www.fsd.gov/gsafsd_sp?id=gsafsd_kb_articles&amp;sys_id=650d493e1bab7c105465eaccac4</w:t>
        </w:r>
      </w:hyperlink>
      <w:r w:rsidRPr="00DE12A1">
        <w:rPr>
          <w:rFonts w:ascii="Calibri" w:eastAsia="Calibri" w:hAnsi="Calibri" w:cs="Calibri"/>
          <w:color w:val="0000FF"/>
          <w:spacing w:val="-2"/>
          <w:szCs w:val="24"/>
        </w:rPr>
        <w:t xml:space="preserve"> </w:t>
      </w:r>
      <w:hyperlink r:id="rId17">
        <w:proofErr w:type="spellStart"/>
        <w:r w:rsidRPr="00DE12A1">
          <w:rPr>
            <w:rFonts w:ascii="Calibri" w:eastAsia="Calibri" w:hAnsi="Calibri" w:cs="Calibri"/>
            <w:color w:val="0000FF"/>
            <w:spacing w:val="-2"/>
            <w:szCs w:val="24"/>
            <w:u w:val="single" w:color="0000FF"/>
          </w:rPr>
          <w:t>bcbcb</w:t>
        </w:r>
        <w:proofErr w:type="spellEnd"/>
      </w:hyperlink>
      <w:r w:rsidRPr="00DE12A1">
        <w:rPr>
          <w:rFonts w:ascii="Calibri" w:eastAsia="Calibri" w:hAnsi="Calibri" w:cs="Calibri"/>
          <w:spacing w:val="-2"/>
          <w:szCs w:val="24"/>
        </w:rPr>
        <w:t>.</w:t>
      </w:r>
    </w:p>
    <w:p w14:paraId="75990ACC" w14:textId="77777777" w:rsidR="00DE12A1" w:rsidRPr="00DE12A1" w:rsidRDefault="00DE12A1" w:rsidP="00DE12A1">
      <w:pPr>
        <w:widowControl w:val="0"/>
        <w:autoSpaceDE w:val="0"/>
        <w:autoSpaceDN w:val="0"/>
        <w:spacing w:before="9"/>
        <w:ind w:right="-900"/>
        <w:rPr>
          <w:rFonts w:ascii="Calibri" w:eastAsia="Calibri" w:hAnsi="Calibri" w:cs="Calibri"/>
          <w:sz w:val="19"/>
          <w:szCs w:val="24"/>
        </w:rPr>
      </w:pPr>
    </w:p>
    <w:p w14:paraId="0B40240E" w14:textId="77777777" w:rsidR="00DE12A1" w:rsidRPr="00DE12A1" w:rsidRDefault="00DE12A1" w:rsidP="00DE12A1">
      <w:pPr>
        <w:widowControl w:val="0"/>
        <w:autoSpaceDE w:val="0"/>
        <w:autoSpaceDN w:val="0"/>
        <w:spacing w:before="52"/>
        <w:ind w:left="120" w:right="-900"/>
        <w:rPr>
          <w:rFonts w:ascii="Calibri" w:eastAsia="Calibri" w:hAnsi="Calibri" w:cs="Calibri"/>
          <w:b/>
          <w:szCs w:val="22"/>
        </w:rPr>
      </w:pPr>
      <w:r w:rsidRPr="00DE12A1">
        <w:rPr>
          <w:rFonts w:ascii="Calibri" w:eastAsia="Calibri" w:hAnsi="Calibri" w:cs="Calibri"/>
          <w:b/>
          <w:szCs w:val="22"/>
        </w:rPr>
        <w:t>Applicants</w:t>
      </w:r>
      <w:r w:rsidRPr="00DE12A1">
        <w:rPr>
          <w:rFonts w:ascii="Calibri" w:eastAsia="Calibri" w:hAnsi="Calibri" w:cs="Calibri"/>
          <w:b/>
          <w:spacing w:val="-9"/>
          <w:szCs w:val="22"/>
        </w:rPr>
        <w:t xml:space="preserve"> </w:t>
      </w:r>
      <w:r w:rsidRPr="00DE12A1">
        <w:rPr>
          <w:rFonts w:ascii="Calibri" w:eastAsia="Calibri" w:hAnsi="Calibri" w:cs="Calibri"/>
          <w:b/>
          <w:szCs w:val="22"/>
        </w:rPr>
        <w:t>must</w:t>
      </w:r>
      <w:r w:rsidRPr="00DE12A1">
        <w:rPr>
          <w:rFonts w:ascii="Calibri" w:eastAsia="Calibri" w:hAnsi="Calibri" w:cs="Calibri"/>
          <w:b/>
          <w:spacing w:val="-10"/>
          <w:szCs w:val="22"/>
        </w:rPr>
        <w:t xml:space="preserve"> </w:t>
      </w:r>
      <w:r w:rsidRPr="00DE12A1">
        <w:rPr>
          <w:rFonts w:ascii="Calibri" w:eastAsia="Calibri" w:hAnsi="Calibri" w:cs="Calibri"/>
          <w:b/>
          <w:szCs w:val="22"/>
        </w:rPr>
        <w:t>register</w:t>
      </w:r>
      <w:r w:rsidRPr="00DE12A1">
        <w:rPr>
          <w:rFonts w:ascii="Calibri" w:eastAsia="Calibri" w:hAnsi="Calibri" w:cs="Calibri"/>
          <w:b/>
          <w:spacing w:val="-10"/>
          <w:szCs w:val="22"/>
        </w:rPr>
        <w:t xml:space="preserve"> </w:t>
      </w:r>
      <w:r w:rsidRPr="00DE12A1">
        <w:rPr>
          <w:rFonts w:ascii="Calibri" w:eastAsia="Calibri" w:hAnsi="Calibri" w:cs="Calibri"/>
          <w:b/>
          <w:szCs w:val="22"/>
        </w:rPr>
        <w:t>with</w:t>
      </w:r>
      <w:r w:rsidRPr="00DE12A1">
        <w:rPr>
          <w:rFonts w:ascii="Calibri" w:eastAsia="Calibri" w:hAnsi="Calibri" w:cs="Calibri"/>
          <w:b/>
          <w:spacing w:val="-10"/>
          <w:szCs w:val="22"/>
        </w:rPr>
        <w:t xml:space="preserve"> </w:t>
      </w:r>
      <w:r w:rsidRPr="00DE12A1">
        <w:rPr>
          <w:rFonts w:ascii="Calibri" w:eastAsia="Calibri" w:hAnsi="Calibri" w:cs="Calibri"/>
          <w:b/>
          <w:szCs w:val="22"/>
        </w:rPr>
        <w:t xml:space="preserve">Grants.gov. Grants.gov website: </w:t>
      </w:r>
      <w:hyperlink r:id="rId18">
        <w:r w:rsidRPr="00DE12A1">
          <w:rPr>
            <w:rFonts w:ascii="Calibri" w:eastAsia="Calibri" w:hAnsi="Calibri" w:cs="Calibri"/>
            <w:b/>
            <w:color w:val="0000FF"/>
            <w:szCs w:val="22"/>
            <w:u w:val="single" w:color="0000FF"/>
          </w:rPr>
          <w:t>http://grants.gov/</w:t>
        </w:r>
      </w:hyperlink>
    </w:p>
    <w:p w14:paraId="36B3EEF3" w14:textId="77777777" w:rsidR="00DE12A1" w:rsidRPr="00DE12A1" w:rsidRDefault="00DE12A1" w:rsidP="00DE12A1">
      <w:pPr>
        <w:widowControl w:val="0"/>
        <w:autoSpaceDE w:val="0"/>
        <w:autoSpaceDN w:val="0"/>
        <w:ind w:left="120" w:right="-900"/>
        <w:rPr>
          <w:rFonts w:ascii="Calibri" w:eastAsia="Calibri" w:hAnsi="Calibri" w:cs="Calibri"/>
          <w:b/>
          <w:szCs w:val="24"/>
        </w:rPr>
      </w:pPr>
      <w:r w:rsidRPr="00DE12A1">
        <w:rPr>
          <w:rFonts w:ascii="Calibri" w:eastAsia="Calibri" w:hAnsi="Calibri" w:cs="Calibri"/>
          <w:szCs w:val="24"/>
        </w:rPr>
        <w:t xml:space="preserve">Applicants must register with Grants.gov </w:t>
      </w:r>
      <w:proofErr w:type="gramStart"/>
      <w:r w:rsidRPr="00DE12A1">
        <w:rPr>
          <w:rFonts w:ascii="Calibri" w:eastAsia="Calibri" w:hAnsi="Calibri" w:cs="Calibri"/>
          <w:szCs w:val="24"/>
        </w:rPr>
        <w:t>in order to</w:t>
      </w:r>
      <w:proofErr w:type="gramEnd"/>
      <w:r w:rsidRPr="00DE12A1">
        <w:rPr>
          <w:rFonts w:ascii="Calibri" w:eastAsia="Calibri" w:hAnsi="Calibri" w:cs="Calibri"/>
          <w:szCs w:val="24"/>
        </w:rPr>
        <w:t xml:space="preserve"> receive automatic updates, in the event that Amendments to this FOA are posted.</w:t>
      </w:r>
      <w:r w:rsidRPr="00DE12A1">
        <w:rPr>
          <w:rFonts w:ascii="Calibri" w:eastAsia="Calibri" w:hAnsi="Calibri" w:cs="Calibri"/>
          <w:spacing w:val="40"/>
          <w:szCs w:val="24"/>
        </w:rPr>
        <w:t xml:space="preserve"> </w:t>
      </w:r>
      <w:r w:rsidRPr="00DE12A1">
        <w:rPr>
          <w:rFonts w:ascii="Calibri" w:eastAsia="Calibri" w:hAnsi="Calibri" w:cs="Calibri"/>
          <w:szCs w:val="24"/>
        </w:rPr>
        <w:t>However, please note that applications will not be accepted</w:t>
      </w:r>
      <w:r w:rsidRPr="00DE12A1">
        <w:rPr>
          <w:rFonts w:ascii="Calibri" w:eastAsia="Calibri" w:hAnsi="Calibri" w:cs="Calibri"/>
          <w:spacing w:val="-4"/>
          <w:szCs w:val="24"/>
        </w:rPr>
        <w:t xml:space="preserve"> </w:t>
      </w:r>
      <w:r w:rsidRPr="00DE12A1">
        <w:rPr>
          <w:rFonts w:ascii="Calibri" w:eastAsia="Calibri" w:hAnsi="Calibri" w:cs="Calibri"/>
          <w:szCs w:val="24"/>
        </w:rPr>
        <w:t>through</w:t>
      </w:r>
      <w:r w:rsidRPr="00DE12A1">
        <w:rPr>
          <w:rFonts w:ascii="Calibri" w:eastAsia="Calibri" w:hAnsi="Calibri" w:cs="Calibri"/>
          <w:spacing w:val="-4"/>
          <w:szCs w:val="24"/>
        </w:rPr>
        <w:t xml:space="preserve"> </w:t>
      </w:r>
      <w:r w:rsidRPr="00DE12A1">
        <w:rPr>
          <w:rFonts w:ascii="Calibri" w:eastAsia="Calibri" w:hAnsi="Calibri" w:cs="Calibri"/>
          <w:szCs w:val="24"/>
        </w:rPr>
        <w:t>Grants.gov.</w:t>
      </w:r>
      <w:r w:rsidRPr="00DE12A1">
        <w:rPr>
          <w:rFonts w:ascii="Calibri" w:eastAsia="Calibri" w:hAnsi="Calibri" w:cs="Calibri"/>
          <w:spacing w:val="40"/>
          <w:szCs w:val="24"/>
        </w:rPr>
        <w:t xml:space="preserve"> </w:t>
      </w:r>
      <w:r w:rsidRPr="00DE12A1">
        <w:rPr>
          <w:rFonts w:ascii="Calibri" w:eastAsia="Calibri" w:hAnsi="Calibri" w:cs="Calibri"/>
          <w:szCs w:val="24"/>
        </w:rPr>
        <w:t>More</w:t>
      </w:r>
      <w:r w:rsidRPr="00DE12A1">
        <w:rPr>
          <w:rFonts w:ascii="Calibri" w:eastAsia="Calibri" w:hAnsi="Calibri" w:cs="Calibri"/>
          <w:spacing w:val="-4"/>
          <w:szCs w:val="24"/>
        </w:rPr>
        <w:t xml:space="preserve"> </w:t>
      </w:r>
      <w:r w:rsidRPr="00DE12A1">
        <w:rPr>
          <w:rFonts w:ascii="Calibri" w:eastAsia="Calibri" w:hAnsi="Calibri" w:cs="Calibri"/>
          <w:szCs w:val="24"/>
        </w:rPr>
        <w:t>information</w:t>
      </w:r>
      <w:r w:rsidRPr="00DE12A1">
        <w:rPr>
          <w:rFonts w:ascii="Calibri" w:eastAsia="Calibri" w:hAnsi="Calibri" w:cs="Calibri"/>
          <w:spacing w:val="-5"/>
          <w:szCs w:val="24"/>
        </w:rPr>
        <w:t xml:space="preserve"> </w:t>
      </w:r>
      <w:r w:rsidRPr="00DE12A1">
        <w:rPr>
          <w:rFonts w:ascii="Calibri" w:eastAsia="Calibri" w:hAnsi="Calibri" w:cs="Calibri"/>
          <w:szCs w:val="24"/>
        </w:rPr>
        <w:t>about</w:t>
      </w:r>
      <w:r w:rsidRPr="00DE12A1">
        <w:rPr>
          <w:rFonts w:ascii="Calibri" w:eastAsia="Calibri" w:hAnsi="Calibri" w:cs="Calibri"/>
          <w:spacing w:val="-4"/>
          <w:szCs w:val="24"/>
        </w:rPr>
        <w:t xml:space="preserve"> </w:t>
      </w:r>
      <w:r w:rsidRPr="00DE12A1">
        <w:rPr>
          <w:rFonts w:ascii="Calibri" w:eastAsia="Calibri" w:hAnsi="Calibri" w:cs="Calibri"/>
          <w:szCs w:val="24"/>
        </w:rPr>
        <w:t>the</w:t>
      </w:r>
      <w:r w:rsidRPr="00DE12A1">
        <w:rPr>
          <w:rFonts w:ascii="Calibri" w:eastAsia="Calibri" w:hAnsi="Calibri" w:cs="Calibri"/>
          <w:spacing w:val="-3"/>
          <w:szCs w:val="24"/>
        </w:rPr>
        <w:t xml:space="preserve"> </w:t>
      </w:r>
      <w:r w:rsidRPr="00DE12A1">
        <w:rPr>
          <w:rFonts w:ascii="Calibri" w:eastAsia="Calibri" w:hAnsi="Calibri" w:cs="Calibri"/>
          <w:szCs w:val="24"/>
        </w:rPr>
        <w:t>registration</w:t>
      </w:r>
      <w:r w:rsidRPr="00DE12A1">
        <w:rPr>
          <w:rFonts w:ascii="Calibri" w:eastAsia="Calibri" w:hAnsi="Calibri" w:cs="Calibri"/>
          <w:spacing w:val="-4"/>
          <w:szCs w:val="24"/>
        </w:rPr>
        <w:t xml:space="preserve"> </w:t>
      </w:r>
      <w:r w:rsidRPr="00DE12A1">
        <w:rPr>
          <w:rFonts w:ascii="Calibri" w:eastAsia="Calibri" w:hAnsi="Calibri" w:cs="Calibri"/>
          <w:szCs w:val="24"/>
        </w:rPr>
        <w:t>steps</w:t>
      </w:r>
      <w:r w:rsidRPr="00DE12A1">
        <w:rPr>
          <w:rFonts w:ascii="Calibri" w:eastAsia="Calibri" w:hAnsi="Calibri" w:cs="Calibri"/>
          <w:spacing w:val="-4"/>
          <w:szCs w:val="24"/>
        </w:rPr>
        <w:t xml:space="preserve"> </w:t>
      </w:r>
      <w:r w:rsidRPr="00DE12A1">
        <w:rPr>
          <w:rFonts w:ascii="Calibri" w:eastAsia="Calibri" w:hAnsi="Calibri" w:cs="Calibri"/>
          <w:szCs w:val="24"/>
        </w:rPr>
        <w:t>for</w:t>
      </w:r>
      <w:r w:rsidRPr="00DE12A1">
        <w:rPr>
          <w:rFonts w:ascii="Calibri" w:eastAsia="Calibri" w:hAnsi="Calibri" w:cs="Calibri"/>
          <w:spacing w:val="-3"/>
          <w:szCs w:val="24"/>
        </w:rPr>
        <w:t xml:space="preserve"> </w:t>
      </w:r>
      <w:r w:rsidRPr="00DE12A1">
        <w:rPr>
          <w:rFonts w:ascii="Calibri" w:eastAsia="Calibri" w:hAnsi="Calibri" w:cs="Calibri"/>
          <w:szCs w:val="24"/>
        </w:rPr>
        <w:t>Grants.gov</w:t>
      </w:r>
      <w:r w:rsidRPr="00DE12A1">
        <w:rPr>
          <w:rFonts w:ascii="Calibri" w:eastAsia="Calibri" w:hAnsi="Calibri" w:cs="Calibri"/>
          <w:spacing w:val="-4"/>
          <w:szCs w:val="24"/>
        </w:rPr>
        <w:t xml:space="preserve"> </w:t>
      </w:r>
      <w:r w:rsidRPr="00DE12A1">
        <w:rPr>
          <w:rFonts w:ascii="Calibri" w:eastAsia="Calibri" w:hAnsi="Calibri" w:cs="Calibri"/>
          <w:szCs w:val="24"/>
        </w:rPr>
        <w:t>is provided at</w:t>
      </w:r>
      <w:r w:rsidRPr="00DE12A1">
        <w:rPr>
          <w:rFonts w:ascii="Calibri" w:eastAsia="Calibri" w:hAnsi="Calibri" w:cs="Calibri"/>
          <w:b/>
          <w:szCs w:val="24"/>
        </w:rPr>
        <w:t xml:space="preserve">: </w:t>
      </w:r>
      <w:hyperlink r:id="rId19">
        <w:r w:rsidRPr="00DE12A1">
          <w:rPr>
            <w:rFonts w:ascii="Calibri" w:eastAsia="Calibri" w:hAnsi="Calibri" w:cs="Calibri"/>
            <w:b/>
            <w:color w:val="0000FF"/>
            <w:szCs w:val="24"/>
            <w:u w:val="single" w:color="0000FF"/>
          </w:rPr>
          <w:t>https://www.grants.gov/web/grants/applicants/registration.html</w:t>
        </w:r>
      </w:hyperlink>
    </w:p>
    <w:p w14:paraId="2FE2AD28" w14:textId="77777777" w:rsidR="00DE12A1" w:rsidRPr="00DE12A1" w:rsidRDefault="00DE12A1" w:rsidP="00DE12A1">
      <w:pPr>
        <w:widowControl w:val="0"/>
        <w:autoSpaceDE w:val="0"/>
        <w:autoSpaceDN w:val="0"/>
        <w:spacing w:before="9"/>
        <w:ind w:right="-900"/>
        <w:rPr>
          <w:rFonts w:ascii="Calibri" w:eastAsia="Calibri" w:hAnsi="Calibri" w:cs="Calibri"/>
          <w:b/>
          <w:sz w:val="19"/>
          <w:szCs w:val="24"/>
        </w:rPr>
      </w:pPr>
    </w:p>
    <w:p w14:paraId="261998F2" w14:textId="77777777" w:rsidR="00DE12A1" w:rsidRPr="00DE12A1" w:rsidRDefault="00DE12A1" w:rsidP="00C251BE">
      <w:pPr>
        <w:ind w:left="90"/>
        <w:rPr>
          <w:rFonts w:ascii="Calibri" w:eastAsia="Calibri" w:hAnsi="Calibri" w:cs="Calibri"/>
          <w:bCs/>
          <w:szCs w:val="24"/>
        </w:rPr>
      </w:pPr>
      <w:r w:rsidRPr="00DE12A1">
        <w:rPr>
          <w:rFonts w:ascii="Calibri" w:eastAsia="Calibri" w:hAnsi="Calibri" w:cs="Calibri"/>
          <w:b/>
          <w:bCs/>
          <w:szCs w:val="24"/>
        </w:rPr>
        <w:t xml:space="preserve">Applicants must register with </w:t>
      </w:r>
      <w:proofErr w:type="spellStart"/>
      <w:r w:rsidRPr="00DE12A1">
        <w:rPr>
          <w:rFonts w:ascii="Calibri" w:eastAsia="Calibri" w:hAnsi="Calibri" w:cs="Calibri"/>
          <w:b/>
          <w:bCs/>
          <w:szCs w:val="24"/>
        </w:rPr>
        <w:t>FedConnect</w:t>
      </w:r>
      <w:proofErr w:type="spellEnd"/>
      <w:r w:rsidRPr="00DE12A1">
        <w:rPr>
          <w:rFonts w:ascii="Calibri" w:eastAsia="Calibri" w:hAnsi="Calibri" w:cs="Calibri"/>
          <w:b/>
          <w:bCs/>
          <w:szCs w:val="24"/>
        </w:rPr>
        <w:t xml:space="preserve">. </w:t>
      </w:r>
      <w:proofErr w:type="spellStart"/>
      <w:r w:rsidRPr="00DE12A1">
        <w:rPr>
          <w:rFonts w:ascii="Calibri" w:eastAsia="Calibri" w:hAnsi="Calibri" w:cs="Calibri"/>
          <w:b/>
          <w:bCs/>
          <w:szCs w:val="24"/>
        </w:rPr>
        <w:t>FedConnect</w:t>
      </w:r>
      <w:proofErr w:type="spellEnd"/>
      <w:r w:rsidRPr="00DE12A1">
        <w:rPr>
          <w:rFonts w:ascii="Calibri" w:eastAsia="Calibri" w:hAnsi="Calibri" w:cs="Calibri"/>
          <w:b/>
          <w:bCs/>
          <w:spacing w:val="-14"/>
          <w:szCs w:val="24"/>
        </w:rPr>
        <w:t xml:space="preserve"> </w:t>
      </w:r>
      <w:r w:rsidRPr="00DE12A1">
        <w:rPr>
          <w:rFonts w:ascii="Calibri" w:eastAsia="Calibri" w:hAnsi="Calibri" w:cs="Calibri"/>
          <w:b/>
          <w:bCs/>
          <w:szCs w:val="24"/>
        </w:rPr>
        <w:t>website:</w:t>
      </w:r>
      <w:r w:rsidRPr="00DE12A1">
        <w:rPr>
          <w:rFonts w:ascii="Calibri" w:eastAsia="Calibri" w:hAnsi="Calibri" w:cs="Calibri"/>
          <w:b/>
          <w:bCs/>
          <w:spacing w:val="-14"/>
          <w:szCs w:val="24"/>
        </w:rPr>
        <w:t xml:space="preserve"> </w:t>
      </w:r>
      <w:hyperlink r:id="rId20">
        <w:r w:rsidRPr="00DE12A1">
          <w:rPr>
            <w:rFonts w:ascii="Calibri" w:eastAsia="Calibri" w:hAnsi="Calibri" w:cs="Calibri"/>
            <w:b/>
            <w:bCs/>
            <w:color w:val="0000FF"/>
            <w:szCs w:val="24"/>
            <w:u w:val="single" w:color="0000FF"/>
          </w:rPr>
          <w:t>www.fedconnect.net</w:t>
        </w:r>
      </w:hyperlink>
      <w:r w:rsidRPr="00DE12A1">
        <w:rPr>
          <w:rFonts w:ascii="Calibri" w:eastAsia="Calibri" w:hAnsi="Calibri" w:cs="Calibri"/>
          <w:bCs/>
          <w:szCs w:val="24"/>
        </w:rPr>
        <w:t>.</w:t>
      </w:r>
    </w:p>
    <w:p w14:paraId="3F0D4558" w14:textId="77777777" w:rsidR="00DE12A1" w:rsidRPr="00DE12A1" w:rsidRDefault="00DE12A1" w:rsidP="00DE12A1">
      <w:pPr>
        <w:widowControl w:val="0"/>
        <w:autoSpaceDE w:val="0"/>
        <w:autoSpaceDN w:val="0"/>
        <w:ind w:left="120" w:right="-900"/>
        <w:rPr>
          <w:rFonts w:ascii="Calibri" w:eastAsia="Calibri" w:hAnsi="Calibri" w:cs="Calibri"/>
          <w:b/>
          <w:szCs w:val="22"/>
        </w:rPr>
      </w:pPr>
      <w:proofErr w:type="gramStart"/>
      <w:r w:rsidRPr="00DE12A1">
        <w:rPr>
          <w:rFonts w:ascii="Calibri" w:eastAsia="Calibri" w:hAnsi="Calibri" w:cs="Calibri"/>
          <w:szCs w:val="22"/>
        </w:rPr>
        <w:t>In the event that</w:t>
      </w:r>
      <w:proofErr w:type="gramEnd"/>
      <w:r w:rsidRPr="00DE12A1">
        <w:rPr>
          <w:rFonts w:ascii="Calibri" w:eastAsia="Calibri" w:hAnsi="Calibri" w:cs="Calibri"/>
          <w:szCs w:val="22"/>
        </w:rPr>
        <w:t xml:space="preserve"> an application is selected for negotiation of award, Applicants must be registered with </w:t>
      </w:r>
      <w:proofErr w:type="spellStart"/>
      <w:r w:rsidRPr="00DE12A1">
        <w:rPr>
          <w:rFonts w:ascii="Calibri" w:eastAsia="Calibri" w:hAnsi="Calibri" w:cs="Calibri"/>
          <w:szCs w:val="22"/>
        </w:rPr>
        <w:t>FedConnect</w:t>
      </w:r>
      <w:proofErr w:type="spellEnd"/>
      <w:r w:rsidRPr="00DE12A1">
        <w:rPr>
          <w:rFonts w:ascii="Calibri" w:eastAsia="Calibri" w:hAnsi="Calibri" w:cs="Calibri"/>
          <w:szCs w:val="22"/>
        </w:rPr>
        <w:t xml:space="preserve"> to receive the award.</w:t>
      </w:r>
      <w:r w:rsidRPr="00DE12A1">
        <w:rPr>
          <w:rFonts w:ascii="Calibri" w:eastAsia="Calibri" w:hAnsi="Calibri" w:cs="Calibri"/>
          <w:spacing w:val="40"/>
          <w:szCs w:val="22"/>
        </w:rPr>
        <w:t xml:space="preserve"> </w:t>
      </w:r>
      <w:r w:rsidRPr="00DE12A1">
        <w:rPr>
          <w:rFonts w:ascii="Calibri" w:eastAsia="Calibri" w:hAnsi="Calibri" w:cs="Calibri"/>
          <w:szCs w:val="22"/>
        </w:rPr>
        <w:t xml:space="preserve">For more information regarding registration with </w:t>
      </w:r>
      <w:proofErr w:type="spellStart"/>
      <w:r w:rsidRPr="00DE12A1">
        <w:rPr>
          <w:rFonts w:ascii="Calibri" w:eastAsia="Calibri" w:hAnsi="Calibri" w:cs="Calibri"/>
          <w:szCs w:val="22"/>
        </w:rPr>
        <w:t>FedConnect</w:t>
      </w:r>
      <w:proofErr w:type="spellEnd"/>
      <w:r w:rsidRPr="00DE12A1">
        <w:rPr>
          <w:rFonts w:ascii="Calibri" w:eastAsia="Calibri" w:hAnsi="Calibri" w:cs="Calibri"/>
          <w:szCs w:val="22"/>
        </w:rPr>
        <w:t xml:space="preserve"> review the </w:t>
      </w:r>
      <w:proofErr w:type="spellStart"/>
      <w:r w:rsidRPr="00DE12A1">
        <w:rPr>
          <w:rFonts w:ascii="Calibri" w:eastAsia="Calibri" w:hAnsi="Calibri" w:cs="Calibri"/>
          <w:szCs w:val="22"/>
        </w:rPr>
        <w:t>FedConnect</w:t>
      </w:r>
      <w:proofErr w:type="spellEnd"/>
      <w:r w:rsidRPr="00DE12A1">
        <w:rPr>
          <w:rFonts w:ascii="Calibri" w:eastAsia="Calibri" w:hAnsi="Calibri" w:cs="Calibri"/>
          <w:szCs w:val="22"/>
        </w:rPr>
        <w:t xml:space="preserve"> Ready, Set, Go! Guide at </w:t>
      </w:r>
      <w:hyperlink r:id="rId21">
        <w:r w:rsidRPr="00DE12A1">
          <w:rPr>
            <w:rFonts w:ascii="Calibri" w:eastAsia="Calibri" w:hAnsi="Calibri" w:cs="Calibri"/>
            <w:b/>
            <w:color w:val="0000FF"/>
            <w:spacing w:val="-2"/>
            <w:szCs w:val="22"/>
            <w:u w:val="single" w:color="0000FF"/>
          </w:rPr>
          <w:t>https://www.fedconnect.net/FedConnect/Marketing/Documents/FedConnect_Ready_Set_G</w:t>
        </w:r>
      </w:hyperlink>
      <w:r w:rsidRPr="00DE12A1">
        <w:rPr>
          <w:rFonts w:ascii="Calibri" w:eastAsia="Calibri" w:hAnsi="Calibri" w:cs="Calibri"/>
          <w:b/>
          <w:color w:val="0000FF"/>
          <w:spacing w:val="-2"/>
          <w:szCs w:val="22"/>
        </w:rPr>
        <w:t xml:space="preserve"> </w:t>
      </w:r>
      <w:hyperlink r:id="rId22">
        <w:r w:rsidRPr="00DE12A1">
          <w:rPr>
            <w:rFonts w:ascii="Calibri" w:eastAsia="Calibri" w:hAnsi="Calibri" w:cs="Calibri"/>
            <w:b/>
            <w:color w:val="0000FF"/>
            <w:spacing w:val="-2"/>
            <w:szCs w:val="22"/>
            <w:u w:val="single" w:color="0000FF"/>
          </w:rPr>
          <w:t>o.pdf</w:t>
        </w:r>
      </w:hyperlink>
      <w:r w:rsidRPr="00DE12A1">
        <w:rPr>
          <w:rFonts w:ascii="Calibri" w:eastAsia="Calibri" w:hAnsi="Calibri" w:cs="Calibri"/>
          <w:b/>
          <w:spacing w:val="-2"/>
          <w:szCs w:val="22"/>
        </w:rPr>
        <w:t>.</w:t>
      </w:r>
    </w:p>
    <w:p w14:paraId="30C308D8" w14:textId="77777777" w:rsidR="00DE12A1" w:rsidRDefault="00DE12A1" w:rsidP="00DE12A1">
      <w:pPr>
        <w:ind w:left="360"/>
      </w:pPr>
    </w:p>
    <w:p w14:paraId="0F5295D3" w14:textId="77777777" w:rsidR="00DE12A1" w:rsidRDefault="00DE12A1">
      <w:r>
        <w:br w:type="page"/>
      </w:r>
    </w:p>
    <w:p w14:paraId="00B44C54" w14:textId="77777777" w:rsidR="00DE12A1" w:rsidRPr="00DE12A1" w:rsidRDefault="00DE12A1" w:rsidP="00DE12A1">
      <w:pPr>
        <w:widowControl w:val="0"/>
        <w:autoSpaceDE w:val="0"/>
        <w:autoSpaceDN w:val="0"/>
        <w:spacing w:before="1"/>
        <w:ind w:left="120" w:right="-900"/>
        <w:rPr>
          <w:rFonts w:ascii="Calibri" w:eastAsia="Calibri" w:hAnsi="Calibri" w:cs="Calibri"/>
          <w:b/>
          <w:i/>
          <w:szCs w:val="22"/>
        </w:rPr>
      </w:pPr>
      <w:r w:rsidRPr="00DE12A1">
        <w:rPr>
          <w:rFonts w:ascii="Calibri" w:eastAsia="Calibri" w:hAnsi="Calibri" w:cs="Calibri"/>
          <w:b/>
          <w:i/>
          <w:szCs w:val="22"/>
          <w:u w:val="single"/>
        </w:rPr>
        <w:lastRenderedPageBreak/>
        <w:t>Submission</w:t>
      </w:r>
      <w:r w:rsidRPr="00DE12A1">
        <w:rPr>
          <w:rFonts w:ascii="Calibri" w:eastAsia="Calibri" w:hAnsi="Calibri" w:cs="Calibri"/>
          <w:b/>
          <w:i/>
          <w:spacing w:val="-5"/>
          <w:szCs w:val="22"/>
          <w:u w:val="single"/>
        </w:rPr>
        <w:t xml:space="preserve"> </w:t>
      </w:r>
      <w:r w:rsidRPr="00DE12A1">
        <w:rPr>
          <w:rFonts w:ascii="Calibri" w:eastAsia="Calibri" w:hAnsi="Calibri" w:cs="Calibri"/>
          <w:b/>
          <w:i/>
          <w:spacing w:val="-2"/>
          <w:szCs w:val="22"/>
          <w:u w:val="single"/>
        </w:rPr>
        <w:t>Requirements</w:t>
      </w:r>
    </w:p>
    <w:p w14:paraId="1FE0F2A8" w14:textId="77777777" w:rsidR="00DE12A1" w:rsidRPr="00DE12A1" w:rsidRDefault="00DE12A1" w:rsidP="00DE12A1">
      <w:pPr>
        <w:widowControl w:val="0"/>
        <w:autoSpaceDE w:val="0"/>
        <w:autoSpaceDN w:val="0"/>
        <w:spacing w:before="9"/>
        <w:ind w:right="-900"/>
        <w:rPr>
          <w:rFonts w:ascii="Calibri" w:eastAsia="Calibri" w:hAnsi="Calibri" w:cs="Calibri"/>
          <w:b/>
          <w:i/>
          <w:sz w:val="19"/>
          <w:szCs w:val="24"/>
        </w:rPr>
      </w:pPr>
    </w:p>
    <w:p w14:paraId="13C9DD18" w14:textId="77777777" w:rsidR="00DE12A1" w:rsidRPr="00DE12A1" w:rsidRDefault="00DE12A1" w:rsidP="00DE12A1">
      <w:pPr>
        <w:widowControl w:val="0"/>
        <w:autoSpaceDE w:val="0"/>
        <w:autoSpaceDN w:val="0"/>
        <w:spacing w:before="51"/>
        <w:ind w:left="120" w:right="-900"/>
        <w:rPr>
          <w:rFonts w:ascii="Calibri" w:eastAsia="Calibri" w:hAnsi="Calibri" w:cs="Calibri"/>
          <w:szCs w:val="24"/>
        </w:rPr>
      </w:pPr>
      <w:r w:rsidRPr="00DE12A1">
        <w:rPr>
          <w:rFonts w:ascii="Calibri" w:eastAsia="Calibri" w:hAnsi="Calibri" w:cs="Calibri"/>
          <w:szCs w:val="24"/>
        </w:rPr>
        <w:t xml:space="preserve">All application submissions are to be made via the EERE </w:t>
      </w:r>
      <w:proofErr w:type="spellStart"/>
      <w:r w:rsidRPr="00DE12A1">
        <w:rPr>
          <w:rFonts w:ascii="Calibri" w:eastAsia="Calibri" w:hAnsi="Calibri" w:cs="Calibri"/>
          <w:szCs w:val="24"/>
        </w:rPr>
        <w:t>eXCHANGE</w:t>
      </w:r>
      <w:proofErr w:type="spellEnd"/>
      <w:r w:rsidRPr="00DE12A1">
        <w:rPr>
          <w:rFonts w:ascii="Calibri" w:eastAsia="Calibri" w:hAnsi="Calibri" w:cs="Calibri"/>
          <w:szCs w:val="24"/>
        </w:rPr>
        <w:t xml:space="preserve"> at </w:t>
      </w:r>
      <w:hyperlink r:id="rId23">
        <w:r w:rsidRPr="00DE12A1">
          <w:rPr>
            <w:rFonts w:ascii="Calibri" w:eastAsia="Calibri" w:hAnsi="Calibri" w:cs="Calibri"/>
            <w:b/>
            <w:color w:val="0000FF"/>
            <w:szCs w:val="24"/>
            <w:u w:val="single" w:color="0000FF"/>
          </w:rPr>
          <w:t>https://eere-</w:t>
        </w:r>
      </w:hyperlink>
      <w:r w:rsidRPr="00DE12A1">
        <w:rPr>
          <w:rFonts w:ascii="Calibri" w:eastAsia="Calibri" w:hAnsi="Calibri" w:cs="Calibri"/>
          <w:b/>
          <w:color w:val="0000FF"/>
          <w:szCs w:val="24"/>
        </w:rPr>
        <w:t xml:space="preserve"> </w:t>
      </w:r>
      <w:hyperlink r:id="rId24">
        <w:r w:rsidRPr="00DE12A1">
          <w:rPr>
            <w:rFonts w:ascii="Calibri" w:eastAsia="Calibri" w:hAnsi="Calibri" w:cs="Calibri"/>
            <w:b/>
            <w:color w:val="0000FF"/>
            <w:szCs w:val="24"/>
            <w:u w:val="single" w:color="0000FF"/>
          </w:rPr>
          <w:t>exchange.energy.gov/</w:t>
        </w:r>
      </w:hyperlink>
      <w:r w:rsidRPr="00DE12A1">
        <w:rPr>
          <w:rFonts w:ascii="Calibri" w:eastAsia="Calibri" w:hAnsi="Calibri" w:cs="Calibri"/>
          <w:szCs w:val="24"/>
        </w:rPr>
        <w:t xml:space="preserve">. To gain access to the EERE </w:t>
      </w:r>
      <w:proofErr w:type="spellStart"/>
      <w:r w:rsidRPr="00DE12A1">
        <w:rPr>
          <w:rFonts w:ascii="Calibri" w:eastAsia="Calibri" w:hAnsi="Calibri" w:cs="Calibri"/>
          <w:szCs w:val="24"/>
        </w:rPr>
        <w:t>eXCHANGE</w:t>
      </w:r>
      <w:proofErr w:type="spellEnd"/>
      <w:r w:rsidRPr="00DE12A1">
        <w:rPr>
          <w:rFonts w:ascii="Calibri" w:eastAsia="Calibri" w:hAnsi="Calibri" w:cs="Calibri"/>
          <w:szCs w:val="24"/>
        </w:rPr>
        <w:t xml:space="preserve"> system, the applicant must first register and create an account on the main EERE </w:t>
      </w:r>
      <w:proofErr w:type="spellStart"/>
      <w:r w:rsidRPr="00DE12A1">
        <w:rPr>
          <w:rFonts w:ascii="Calibri" w:eastAsia="Calibri" w:hAnsi="Calibri" w:cs="Calibri"/>
          <w:szCs w:val="24"/>
        </w:rPr>
        <w:t>eXCHANGE</w:t>
      </w:r>
      <w:proofErr w:type="spellEnd"/>
      <w:r w:rsidRPr="00DE12A1">
        <w:rPr>
          <w:rFonts w:ascii="Calibri" w:eastAsia="Calibri" w:hAnsi="Calibri" w:cs="Calibri"/>
          <w:szCs w:val="24"/>
        </w:rPr>
        <w:t xml:space="preserve"> site. This account will then allow the user to </w:t>
      </w:r>
      <w:proofErr w:type="gramStart"/>
      <w:r w:rsidRPr="00DE12A1">
        <w:rPr>
          <w:rFonts w:ascii="Calibri" w:eastAsia="Calibri" w:hAnsi="Calibri" w:cs="Calibri"/>
          <w:szCs w:val="24"/>
        </w:rPr>
        <w:t>submit an application</w:t>
      </w:r>
      <w:proofErr w:type="gramEnd"/>
      <w:r w:rsidRPr="00DE12A1">
        <w:rPr>
          <w:rFonts w:ascii="Calibri" w:eastAsia="Calibri" w:hAnsi="Calibri" w:cs="Calibri"/>
          <w:szCs w:val="24"/>
        </w:rPr>
        <w:t xml:space="preserve"> for open EERE Funding Opportunity Announcements (FOAs) that</w:t>
      </w:r>
      <w:r w:rsidRPr="00DE12A1">
        <w:rPr>
          <w:rFonts w:ascii="Calibri" w:eastAsia="Calibri" w:hAnsi="Calibri" w:cs="Calibri"/>
          <w:spacing w:val="-3"/>
          <w:szCs w:val="24"/>
        </w:rPr>
        <w:t xml:space="preserve"> </w:t>
      </w:r>
      <w:r w:rsidRPr="00DE12A1">
        <w:rPr>
          <w:rFonts w:ascii="Calibri" w:eastAsia="Calibri" w:hAnsi="Calibri" w:cs="Calibri"/>
          <w:szCs w:val="24"/>
        </w:rPr>
        <w:t>are</w:t>
      </w:r>
      <w:r w:rsidRPr="00DE12A1">
        <w:rPr>
          <w:rFonts w:ascii="Calibri" w:eastAsia="Calibri" w:hAnsi="Calibri" w:cs="Calibri"/>
          <w:spacing w:val="-2"/>
          <w:szCs w:val="24"/>
        </w:rPr>
        <w:t xml:space="preserve"> </w:t>
      </w:r>
      <w:r w:rsidRPr="00DE12A1">
        <w:rPr>
          <w:rFonts w:ascii="Calibri" w:eastAsia="Calibri" w:hAnsi="Calibri" w:cs="Calibri"/>
          <w:szCs w:val="24"/>
        </w:rPr>
        <w:t>currently</w:t>
      </w:r>
      <w:r w:rsidRPr="00DE12A1">
        <w:rPr>
          <w:rFonts w:ascii="Calibri" w:eastAsia="Calibri" w:hAnsi="Calibri" w:cs="Calibri"/>
          <w:spacing w:val="-2"/>
          <w:szCs w:val="24"/>
        </w:rPr>
        <w:t xml:space="preserve"> </w:t>
      </w:r>
      <w:r w:rsidRPr="00DE12A1">
        <w:rPr>
          <w:rFonts w:ascii="Calibri" w:eastAsia="Calibri" w:hAnsi="Calibri" w:cs="Calibri"/>
          <w:szCs w:val="24"/>
        </w:rPr>
        <w:t>in</w:t>
      </w:r>
      <w:r w:rsidRPr="00DE12A1">
        <w:rPr>
          <w:rFonts w:ascii="Calibri" w:eastAsia="Calibri" w:hAnsi="Calibri" w:cs="Calibri"/>
          <w:spacing w:val="-3"/>
          <w:szCs w:val="24"/>
        </w:rPr>
        <w:t xml:space="preserve"> </w:t>
      </w:r>
      <w:r w:rsidRPr="00DE12A1">
        <w:rPr>
          <w:rFonts w:ascii="Calibri" w:eastAsia="Calibri" w:hAnsi="Calibri" w:cs="Calibri"/>
          <w:szCs w:val="24"/>
        </w:rPr>
        <w:t>EERE</w:t>
      </w:r>
      <w:r w:rsidRPr="00DE12A1">
        <w:rPr>
          <w:rFonts w:ascii="Calibri" w:eastAsia="Calibri" w:hAnsi="Calibri" w:cs="Calibri"/>
          <w:spacing w:val="-2"/>
          <w:szCs w:val="24"/>
        </w:rPr>
        <w:t xml:space="preserve"> </w:t>
      </w:r>
      <w:r w:rsidRPr="00DE12A1">
        <w:rPr>
          <w:rFonts w:ascii="Calibri" w:eastAsia="Calibri" w:hAnsi="Calibri" w:cs="Calibri"/>
          <w:szCs w:val="24"/>
        </w:rPr>
        <w:t>Exchange.</w:t>
      </w:r>
      <w:r w:rsidRPr="00DE12A1">
        <w:rPr>
          <w:rFonts w:ascii="Calibri" w:eastAsia="Calibri" w:hAnsi="Calibri" w:cs="Calibri"/>
          <w:spacing w:val="40"/>
          <w:szCs w:val="24"/>
        </w:rPr>
        <w:t xml:space="preserve"> </w:t>
      </w:r>
      <w:r w:rsidRPr="00DE12A1">
        <w:rPr>
          <w:rFonts w:ascii="Calibri" w:eastAsia="Calibri" w:hAnsi="Calibri" w:cs="Calibri"/>
          <w:szCs w:val="24"/>
        </w:rPr>
        <w:t>It</w:t>
      </w:r>
      <w:r w:rsidRPr="00DE12A1">
        <w:rPr>
          <w:rFonts w:ascii="Calibri" w:eastAsia="Calibri" w:hAnsi="Calibri" w:cs="Calibri"/>
          <w:spacing w:val="-3"/>
          <w:szCs w:val="24"/>
        </w:rPr>
        <w:t xml:space="preserve"> </w:t>
      </w:r>
      <w:r w:rsidRPr="00DE12A1">
        <w:rPr>
          <w:rFonts w:ascii="Calibri" w:eastAsia="Calibri" w:hAnsi="Calibri" w:cs="Calibri"/>
          <w:szCs w:val="24"/>
        </w:rPr>
        <w:t>is</w:t>
      </w:r>
      <w:r w:rsidRPr="00DE12A1">
        <w:rPr>
          <w:rFonts w:ascii="Calibri" w:eastAsia="Calibri" w:hAnsi="Calibri" w:cs="Calibri"/>
          <w:spacing w:val="-3"/>
          <w:szCs w:val="24"/>
        </w:rPr>
        <w:t xml:space="preserve"> </w:t>
      </w:r>
      <w:r w:rsidRPr="00DE12A1">
        <w:rPr>
          <w:rFonts w:ascii="Calibri" w:eastAsia="Calibri" w:hAnsi="Calibri" w:cs="Calibri"/>
          <w:szCs w:val="24"/>
        </w:rPr>
        <w:t>recommended</w:t>
      </w:r>
      <w:r w:rsidRPr="00DE12A1">
        <w:rPr>
          <w:rFonts w:ascii="Calibri" w:eastAsia="Calibri" w:hAnsi="Calibri" w:cs="Calibri"/>
          <w:spacing w:val="-3"/>
          <w:szCs w:val="24"/>
        </w:rPr>
        <w:t xml:space="preserve"> </w:t>
      </w:r>
      <w:r w:rsidRPr="00DE12A1">
        <w:rPr>
          <w:rFonts w:ascii="Calibri" w:eastAsia="Calibri" w:hAnsi="Calibri" w:cs="Calibri"/>
          <w:szCs w:val="24"/>
        </w:rPr>
        <w:t>that</w:t>
      </w:r>
      <w:r w:rsidRPr="00DE12A1">
        <w:rPr>
          <w:rFonts w:ascii="Calibri" w:eastAsia="Calibri" w:hAnsi="Calibri" w:cs="Calibri"/>
          <w:spacing w:val="-3"/>
          <w:szCs w:val="24"/>
        </w:rPr>
        <w:t xml:space="preserve"> </w:t>
      </w:r>
      <w:r w:rsidRPr="00DE12A1">
        <w:rPr>
          <w:rFonts w:ascii="Calibri" w:eastAsia="Calibri" w:hAnsi="Calibri" w:cs="Calibri"/>
          <w:szCs w:val="24"/>
        </w:rPr>
        <w:t>each</w:t>
      </w:r>
      <w:r w:rsidRPr="00DE12A1">
        <w:rPr>
          <w:rFonts w:ascii="Calibri" w:eastAsia="Calibri" w:hAnsi="Calibri" w:cs="Calibri"/>
          <w:spacing w:val="-3"/>
          <w:szCs w:val="24"/>
        </w:rPr>
        <w:t xml:space="preserve"> </w:t>
      </w:r>
      <w:r w:rsidRPr="00DE12A1">
        <w:rPr>
          <w:rFonts w:ascii="Calibri" w:eastAsia="Calibri" w:hAnsi="Calibri" w:cs="Calibri"/>
          <w:szCs w:val="24"/>
        </w:rPr>
        <w:t>organization</w:t>
      </w:r>
      <w:r w:rsidRPr="00DE12A1">
        <w:rPr>
          <w:rFonts w:ascii="Calibri" w:eastAsia="Calibri" w:hAnsi="Calibri" w:cs="Calibri"/>
          <w:spacing w:val="-3"/>
          <w:szCs w:val="24"/>
        </w:rPr>
        <w:t xml:space="preserve"> </w:t>
      </w:r>
      <w:r w:rsidRPr="00DE12A1">
        <w:rPr>
          <w:rFonts w:ascii="Calibri" w:eastAsia="Calibri" w:hAnsi="Calibri" w:cs="Calibri"/>
          <w:szCs w:val="24"/>
        </w:rPr>
        <w:t>or</w:t>
      </w:r>
      <w:r w:rsidRPr="00DE12A1">
        <w:rPr>
          <w:rFonts w:ascii="Calibri" w:eastAsia="Calibri" w:hAnsi="Calibri" w:cs="Calibri"/>
          <w:spacing w:val="-2"/>
          <w:szCs w:val="24"/>
        </w:rPr>
        <w:t xml:space="preserve"> </w:t>
      </w:r>
      <w:r w:rsidRPr="00DE12A1">
        <w:rPr>
          <w:rFonts w:ascii="Calibri" w:eastAsia="Calibri" w:hAnsi="Calibri" w:cs="Calibri"/>
          <w:szCs w:val="24"/>
        </w:rPr>
        <w:t>business</w:t>
      </w:r>
      <w:r w:rsidRPr="00DE12A1">
        <w:rPr>
          <w:rFonts w:ascii="Calibri" w:eastAsia="Calibri" w:hAnsi="Calibri" w:cs="Calibri"/>
          <w:spacing w:val="-3"/>
          <w:szCs w:val="24"/>
        </w:rPr>
        <w:t xml:space="preserve"> </w:t>
      </w:r>
      <w:r w:rsidRPr="00DE12A1">
        <w:rPr>
          <w:rFonts w:ascii="Calibri" w:eastAsia="Calibri" w:hAnsi="Calibri" w:cs="Calibri"/>
          <w:szCs w:val="24"/>
        </w:rPr>
        <w:t>unit, whether acting as a team or a single entity, utilize one account as the appropriate contact information for each submission.</w:t>
      </w:r>
    </w:p>
    <w:p w14:paraId="42339A54" w14:textId="77777777" w:rsidR="00DE12A1" w:rsidRPr="00DE12A1" w:rsidRDefault="00DE12A1" w:rsidP="00DE12A1">
      <w:pPr>
        <w:widowControl w:val="0"/>
        <w:autoSpaceDE w:val="0"/>
        <w:autoSpaceDN w:val="0"/>
        <w:spacing w:before="1"/>
        <w:ind w:right="-900"/>
        <w:rPr>
          <w:rFonts w:ascii="Calibri" w:eastAsia="Calibri" w:hAnsi="Calibri" w:cs="Calibri"/>
          <w:szCs w:val="24"/>
        </w:rPr>
      </w:pPr>
    </w:p>
    <w:p w14:paraId="50B457FA" w14:textId="77777777" w:rsidR="00DE12A1" w:rsidRPr="00DE12A1" w:rsidRDefault="00DE12A1" w:rsidP="00DE12A1">
      <w:pPr>
        <w:widowControl w:val="0"/>
        <w:autoSpaceDE w:val="0"/>
        <w:autoSpaceDN w:val="0"/>
        <w:ind w:left="120" w:right="-900"/>
        <w:rPr>
          <w:rFonts w:ascii="Calibri" w:eastAsia="Calibri" w:hAnsi="Calibri" w:cs="Calibri"/>
          <w:szCs w:val="24"/>
        </w:rPr>
      </w:pPr>
      <w:r w:rsidRPr="00DE12A1">
        <w:rPr>
          <w:rFonts w:ascii="Calibri" w:eastAsia="Calibri" w:hAnsi="Calibri" w:cs="Calibri"/>
          <w:szCs w:val="24"/>
        </w:rPr>
        <w:t>Applicants</w:t>
      </w:r>
      <w:r w:rsidRPr="00DE12A1">
        <w:rPr>
          <w:rFonts w:ascii="Calibri" w:eastAsia="Calibri" w:hAnsi="Calibri" w:cs="Calibri"/>
          <w:spacing w:val="-3"/>
          <w:szCs w:val="24"/>
        </w:rPr>
        <w:t xml:space="preserve"> </w:t>
      </w:r>
      <w:r w:rsidRPr="00DE12A1">
        <w:rPr>
          <w:rFonts w:ascii="Calibri" w:eastAsia="Calibri" w:hAnsi="Calibri" w:cs="Calibri"/>
          <w:szCs w:val="24"/>
        </w:rPr>
        <w:t>will</w:t>
      </w:r>
      <w:r w:rsidRPr="00DE12A1">
        <w:rPr>
          <w:rFonts w:ascii="Calibri" w:eastAsia="Calibri" w:hAnsi="Calibri" w:cs="Calibri"/>
          <w:spacing w:val="-3"/>
          <w:szCs w:val="24"/>
        </w:rPr>
        <w:t xml:space="preserve"> </w:t>
      </w:r>
      <w:r w:rsidRPr="00DE12A1">
        <w:rPr>
          <w:rFonts w:ascii="Calibri" w:eastAsia="Calibri" w:hAnsi="Calibri" w:cs="Calibri"/>
          <w:szCs w:val="24"/>
        </w:rPr>
        <w:t>receive</w:t>
      </w:r>
      <w:r w:rsidRPr="00DE12A1">
        <w:rPr>
          <w:rFonts w:ascii="Calibri" w:eastAsia="Calibri" w:hAnsi="Calibri" w:cs="Calibri"/>
          <w:spacing w:val="-3"/>
          <w:szCs w:val="24"/>
        </w:rPr>
        <w:t xml:space="preserve"> </w:t>
      </w:r>
      <w:r w:rsidRPr="00DE12A1">
        <w:rPr>
          <w:rFonts w:ascii="Calibri" w:eastAsia="Calibri" w:hAnsi="Calibri" w:cs="Calibri"/>
          <w:szCs w:val="24"/>
        </w:rPr>
        <w:t>an</w:t>
      </w:r>
      <w:r w:rsidRPr="00DE12A1">
        <w:rPr>
          <w:rFonts w:ascii="Calibri" w:eastAsia="Calibri" w:hAnsi="Calibri" w:cs="Calibri"/>
          <w:spacing w:val="-3"/>
          <w:szCs w:val="24"/>
        </w:rPr>
        <w:t xml:space="preserve"> </w:t>
      </w:r>
      <w:r w:rsidRPr="00DE12A1">
        <w:rPr>
          <w:rFonts w:ascii="Calibri" w:eastAsia="Calibri" w:hAnsi="Calibri" w:cs="Calibri"/>
          <w:szCs w:val="24"/>
        </w:rPr>
        <w:t>automated</w:t>
      </w:r>
      <w:r w:rsidRPr="00DE12A1">
        <w:rPr>
          <w:rFonts w:ascii="Calibri" w:eastAsia="Calibri" w:hAnsi="Calibri" w:cs="Calibri"/>
          <w:spacing w:val="-3"/>
          <w:szCs w:val="24"/>
        </w:rPr>
        <w:t xml:space="preserve"> </w:t>
      </w:r>
      <w:r w:rsidRPr="00DE12A1">
        <w:rPr>
          <w:rFonts w:ascii="Calibri" w:eastAsia="Calibri" w:hAnsi="Calibri" w:cs="Calibri"/>
          <w:szCs w:val="24"/>
        </w:rPr>
        <w:t>response</w:t>
      </w:r>
      <w:r w:rsidRPr="00DE12A1">
        <w:rPr>
          <w:rFonts w:ascii="Calibri" w:eastAsia="Calibri" w:hAnsi="Calibri" w:cs="Calibri"/>
          <w:spacing w:val="-3"/>
          <w:szCs w:val="24"/>
        </w:rPr>
        <w:t xml:space="preserve"> </w:t>
      </w:r>
      <w:r w:rsidRPr="00DE12A1">
        <w:rPr>
          <w:rFonts w:ascii="Calibri" w:eastAsia="Calibri" w:hAnsi="Calibri" w:cs="Calibri"/>
          <w:szCs w:val="24"/>
        </w:rPr>
        <w:t>when</w:t>
      </w:r>
      <w:r w:rsidRPr="00DE12A1">
        <w:rPr>
          <w:rFonts w:ascii="Calibri" w:eastAsia="Calibri" w:hAnsi="Calibri" w:cs="Calibri"/>
          <w:spacing w:val="-3"/>
          <w:szCs w:val="24"/>
        </w:rPr>
        <w:t xml:space="preserve"> </w:t>
      </w:r>
      <w:r w:rsidRPr="00DE12A1">
        <w:rPr>
          <w:rFonts w:ascii="Calibri" w:eastAsia="Calibri" w:hAnsi="Calibri" w:cs="Calibri"/>
          <w:szCs w:val="24"/>
        </w:rPr>
        <w:t>the</w:t>
      </w:r>
      <w:r w:rsidRPr="00DE12A1">
        <w:rPr>
          <w:rFonts w:ascii="Calibri" w:eastAsia="Calibri" w:hAnsi="Calibri" w:cs="Calibri"/>
          <w:spacing w:val="-2"/>
          <w:szCs w:val="24"/>
        </w:rPr>
        <w:t xml:space="preserve"> </w:t>
      </w:r>
      <w:r w:rsidRPr="00DE12A1">
        <w:rPr>
          <w:rFonts w:ascii="Calibri" w:eastAsia="Calibri" w:hAnsi="Calibri" w:cs="Calibri"/>
          <w:szCs w:val="24"/>
        </w:rPr>
        <w:t>Application</w:t>
      </w:r>
      <w:r w:rsidRPr="00DE12A1">
        <w:rPr>
          <w:rFonts w:ascii="Calibri" w:eastAsia="Calibri" w:hAnsi="Calibri" w:cs="Calibri"/>
          <w:spacing w:val="-3"/>
          <w:szCs w:val="24"/>
        </w:rPr>
        <w:t xml:space="preserve"> </w:t>
      </w:r>
      <w:r w:rsidRPr="00DE12A1">
        <w:rPr>
          <w:rFonts w:ascii="Calibri" w:eastAsia="Calibri" w:hAnsi="Calibri" w:cs="Calibri"/>
          <w:szCs w:val="24"/>
        </w:rPr>
        <w:t>is</w:t>
      </w:r>
      <w:r w:rsidRPr="00DE12A1">
        <w:rPr>
          <w:rFonts w:ascii="Calibri" w:eastAsia="Calibri" w:hAnsi="Calibri" w:cs="Calibri"/>
          <w:spacing w:val="-4"/>
          <w:szCs w:val="24"/>
        </w:rPr>
        <w:t xml:space="preserve"> </w:t>
      </w:r>
      <w:r w:rsidRPr="00DE12A1">
        <w:rPr>
          <w:rFonts w:ascii="Calibri" w:eastAsia="Calibri" w:hAnsi="Calibri" w:cs="Calibri"/>
          <w:szCs w:val="24"/>
        </w:rPr>
        <w:t>received;</w:t>
      </w:r>
      <w:r w:rsidRPr="00DE12A1">
        <w:rPr>
          <w:rFonts w:ascii="Calibri" w:eastAsia="Calibri" w:hAnsi="Calibri" w:cs="Calibri"/>
          <w:spacing w:val="-2"/>
          <w:szCs w:val="24"/>
        </w:rPr>
        <w:t xml:space="preserve"> </w:t>
      </w:r>
      <w:r w:rsidRPr="00DE12A1">
        <w:rPr>
          <w:rFonts w:ascii="Calibri" w:eastAsia="Calibri" w:hAnsi="Calibri" w:cs="Calibri"/>
          <w:szCs w:val="24"/>
        </w:rPr>
        <w:t>this</w:t>
      </w:r>
      <w:r w:rsidRPr="00DE12A1">
        <w:rPr>
          <w:rFonts w:ascii="Calibri" w:eastAsia="Calibri" w:hAnsi="Calibri" w:cs="Calibri"/>
          <w:spacing w:val="-3"/>
          <w:szCs w:val="24"/>
        </w:rPr>
        <w:t xml:space="preserve"> </w:t>
      </w:r>
      <w:r w:rsidRPr="00DE12A1">
        <w:rPr>
          <w:rFonts w:ascii="Calibri" w:eastAsia="Calibri" w:hAnsi="Calibri" w:cs="Calibri"/>
          <w:szCs w:val="24"/>
        </w:rPr>
        <w:t>will</w:t>
      </w:r>
      <w:r w:rsidRPr="00DE12A1">
        <w:rPr>
          <w:rFonts w:ascii="Calibri" w:eastAsia="Calibri" w:hAnsi="Calibri" w:cs="Calibri"/>
          <w:spacing w:val="-3"/>
          <w:szCs w:val="24"/>
        </w:rPr>
        <w:t xml:space="preserve"> </w:t>
      </w:r>
      <w:r w:rsidRPr="00DE12A1">
        <w:rPr>
          <w:rFonts w:ascii="Calibri" w:eastAsia="Calibri" w:hAnsi="Calibri" w:cs="Calibri"/>
          <w:szCs w:val="24"/>
        </w:rPr>
        <w:t xml:space="preserve">serve as a confirmation of EERE receipt. Please do not reply to the automated response. A “User Guide” for the EERE </w:t>
      </w:r>
      <w:proofErr w:type="spellStart"/>
      <w:r w:rsidRPr="00DE12A1">
        <w:rPr>
          <w:rFonts w:ascii="Calibri" w:eastAsia="Calibri" w:hAnsi="Calibri" w:cs="Calibri"/>
          <w:szCs w:val="24"/>
        </w:rPr>
        <w:t>eXCHANGE</w:t>
      </w:r>
      <w:proofErr w:type="spellEnd"/>
      <w:r w:rsidRPr="00DE12A1">
        <w:rPr>
          <w:rFonts w:ascii="Calibri" w:eastAsia="Calibri" w:hAnsi="Calibri" w:cs="Calibri"/>
          <w:szCs w:val="24"/>
        </w:rPr>
        <w:t xml:space="preserve"> can be found on the EERE website at </w:t>
      </w:r>
      <w:hyperlink r:id="rId25">
        <w:r w:rsidRPr="00DE12A1">
          <w:rPr>
            <w:rFonts w:ascii="Calibri" w:eastAsia="Calibri" w:hAnsi="Calibri" w:cs="Calibri"/>
            <w:color w:val="0000FF"/>
            <w:szCs w:val="24"/>
            <w:u w:val="single" w:color="0000FF"/>
          </w:rPr>
          <w:t>https://eere-</w:t>
        </w:r>
      </w:hyperlink>
      <w:r w:rsidRPr="00DE12A1">
        <w:rPr>
          <w:rFonts w:ascii="Calibri" w:eastAsia="Calibri" w:hAnsi="Calibri" w:cs="Calibri"/>
          <w:color w:val="0000FF"/>
          <w:szCs w:val="24"/>
        </w:rPr>
        <w:t xml:space="preserve"> </w:t>
      </w:r>
      <w:hyperlink r:id="rId26">
        <w:r w:rsidRPr="00DE12A1">
          <w:rPr>
            <w:rFonts w:ascii="Calibri" w:eastAsia="Calibri" w:hAnsi="Calibri" w:cs="Calibri"/>
            <w:color w:val="0000FF"/>
            <w:szCs w:val="24"/>
            <w:u w:val="single" w:color="0000FF"/>
          </w:rPr>
          <w:t>exchange.energy.gov/Manuals.aspx</w:t>
        </w:r>
        <w:r w:rsidRPr="00DE12A1">
          <w:rPr>
            <w:rFonts w:ascii="Calibri" w:eastAsia="Calibri" w:hAnsi="Calibri" w:cs="Calibri"/>
            <w:color w:val="0000FF"/>
            <w:szCs w:val="24"/>
          </w:rPr>
          <w:t xml:space="preserve"> </w:t>
        </w:r>
      </w:hyperlink>
      <w:r w:rsidRPr="00DE12A1">
        <w:rPr>
          <w:rFonts w:ascii="Calibri" w:eastAsia="Calibri" w:hAnsi="Calibri" w:cs="Calibri"/>
          <w:szCs w:val="24"/>
        </w:rPr>
        <w:t>after logging in to the system.</w:t>
      </w:r>
    </w:p>
    <w:p w14:paraId="319FF0AE" w14:textId="77777777" w:rsidR="00DE12A1" w:rsidRPr="00DE12A1" w:rsidRDefault="00DE12A1" w:rsidP="00DE12A1">
      <w:pPr>
        <w:widowControl w:val="0"/>
        <w:autoSpaceDE w:val="0"/>
        <w:autoSpaceDN w:val="0"/>
        <w:spacing w:before="9"/>
        <w:ind w:right="-900"/>
        <w:rPr>
          <w:rFonts w:ascii="Calibri" w:eastAsia="Calibri" w:hAnsi="Calibri" w:cs="Calibri"/>
          <w:sz w:val="19"/>
          <w:szCs w:val="24"/>
        </w:rPr>
      </w:pPr>
    </w:p>
    <w:p w14:paraId="5FE11B66" w14:textId="77777777" w:rsidR="00DE12A1" w:rsidRPr="00DE12A1" w:rsidRDefault="00DE12A1" w:rsidP="00DE12A1">
      <w:pPr>
        <w:widowControl w:val="0"/>
        <w:autoSpaceDE w:val="0"/>
        <w:autoSpaceDN w:val="0"/>
        <w:spacing w:before="51"/>
        <w:ind w:left="120" w:right="-900"/>
        <w:rPr>
          <w:rFonts w:ascii="Calibri" w:eastAsia="Calibri" w:hAnsi="Calibri" w:cs="Calibri"/>
          <w:szCs w:val="24"/>
        </w:rPr>
      </w:pPr>
      <w:r w:rsidRPr="00DE12A1">
        <w:rPr>
          <w:rFonts w:ascii="Calibri" w:eastAsia="Calibri" w:hAnsi="Calibri" w:cs="Calibri"/>
          <w:szCs w:val="24"/>
        </w:rPr>
        <w:t>To receive notices via email regarding an FOA in EERE Exchange, such as amendments to the announcement</w:t>
      </w:r>
      <w:r w:rsidRPr="00DE12A1">
        <w:rPr>
          <w:rFonts w:ascii="Calibri" w:eastAsia="Calibri" w:hAnsi="Calibri" w:cs="Calibri"/>
          <w:spacing w:val="-2"/>
          <w:szCs w:val="24"/>
        </w:rPr>
        <w:t xml:space="preserve"> </w:t>
      </w:r>
      <w:r w:rsidRPr="00DE12A1">
        <w:rPr>
          <w:rFonts w:ascii="Calibri" w:eastAsia="Calibri" w:hAnsi="Calibri" w:cs="Calibri"/>
          <w:szCs w:val="24"/>
        </w:rPr>
        <w:t>or</w:t>
      </w:r>
      <w:r w:rsidRPr="00DE12A1">
        <w:rPr>
          <w:rFonts w:ascii="Calibri" w:eastAsia="Calibri" w:hAnsi="Calibri" w:cs="Calibri"/>
          <w:spacing w:val="-1"/>
          <w:szCs w:val="24"/>
        </w:rPr>
        <w:t xml:space="preserve"> </w:t>
      </w:r>
      <w:r w:rsidRPr="00DE12A1">
        <w:rPr>
          <w:rFonts w:ascii="Calibri" w:eastAsia="Calibri" w:hAnsi="Calibri" w:cs="Calibri"/>
          <w:szCs w:val="24"/>
        </w:rPr>
        <w:t>the</w:t>
      </w:r>
      <w:r w:rsidRPr="00DE12A1">
        <w:rPr>
          <w:rFonts w:ascii="Calibri" w:eastAsia="Calibri" w:hAnsi="Calibri" w:cs="Calibri"/>
          <w:spacing w:val="-1"/>
          <w:szCs w:val="24"/>
        </w:rPr>
        <w:t xml:space="preserve"> </w:t>
      </w:r>
      <w:r w:rsidRPr="00DE12A1">
        <w:rPr>
          <w:rFonts w:ascii="Calibri" w:eastAsia="Calibri" w:hAnsi="Calibri" w:cs="Calibri"/>
          <w:szCs w:val="24"/>
        </w:rPr>
        <w:t>posting</w:t>
      </w:r>
      <w:r w:rsidRPr="00DE12A1">
        <w:rPr>
          <w:rFonts w:ascii="Calibri" w:eastAsia="Calibri" w:hAnsi="Calibri" w:cs="Calibri"/>
          <w:spacing w:val="-2"/>
          <w:szCs w:val="24"/>
        </w:rPr>
        <w:t xml:space="preserve"> </w:t>
      </w:r>
      <w:r w:rsidRPr="00DE12A1">
        <w:rPr>
          <w:rFonts w:ascii="Calibri" w:eastAsia="Calibri" w:hAnsi="Calibri" w:cs="Calibri"/>
          <w:szCs w:val="24"/>
        </w:rPr>
        <w:t>of</w:t>
      </w:r>
      <w:r w:rsidRPr="00DE12A1">
        <w:rPr>
          <w:rFonts w:ascii="Calibri" w:eastAsia="Calibri" w:hAnsi="Calibri" w:cs="Calibri"/>
          <w:spacing w:val="-2"/>
          <w:szCs w:val="24"/>
        </w:rPr>
        <w:t xml:space="preserve"> </w:t>
      </w:r>
      <w:r w:rsidRPr="00DE12A1">
        <w:rPr>
          <w:rFonts w:ascii="Calibri" w:eastAsia="Calibri" w:hAnsi="Calibri" w:cs="Calibri"/>
          <w:szCs w:val="24"/>
        </w:rPr>
        <w:t>new</w:t>
      </w:r>
      <w:r w:rsidRPr="00DE12A1">
        <w:rPr>
          <w:rFonts w:ascii="Calibri" w:eastAsia="Calibri" w:hAnsi="Calibri" w:cs="Calibri"/>
          <w:spacing w:val="-2"/>
          <w:szCs w:val="24"/>
        </w:rPr>
        <w:t xml:space="preserve"> </w:t>
      </w:r>
      <w:r w:rsidRPr="00DE12A1">
        <w:rPr>
          <w:rFonts w:ascii="Calibri" w:eastAsia="Calibri" w:hAnsi="Calibri" w:cs="Calibri"/>
          <w:szCs w:val="24"/>
        </w:rPr>
        <w:t>questions</w:t>
      </w:r>
      <w:r w:rsidRPr="00DE12A1">
        <w:rPr>
          <w:rFonts w:ascii="Calibri" w:eastAsia="Calibri" w:hAnsi="Calibri" w:cs="Calibri"/>
          <w:spacing w:val="-2"/>
          <w:szCs w:val="24"/>
        </w:rPr>
        <w:t xml:space="preserve"> </w:t>
      </w:r>
      <w:r w:rsidRPr="00DE12A1">
        <w:rPr>
          <w:rFonts w:ascii="Calibri" w:eastAsia="Calibri" w:hAnsi="Calibri" w:cs="Calibri"/>
          <w:szCs w:val="24"/>
        </w:rPr>
        <w:t>and</w:t>
      </w:r>
      <w:r w:rsidRPr="00DE12A1">
        <w:rPr>
          <w:rFonts w:ascii="Calibri" w:eastAsia="Calibri" w:hAnsi="Calibri" w:cs="Calibri"/>
          <w:spacing w:val="-2"/>
          <w:szCs w:val="24"/>
        </w:rPr>
        <w:t xml:space="preserve"> </w:t>
      </w:r>
      <w:r w:rsidRPr="00DE12A1">
        <w:rPr>
          <w:rFonts w:ascii="Calibri" w:eastAsia="Calibri" w:hAnsi="Calibri" w:cs="Calibri"/>
          <w:szCs w:val="24"/>
        </w:rPr>
        <w:t>answers</w:t>
      </w:r>
      <w:r w:rsidRPr="00DE12A1">
        <w:rPr>
          <w:rFonts w:ascii="Calibri" w:eastAsia="Calibri" w:hAnsi="Calibri" w:cs="Calibri"/>
          <w:spacing w:val="-2"/>
          <w:szCs w:val="24"/>
        </w:rPr>
        <w:t xml:space="preserve"> </w:t>
      </w:r>
      <w:r w:rsidRPr="00DE12A1">
        <w:rPr>
          <w:rFonts w:ascii="Calibri" w:eastAsia="Calibri" w:hAnsi="Calibri" w:cs="Calibri"/>
          <w:szCs w:val="24"/>
        </w:rPr>
        <w:t>from</w:t>
      </w:r>
      <w:r w:rsidRPr="00DE12A1">
        <w:rPr>
          <w:rFonts w:ascii="Calibri" w:eastAsia="Calibri" w:hAnsi="Calibri" w:cs="Calibri"/>
          <w:spacing w:val="-1"/>
          <w:szCs w:val="24"/>
        </w:rPr>
        <w:t xml:space="preserve"> </w:t>
      </w:r>
      <w:proofErr w:type="spellStart"/>
      <w:r w:rsidRPr="00DE12A1">
        <w:rPr>
          <w:rFonts w:ascii="Calibri" w:eastAsia="Calibri" w:hAnsi="Calibri" w:cs="Calibri"/>
          <w:szCs w:val="24"/>
        </w:rPr>
        <w:t>eXCHANGE</w:t>
      </w:r>
      <w:proofErr w:type="spellEnd"/>
      <w:r w:rsidRPr="00DE12A1">
        <w:rPr>
          <w:rFonts w:ascii="Calibri" w:eastAsia="Calibri" w:hAnsi="Calibri" w:cs="Calibri"/>
          <w:spacing w:val="-1"/>
          <w:szCs w:val="24"/>
        </w:rPr>
        <w:t xml:space="preserve"> </w:t>
      </w:r>
      <w:r w:rsidRPr="00DE12A1">
        <w:rPr>
          <w:rFonts w:ascii="Calibri" w:eastAsia="Calibri" w:hAnsi="Calibri" w:cs="Calibri"/>
          <w:szCs w:val="24"/>
        </w:rPr>
        <w:t>you</w:t>
      </w:r>
      <w:r w:rsidRPr="00DE12A1">
        <w:rPr>
          <w:rFonts w:ascii="Calibri" w:eastAsia="Calibri" w:hAnsi="Calibri" w:cs="Calibri"/>
          <w:spacing w:val="-2"/>
          <w:szCs w:val="24"/>
        </w:rPr>
        <w:t xml:space="preserve"> </w:t>
      </w:r>
      <w:r w:rsidRPr="00DE12A1">
        <w:rPr>
          <w:rFonts w:ascii="Calibri" w:eastAsia="Calibri" w:hAnsi="Calibri" w:cs="Calibri"/>
          <w:szCs w:val="24"/>
        </w:rPr>
        <w:t>must</w:t>
      </w:r>
      <w:r w:rsidRPr="00DE12A1">
        <w:rPr>
          <w:rFonts w:ascii="Calibri" w:eastAsia="Calibri" w:hAnsi="Calibri" w:cs="Calibri"/>
          <w:spacing w:val="-2"/>
          <w:szCs w:val="24"/>
        </w:rPr>
        <w:t xml:space="preserve"> </w:t>
      </w:r>
      <w:r w:rsidRPr="00DE12A1">
        <w:rPr>
          <w:rFonts w:ascii="Calibri" w:eastAsia="Calibri" w:hAnsi="Calibri" w:cs="Calibri"/>
          <w:szCs w:val="24"/>
        </w:rPr>
        <w:t>initiate an</w:t>
      </w:r>
      <w:r w:rsidRPr="00DE12A1">
        <w:rPr>
          <w:rFonts w:ascii="Calibri" w:eastAsia="Calibri" w:hAnsi="Calibri" w:cs="Calibri"/>
          <w:spacing w:val="-3"/>
          <w:szCs w:val="24"/>
        </w:rPr>
        <w:t xml:space="preserve"> </w:t>
      </w:r>
      <w:r w:rsidRPr="00DE12A1">
        <w:rPr>
          <w:rFonts w:ascii="Calibri" w:eastAsia="Calibri" w:hAnsi="Calibri" w:cs="Calibri"/>
          <w:szCs w:val="24"/>
        </w:rPr>
        <w:t>application</w:t>
      </w:r>
      <w:r w:rsidRPr="00DE12A1">
        <w:rPr>
          <w:rFonts w:ascii="Calibri" w:eastAsia="Calibri" w:hAnsi="Calibri" w:cs="Calibri"/>
          <w:spacing w:val="-3"/>
          <w:szCs w:val="24"/>
        </w:rPr>
        <w:t xml:space="preserve"> </w:t>
      </w:r>
      <w:r w:rsidRPr="00DE12A1">
        <w:rPr>
          <w:rFonts w:ascii="Calibri" w:eastAsia="Calibri" w:hAnsi="Calibri" w:cs="Calibri"/>
          <w:szCs w:val="24"/>
        </w:rPr>
        <w:t>submission</w:t>
      </w:r>
      <w:r w:rsidRPr="00DE12A1">
        <w:rPr>
          <w:rFonts w:ascii="Calibri" w:eastAsia="Calibri" w:hAnsi="Calibri" w:cs="Calibri"/>
          <w:spacing w:val="-3"/>
          <w:szCs w:val="24"/>
        </w:rPr>
        <w:t xml:space="preserve"> </w:t>
      </w:r>
      <w:r w:rsidRPr="00DE12A1">
        <w:rPr>
          <w:rFonts w:ascii="Calibri" w:eastAsia="Calibri" w:hAnsi="Calibri" w:cs="Calibri"/>
          <w:szCs w:val="24"/>
        </w:rPr>
        <w:t>to</w:t>
      </w:r>
      <w:r w:rsidRPr="00DE12A1">
        <w:rPr>
          <w:rFonts w:ascii="Calibri" w:eastAsia="Calibri" w:hAnsi="Calibri" w:cs="Calibri"/>
          <w:spacing w:val="-2"/>
          <w:szCs w:val="24"/>
        </w:rPr>
        <w:t xml:space="preserve"> </w:t>
      </w:r>
      <w:r w:rsidRPr="00DE12A1">
        <w:rPr>
          <w:rFonts w:ascii="Calibri" w:eastAsia="Calibri" w:hAnsi="Calibri" w:cs="Calibri"/>
          <w:szCs w:val="24"/>
        </w:rPr>
        <w:t>the</w:t>
      </w:r>
      <w:r w:rsidRPr="00DE12A1">
        <w:rPr>
          <w:rFonts w:ascii="Calibri" w:eastAsia="Calibri" w:hAnsi="Calibri" w:cs="Calibri"/>
          <w:spacing w:val="-2"/>
          <w:szCs w:val="24"/>
        </w:rPr>
        <w:t xml:space="preserve"> </w:t>
      </w:r>
      <w:r w:rsidRPr="00DE12A1">
        <w:rPr>
          <w:rFonts w:ascii="Calibri" w:eastAsia="Calibri" w:hAnsi="Calibri" w:cs="Calibri"/>
          <w:szCs w:val="24"/>
        </w:rPr>
        <w:t>FOA</w:t>
      </w:r>
      <w:r w:rsidRPr="00DE12A1">
        <w:rPr>
          <w:rFonts w:ascii="Calibri" w:eastAsia="Calibri" w:hAnsi="Calibri" w:cs="Calibri"/>
          <w:spacing w:val="-2"/>
          <w:szCs w:val="24"/>
        </w:rPr>
        <w:t xml:space="preserve"> </w:t>
      </w:r>
      <w:r w:rsidRPr="00DE12A1">
        <w:rPr>
          <w:rFonts w:ascii="Calibri" w:eastAsia="Calibri" w:hAnsi="Calibri" w:cs="Calibri"/>
          <w:szCs w:val="24"/>
        </w:rPr>
        <w:t>of</w:t>
      </w:r>
      <w:r w:rsidRPr="00DE12A1">
        <w:rPr>
          <w:rFonts w:ascii="Calibri" w:eastAsia="Calibri" w:hAnsi="Calibri" w:cs="Calibri"/>
          <w:spacing w:val="-3"/>
          <w:szCs w:val="24"/>
        </w:rPr>
        <w:t xml:space="preserve"> </w:t>
      </w:r>
      <w:r w:rsidRPr="00DE12A1">
        <w:rPr>
          <w:rFonts w:ascii="Calibri" w:eastAsia="Calibri" w:hAnsi="Calibri" w:cs="Calibri"/>
          <w:szCs w:val="24"/>
        </w:rPr>
        <w:t>interest.</w:t>
      </w:r>
      <w:r w:rsidRPr="00DE12A1">
        <w:rPr>
          <w:rFonts w:ascii="Calibri" w:eastAsia="Calibri" w:hAnsi="Calibri" w:cs="Calibri"/>
          <w:spacing w:val="40"/>
          <w:szCs w:val="24"/>
        </w:rPr>
        <w:t xml:space="preserve"> </w:t>
      </w:r>
      <w:r w:rsidRPr="00DE12A1">
        <w:rPr>
          <w:rFonts w:ascii="Calibri" w:eastAsia="Calibri" w:hAnsi="Calibri" w:cs="Calibri"/>
          <w:szCs w:val="24"/>
        </w:rPr>
        <w:t>Please</w:t>
      </w:r>
      <w:r w:rsidRPr="00DE12A1">
        <w:rPr>
          <w:rFonts w:ascii="Calibri" w:eastAsia="Calibri" w:hAnsi="Calibri" w:cs="Calibri"/>
          <w:spacing w:val="-2"/>
          <w:szCs w:val="24"/>
        </w:rPr>
        <w:t xml:space="preserve"> </w:t>
      </w:r>
      <w:r w:rsidRPr="00DE12A1">
        <w:rPr>
          <w:rFonts w:ascii="Calibri" w:eastAsia="Calibri" w:hAnsi="Calibri" w:cs="Calibri"/>
          <w:szCs w:val="24"/>
        </w:rPr>
        <w:t>note</w:t>
      </w:r>
      <w:r w:rsidRPr="00DE12A1">
        <w:rPr>
          <w:rFonts w:ascii="Calibri" w:eastAsia="Calibri" w:hAnsi="Calibri" w:cs="Calibri"/>
          <w:spacing w:val="-2"/>
          <w:szCs w:val="24"/>
        </w:rPr>
        <w:t xml:space="preserve"> </w:t>
      </w:r>
      <w:r w:rsidRPr="00DE12A1">
        <w:rPr>
          <w:rFonts w:ascii="Calibri" w:eastAsia="Calibri" w:hAnsi="Calibri" w:cs="Calibri"/>
          <w:szCs w:val="24"/>
        </w:rPr>
        <w:t>that</w:t>
      </w:r>
      <w:r w:rsidRPr="00DE12A1">
        <w:rPr>
          <w:rFonts w:ascii="Calibri" w:eastAsia="Calibri" w:hAnsi="Calibri" w:cs="Calibri"/>
          <w:spacing w:val="-3"/>
          <w:szCs w:val="24"/>
        </w:rPr>
        <w:t xml:space="preserve"> </w:t>
      </w:r>
      <w:r w:rsidRPr="00DE12A1">
        <w:rPr>
          <w:rFonts w:ascii="Calibri" w:eastAsia="Calibri" w:hAnsi="Calibri" w:cs="Calibri"/>
          <w:szCs w:val="24"/>
        </w:rPr>
        <w:t>you</w:t>
      </w:r>
      <w:r w:rsidRPr="00DE12A1">
        <w:rPr>
          <w:rFonts w:ascii="Calibri" w:eastAsia="Calibri" w:hAnsi="Calibri" w:cs="Calibri"/>
          <w:spacing w:val="-4"/>
          <w:szCs w:val="24"/>
        </w:rPr>
        <w:t xml:space="preserve"> </w:t>
      </w:r>
      <w:r w:rsidRPr="00DE12A1">
        <w:rPr>
          <w:rFonts w:ascii="Calibri" w:eastAsia="Calibri" w:hAnsi="Calibri" w:cs="Calibri"/>
          <w:szCs w:val="24"/>
        </w:rPr>
        <w:t>must</w:t>
      </w:r>
      <w:r w:rsidRPr="00DE12A1">
        <w:rPr>
          <w:rFonts w:ascii="Calibri" w:eastAsia="Calibri" w:hAnsi="Calibri" w:cs="Calibri"/>
          <w:spacing w:val="-3"/>
          <w:szCs w:val="24"/>
        </w:rPr>
        <w:t xml:space="preserve"> </w:t>
      </w:r>
      <w:r w:rsidRPr="00DE12A1">
        <w:rPr>
          <w:rFonts w:ascii="Calibri" w:eastAsia="Calibri" w:hAnsi="Calibri" w:cs="Calibri"/>
          <w:szCs w:val="24"/>
        </w:rPr>
        <w:t>finalize</w:t>
      </w:r>
      <w:r w:rsidRPr="00DE12A1">
        <w:rPr>
          <w:rFonts w:ascii="Calibri" w:eastAsia="Calibri" w:hAnsi="Calibri" w:cs="Calibri"/>
          <w:spacing w:val="-2"/>
          <w:szCs w:val="24"/>
        </w:rPr>
        <w:t xml:space="preserve"> </w:t>
      </w:r>
      <w:r w:rsidRPr="00DE12A1">
        <w:rPr>
          <w:rFonts w:ascii="Calibri" w:eastAsia="Calibri" w:hAnsi="Calibri" w:cs="Calibri"/>
          <w:szCs w:val="24"/>
        </w:rPr>
        <w:t>and</w:t>
      </w:r>
      <w:r w:rsidRPr="00DE12A1">
        <w:rPr>
          <w:rFonts w:ascii="Calibri" w:eastAsia="Calibri" w:hAnsi="Calibri" w:cs="Calibri"/>
          <w:spacing w:val="-3"/>
          <w:szCs w:val="24"/>
        </w:rPr>
        <w:t xml:space="preserve"> </w:t>
      </w:r>
      <w:r w:rsidRPr="00DE12A1">
        <w:rPr>
          <w:rFonts w:ascii="Calibri" w:eastAsia="Calibri" w:hAnsi="Calibri" w:cs="Calibri"/>
          <w:szCs w:val="24"/>
        </w:rPr>
        <w:t>submit your application before the specified due date and time to be considered for award.</w:t>
      </w:r>
    </w:p>
    <w:p w14:paraId="59E5103D" w14:textId="77777777" w:rsidR="00DE12A1" w:rsidRPr="00DE12A1" w:rsidRDefault="00DE12A1" w:rsidP="00DE12A1">
      <w:pPr>
        <w:widowControl w:val="0"/>
        <w:autoSpaceDE w:val="0"/>
        <w:autoSpaceDN w:val="0"/>
        <w:spacing w:before="1"/>
        <w:ind w:right="-900"/>
        <w:rPr>
          <w:rFonts w:ascii="Calibri" w:eastAsia="Calibri" w:hAnsi="Calibri" w:cs="Calibri"/>
          <w:szCs w:val="24"/>
        </w:rPr>
      </w:pPr>
    </w:p>
    <w:p w14:paraId="43ACDB7D" w14:textId="77777777" w:rsidR="00DE12A1" w:rsidRPr="00DE12A1" w:rsidRDefault="00DE12A1" w:rsidP="00DE12A1">
      <w:pPr>
        <w:widowControl w:val="0"/>
        <w:autoSpaceDE w:val="0"/>
        <w:autoSpaceDN w:val="0"/>
        <w:ind w:left="120" w:right="-900"/>
        <w:rPr>
          <w:rFonts w:ascii="Calibri" w:eastAsia="Calibri" w:hAnsi="Calibri" w:cs="Calibri"/>
          <w:b/>
          <w:i/>
          <w:szCs w:val="22"/>
        </w:rPr>
      </w:pPr>
      <w:r w:rsidRPr="00DE12A1">
        <w:rPr>
          <w:rFonts w:ascii="Calibri" w:eastAsia="Calibri" w:hAnsi="Calibri" w:cs="Calibri"/>
          <w:b/>
          <w:i/>
          <w:spacing w:val="-2"/>
          <w:szCs w:val="22"/>
          <w:u w:val="single"/>
        </w:rPr>
        <w:t>Questions</w:t>
      </w:r>
    </w:p>
    <w:p w14:paraId="596D1064" w14:textId="77777777" w:rsidR="00DE12A1" w:rsidRPr="00DE12A1" w:rsidRDefault="00DE12A1" w:rsidP="00DE12A1">
      <w:pPr>
        <w:widowControl w:val="0"/>
        <w:autoSpaceDE w:val="0"/>
        <w:autoSpaceDN w:val="0"/>
        <w:spacing w:before="9"/>
        <w:ind w:right="-900"/>
        <w:rPr>
          <w:rFonts w:ascii="Calibri" w:eastAsia="Calibri" w:hAnsi="Calibri" w:cs="Calibri"/>
          <w:b/>
          <w:i/>
          <w:sz w:val="19"/>
          <w:szCs w:val="24"/>
        </w:rPr>
      </w:pPr>
    </w:p>
    <w:p w14:paraId="481ABF31" w14:textId="77777777" w:rsidR="00DE12A1" w:rsidRPr="00DE12A1" w:rsidRDefault="00DE12A1" w:rsidP="00DE12A1">
      <w:pPr>
        <w:widowControl w:val="0"/>
        <w:autoSpaceDE w:val="0"/>
        <w:autoSpaceDN w:val="0"/>
        <w:spacing w:before="52"/>
        <w:ind w:left="120" w:right="-900"/>
        <w:rPr>
          <w:rFonts w:ascii="Calibri" w:eastAsia="Calibri" w:hAnsi="Calibri" w:cs="Calibri"/>
          <w:szCs w:val="24"/>
        </w:rPr>
      </w:pPr>
      <w:r w:rsidRPr="00DE12A1">
        <w:rPr>
          <w:rFonts w:ascii="Calibri" w:eastAsia="Calibri" w:hAnsi="Calibri" w:cs="Calibri"/>
          <w:szCs w:val="24"/>
        </w:rPr>
        <w:t>Questions</w:t>
      </w:r>
      <w:r w:rsidRPr="00DE12A1">
        <w:rPr>
          <w:rFonts w:ascii="Calibri" w:eastAsia="Calibri" w:hAnsi="Calibri" w:cs="Calibri"/>
          <w:spacing w:val="-4"/>
          <w:szCs w:val="24"/>
        </w:rPr>
        <w:t xml:space="preserve"> </w:t>
      </w:r>
      <w:r w:rsidRPr="00DE12A1">
        <w:rPr>
          <w:rFonts w:ascii="Calibri" w:eastAsia="Calibri" w:hAnsi="Calibri" w:cs="Calibri"/>
          <w:szCs w:val="24"/>
        </w:rPr>
        <w:t>related</w:t>
      </w:r>
      <w:r w:rsidRPr="00DE12A1">
        <w:rPr>
          <w:rFonts w:ascii="Calibri" w:eastAsia="Calibri" w:hAnsi="Calibri" w:cs="Calibri"/>
          <w:spacing w:val="-4"/>
          <w:szCs w:val="24"/>
        </w:rPr>
        <w:t xml:space="preserve"> </w:t>
      </w:r>
      <w:r w:rsidRPr="00DE12A1">
        <w:rPr>
          <w:rFonts w:ascii="Calibri" w:eastAsia="Calibri" w:hAnsi="Calibri" w:cs="Calibri"/>
          <w:szCs w:val="24"/>
        </w:rPr>
        <w:t>to</w:t>
      </w:r>
      <w:r w:rsidRPr="00DE12A1">
        <w:rPr>
          <w:rFonts w:ascii="Calibri" w:eastAsia="Calibri" w:hAnsi="Calibri" w:cs="Calibri"/>
          <w:spacing w:val="-3"/>
          <w:szCs w:val="24"/>
        </w:rPr>
        <w:t xml:space="preserve"> </w:t>
      </w:r>
      <w:r w:rsidRPr="00DE12A1">
        <w:rPr>
          <w:rFonts w:ascii="Calibri" w:eastAsia="Calibri" w:hAnsi="Calibri" w:cs="Calibri"/>
          <w:szCs w:val="24"/>
        </w:rPr>
        <w:t>the</w:t>
      </w:r>
      <w:r w:rsidRPr="00DE12A1">
        <w:rPr>
          <w:rFonts w:ascii="Calibri" w:eastAsia="Calibri" w:hAnsi="Calibri" w:cs="Calibri"/>
          <w:spacing w:val="-3"/>
          <w:szCs w:val="24"/>
        </w:rPr>
        <w:t xml:space="preserve"> </w:t>
      </w:r>
      <w:r w:rsidRPr="00DE12A1">
        <w:rPr>
          <w:rFonts w:ascii="Calibri" w:eastAsia="Calibri" w:hAnsi="Calibri" w:cs="Calibri"/>
          <w:szCs w:val="24"/>
        </w:rPr>
        <w:t>use</w:t>
      </w:r>
      <w:r w:rsidRPr="00DE12A1">
        <w:rPr>
          <w:rFonts w:ascii="Calibri" w:eastAsia="Calibri" w:hAnsi="Calibri" w:cs="Calibri"/>
          <w:spacing w:val="-3"/>
          <w:szCs w:val="24"/>
        </w:rPr>
        <w:t xml:space="preserve"> </w:t>
      </w:r>
      <w:r w:rsidRPr="00DE12A1">
        <w:rPr>
          <w:rFonts w:ascii="Calibri" w:eastAsia="Calibri" w:hAnsi="Calibri" w:cs="Calibri"/>
          <w:szCs w:val="24"/>
        </w:rPr>
        <w:t>of</w:t>
      </w:r>
      <w:r w:rsidRPr="00DE12A1">
        <w:rPr>
          <w:rFonts w:ascii="Calibri" w:eastAsia="Calibri" w:hAnsi="Calibri" w:cs="Calibri"/>
          <w:spacing w:val="-4"/>
          <w:szCs w:val="24"/>
        </w:rPr>
        <w:t xml:space="preserve"> </w:t>
      </w:r>
      <w:r w:rsidRPr="00DE12A1">
        <w:rPr>
          <w:rFonts w:ascii="Calibri" w:eastAsia="Calibri" w:hAnsi="Calibri" w:cs="Calibri"/>
          <w:szCs w:val="24"/>
        </w:rPr>
        <w:t>the</w:t>
      </w:r>
      <w:r w:rsidRPr="00DE12A1">
        <w:rPr>
          <w:rFonts w:ascii="Calibri" w:eastAsia="Calibri" w:hAnsi="Calibri" w:cs="Calibri"/>
          <w:spacing w:val="-4"/>
          <w:szCs w:val="24"/>
        </w:rPr>
        <w:t xml:space="preserve"> </w:t>
      </w:r>
      <w:r w:rsidRPr="00DE12A1">
        <w:rPr>
          <w:rFonts w:ascii="Calibri" w:eastAsia="Calibri" w:hAnsi="Calibri" w:cs="Calibri"/>
          <w:szCs w:val="24"/>
        </w:rPr>
        <w:t>EERE</w:t>
      </w:r>
      <w:r w:rsidRPr="00DE12A1">
        <w:rPr>
          <w:rFonts w:ascii="Calibri" w:eastAsia="Calibri" w:hAnsi="Calibri" w:cs="Calibri"/>
          <w:spacing w:val="-4"/>
          <w:szCs w:val="24"/>
        </w:rPr>
        <w:t xml:space="preserve"> </w:t>
      </w:r>
      <w:proofErr w:type="spellStart"/>
      <w:r w:rsidRPr="00DE12A1">
        <w:rPr>
          <w:rFonts w:ascii="Calibri" w:eastAsia="Calibri" w:hAnsi="Calibri" w:cs="Calibri"/>
          <w:szCs w:val="24"/>
        </w:rPr>
        <w:t>eXCHANGE</w:t>
      </w:r>
      <w:proofErr w:type="spellEnd"/>
      <w:r w:rsidRPr="00DE12A1">
        <w:rPr>
          <w:rFonts w:ascii="Calibri" w:eastAsia="Calibri" w:hAnsi="Calibri" w:cs="Calibri"/>
          <w:spacing w:val="-3"/>
          <w:szCs w:val="24"/>
        </w:rPr>
        <w:t xml:space="preserve"> </w:t>
      </w:r>
      <w:r w:rsidRPr="00DE12A1">
        <w:rPr>
          <w:rFonts w:ascii="Calibri" w:eastAsia="Calibri" w:hAnsi="Calibri" w:cs="Calibri"/>
          <w:szCs w:val="24"/>
        </w:rPr>
        <w:t>website</w:t>
      </w:r>
      <w:r w:rsidRPr="00DE12A1">
        <w:rPr>
          <w:rFonts w:ascii="Calibri" w:eastAsia="Calibri" w:hAnsi="Calibri" w:cs="Calibri"/>
          <w:spacing w:val="-3"/>
          <w:szCs w:val="24"/>
        </w:rPr>
        <w:t xml:space="preserve"> </w:t>
      </w:r>
      <w:r w:rsidRPr="00DE12A1">
        <w:rPr>
          <w:rFonts w:ascii="Calibri" w:eastAsia="Calibri" w:hAnsi="Calibri" w:cs="Calibri"/>
          <w:szCs w:val="24"/>
        </w:rPr>
        <w:t>or</w:t>
      </w:r>
      <w:r w:rsidRPr="00DE12A1">
        <w:rPr>
          <w:rFonts w:ascii="Calibri" w:eastAsia="Calibri" w:hAnsi="Calibri" w:cs="Calibri"/>
          <w:spacing w:val="-3"/>
          <w:szCs w:val="24"/>
        </w:rPr>
        <w:t xml:space="preserve"> </w:t>
      </w:r>
      <w:r w:rsidRPr="00DE12A1">
        <w:rPr>
          <w:rFonts w:ascii="Calibri" w:eastAsia="Calibri" w:hAnsi="Calibri" w:cs="Calibri"/>
          <w:szCs w:val="24"/>
        </w:rPr>
        <w:t>technical</w:t>
      </w:r>
      <w:r w:rsidRPr="00DE12A1">
        <w:rPr>
          <w:rFonts w:ascii="Calibri" w:eastAsia="Calibri" w:hAnsi="Calibri" w:cs="Calibri"/>
          <w:spacing w:val="-4"/>
          <w:szCs w:val="24"/>
        </w:rPr>
        <w:t xml:space="preserve"> </w:t>
      </w:r>
      <w:r w:rsidRPr="00DE12A1">
        <w:rPr>
          <w:rFonts w:ascii="Calibri" w:eastAsia="Calibri" w:hAnsi="Calibri" w:cs="Calibri"/>
          <w:szCs w:val="24"/>
        </w:rPr>
        <w:t>issues</w:t>
      </w:r>
      <w:r w:rsidRPr="00DE12A1">
        <w:rPr>
          <w:rFonts w:ascii="Calibri" w:eastAsia="Calibri" w:hAnsi="Calibri" w:cs="Calibri"/>
          <w:spacing w:val="-4"/>
          <w:szCs w:val="24"/>
        </w:rPr>
        <w:t xml:space="preserve"> </w:t>
      </w:r>
      <w:r w:rsidRPr="00DE12A1">
        <w:rPr>
          <w:rFonts w:ascii="Calibri" w:eastAsia="Calibri" w:hAnsi="Calibri" w:cs="Calibri"/>
          <w:szCs w:val="24"/>
        </w:rPr>
        <w:t>concerning</w:t>
      </w:r>
      <w:r w:rsidRPr="00DE12A1">
        <w:rPr>
          <w:rFonts w:ascii="Calibri" w:eastAsia="Calibri" w:hAnsi="Calibri" w:cs="Calibri"/>
          <w:spacing w:val="-4"/>
          <w:szCs w:val="24"/>
        </w:rPr>
        <w:t xml:space="preserve"> </w:t>
      </w:r>
      <w:r w:rsidRPr="00DE12A1">
        <w:rPr>
          <w:rFonts w:ascii="Calibri" w:eastAsia="Calibri" w:hAnsi="Calibri" w:cs="Calibri"/>
          <w:szCs w:val="24"/>
        </w:rPr>
        <w:t>the application submittal should be submitted to:</w:t>
      </w:r>
      <w:r w:rsidRPr="00DE12A1">
        <w:rPr>
          <w:rFonts w:ascii="Calibri" w:eastAsia="Calibri" w:hAnsi="Calibri" w:cs="Calibri"/>
          <w:spacing w:val="40"/>
          <w:szCs w:val="24"/>
        </w:rPr>
        <w:t xml:space="preserve"> </w:t>
      </w:r>
      <w:hyperlink r:id="rId27">
        <w:r w:rsidRPr="00DE12A1">
          <w:rPr>
            <w:rFonts w:ascii="Calibri" w:eastAsia="Calibri" w:hAnsi="Calibri" w:cs="Calibri"/>
            <w:color w:val="0000FF"/>
            <w:szCs w:val="24"/>
            <w:u w:val="single" w:color="0000FF"/>
          </w:rPr>
          <w:t>EERE-ExchangeSupport@hq.doe.gov</w:t>
        </w:r>
      </w:hyperlink>
      <w:r w:rsidRPr="00DE12A1">
        <w:rPr>
          <w:rFonts w:ascii="Calibri" w:eastAsia="Calibri" w:hAnsi="Calibri" w:cs="Calibri"/>
          <w:szCs w:val="24"/>
        </w:rPr>
        <w:t>.</w:t>
      </w:r>
    </w:p>
    <w:p w14:paraId="4525A619" w14:textId="77777777" w:rsidR="00DE12A1" w:rsidRPr="00DE12A1" w:rsidRDefault="00DE12A1" w:rsidP="00DE12A1">
      <w:pPr>
        <w:widowControl w:val="0"/>
        <w:autoSpaceDE w:val="0"/>
        <w:autoSpaceDN w:val="0"/>
        <w:spacing w:before="10"/>
        <w:ind w:right="-900"/>
        <w:rPr>
          <w:rFonts w:ascii="Calibri" w:eastAsia="Calibri" w:hAnsi="Calibri" w:cs="Calibri"/>
          <w:sz w:val="19"/>
          <w:szCs w:val="24"/>
        </w:rPr>
      </w:pPr>
    </w:p>
    <w:p w14:paraId="5061EB1E" w14:textId="41F9F068" w:rsidR="00DE12A1" w:rsidRPr="00DE12A1" w:rsidRDefault="00DE12A1" w:rsidP="00DE12A1">
      <w:pPr>
        <w:widowControl w:val="0"/>
        <w:autoSpaceDE w:val="0"/>
        <w:autoSpaceDN w:val="0"/>
        <w:spacing w:before="51"/>
        <w:ind w:left="119" w:right="-900"/>
        <w:rPr>
          <w:rFonts w:ascii="Calibri" w:eastAsia="Calibri" w:hAnsi="Calibri" w:cs="Calibri"/>
          <w:szCs w:val="24"/>
        </w:rPr>
      </w:pPr>
      <w:r w:rsidRPr="00DE12A1">
        <w:rPr>
          <w:rFonts w:ascii="Calibri" w:eastAsia="Calibri" w:hAnsi="Calibri" w:cs="Calibri"/>
          <w:szCs w:val="24"/>
        </w:rPr>
        <w:t xml:space="preserve">Questions related to the content of the Funding Opportunity Announcement must be submitted to: </w:t>
      </w:r>
      <w:hyperlink r:id="rId28" w:history="1">
        <w:r w:rsidR="00D75D9F" w:rsidRPr="00F97E56">
          <w:rPr>
            <w:rStyle w:val="Hyperlink"/>
            <w:rFonts w:ascii="Calibri" w:eastAsia="Calibri" w:hAnsi="Calibri" w:cs="Calibri"/>
            <w:szCs w:val="24"/>
          </w:rPr>
          <w:t>SI.Grid-FOA.SETO@ee.doe.gov</w:t>
        </w:r>
      </w:hyperlink>
      <w:r w:rsidR="00D75D9F">
        <w:rPr>
          <w:rFonts w:ascii="Calibri" w:eastAsia="Calibri" w:hAnsi="Calibri" w:cs="Calibri"/>
          <w:color w:val="0000FF"/>
          <w:szCs w:val="24"/>
        </w:rPr>
        <w:t xml:space="preserve"> </w:t>
      </w:r>
      <w:r w:rsidRPr="00DE12A1">
        <w:rPr>
          <w:rFonts w:ascii="Calibri" w:eastAsia="Calibri" w:hAnsi="Calibri" w:cs="Calibri"/>
          <w:szCs w:val="24"/>
        </w:rPr>
        <w:t>and shall be submitted not later than five (5) business</w:t>
      </w:r>
      <w:r w:rsidRPr="00DE12A1">
        <w:rPr>
          <w:rFonts w:ascii="Calibri" w:eastAsia="Calibri" w:hAnsi="Calibri" w:cs="Calibri"/>
          <w:spacing w:val="-3"/>
          <w:szCs w:val="24"/>
        </w:rPr>
        <w:t xml:space="preserve"> </w:t>
      </w:r>
      <w:r w:rsidRPr="00DE12A1">
        <w:rPr>
          <w:rFonts w:ascii="Calibri" w:eastAsia="Calibri" w:hAnsi="Calibri" w:cs="Calibri"/>
          <w:szCs w:val="24"/>
        </w:rPr>
        <w:t>days</w:t>
      </w:r>
      <w:r w:rsidRPr="00DE12A1">
        <w:rPr>
          <w:rFonts w:ascii="Calibri" w:eastAsia="Calibri" w:hAnsi="Calibri" w:cs="Calibri"/>
          <w:spacing w:val="-3"/>
          <w:szCs w:val="24"/>
        </w:rPr>
        <w:t xml:space="preserve"> </w:t>
      </w:r>
      <w:r w:rsidRPr="00DE12A1">
        <w:rPr>
          <w:rFonts w:ascii="Calibri" w:eastAsia="Calibri" w:hAnsi="Calibri" w:cs="Calibri"/>
          <w:szCs w:val="24"/>
        </w:rPr>
        <w:t>prior</w:t>
      </w:r>
      <w:r w:rsidRPr="00DE12A1">
        <w:rPr>
          <w:rFonts w:ascii="Calibri" w:eastAsia="Calibri" w:hAnsi="Calibri" w:cs="Calibri"/>
          <w:spacing w:val="-2"/>
          <w:szCs w:val="24"/>
        </w:rPr>
        <w:t xml:space="preserve"> </w:t>
      </w:r>
      <w:r w:rsidRPr="00DE12A1">
        <w:rPr>
          <w:rFonts w:ascii="Calibri" w:eastAsia="Calibri" w:hAnsi="Calibri" w:cs="Calibri"/>
          <w:szCs w:val="24"/>
        </w:rPr>
        <w:t>to</w:t>
      </w:r>
      <w:r w:rsidRPr="00DE12A1">
        <w:rPr>
          <w:rFonts w:ascii="Calibri" w:eastAsia="Calibri" w:hAnsi="Calibri" w:cs="Calibri"/>
          <w:spacing w:val="-2"/>
          <w:szCs w:val="24"/>
        </w:rPr>
        <w:t xml:space="preserve"> </w:t>
      </w:r>
      <w:r w:rsidRPr="00DE12A1">
        <w:rPr>
          <w:rFonts w:ascii="Calibri" w:eastAsia="Calibri" w:hAnsi="Calibri" w:cs="Calibri"/>
          <w:szCs w:val="24"/>
        </w:rPr>
        <w:t>the</w:t>
      </w:r>
      <w:r w:rsidRPr="00DE12A1">
        <w:rPr>
          <w:rFonts w:ascii="Calibri" w:eastAsia="Calibri" w:hAnsi="Calibri" w:cs="Calibri"/>
          <w:spacing w:val="-2"/>
          <w:szCs w:val="24"/>
        </w:rPr>
        <w:t xml:space="preserve"> </w:t>
      </w:r>
      <w:r w:rsidRPr="00DE12A1">
        <w:rPr>
          <w:rFonts w:ascii="Calibri" w:eastAsia="Calibri" w:hAnsi="Calibri" w:cs="Calibri"/>
          <w:szCs w:val="24"/>
        </w:rPr>
        <w:t>application</w:t>
      </w:r>
      <w:r w:rsidRPr="00DE12A1">
        <w:rPr>
          <w:rFonts w:ascii="Calibri" w:eastAsia="Calibri" w:hAnsi="Calibri" w:cs="Calibri"/>
          <w:spacing w:val="-3"/>
          <w:szCs w:val="24"/>
        </w:rPr>
        <w:t xml:space="preserve"> </w:t>
      </w:r>
      <w:r w:rsidRPr="00DE12A1">
        <w:rPr>
          <w:rFonts w:ascii="Calibri" w:eastAsia="Calibri" w:hAnsi="Calibri" w:cs="Calibri"/>
          <w:szCs w:val="24"/>
        </w:rPr>
        <w:t>due</w:t>
      </w:r>
      <w:r w:rsidRPr="00DE12A1">
        <w:rPr>
          <w:rFonts w:ascii="Calibri" w:eastAsia="Calibri" w:hAnsi="Calibri" w:cs="Calibri"/>
          <w:spacing w:val="-2"/>
          <w:szCs w:val="24"/>
        </w:rPr>
        <w:t xml:space="preserve"> </w:t>
      </w:r>
      <w:r w:rsidRPr="00DE12A1">
        <w:rPr>
          <w:rFonts w:ascii="Calibri" w:eastAsia="Calibri" w:hAnsi="Calibri" w:cs="Calibri"/>
          <w:szCs w:val="24"/>
        </w:rPr>
        <w:t>date</w:t>
      </w:r>
      <w:r w:rsidRPr="00DE12A1">
        <w:rPr>
          <w:rFonts w:ascii="Calibri" w:eastAsia="Calibri" w:hAnsi="Calibri" w:cs="Calibri"/>
          <w:spacing w:val="-3"/>
          <w:szCs w:val="24"/>
        </w:rPr>
        <w:t xml:space="preserve"> </w:t>
      </w:r>
      <w:r w:rsidRPr="00DE12A1">
        <w:rPr>
          <w:rFonts w:ascii="Calibri" w:eastAsia="Calibri" w:hAnsi="Calibri" w:cs="Calibri"/>
          <w:szCs w:val="24"/>
        </w:rPr>
        <w:t>and</w:t>
      </w:r>
      <w:r w:rsidRPr="00DE12A1">
        <w:rPr>
          <w:rFonts w:ascii="Calibri" w:eastAsia="Calibri" w:hAnsi="Calibri" w:cs="Calibri"/>
          <w:spacing w:val="-3"/>
          <w:szCs w:val="24"/>
        </w:rPr>
        <w:t xml:space="preserve"> </w:t>
      </w:r>
      <w:r w:rsidRPr="00DE12A1">
        <w:rPr>
          <w:rFonts w:ascii="Calibri" w:eastAsia="Calibri" w:hAnsi="Calibri" w:cs="Calibri"/>
          <w:szCs w:val="24"/>
        </w:rPr>
        <w:t>time.</w:t>
      </w:r>
      <w:r w:rsidRPr="00DE12A1">
        <w:rPr>
          <w:rFonts w:ascii="Calibri" w:eastAsia="Calibri" w:hAnsi="Calibri" w:cs="Calibri"/>
          <w:spacing w:val="40"/>
          <w:szCs w:val="24"/>
        </w:rPr>
        <w:t xml:space="preserve"> </w:t>
      </w:r>
      <w:r w:rsidRPr="00DE12A1">
        <w:rPr>
          <w:rFonts w:ascii="Calibri" w:eastAsia="Calibri" w:hAnsi="Calibri" w:cs="Calibri"/>
          <w:szCs w:val="24"/>
        </w:rPr>
        <w:t>Questions</w:t>
      </w:r>
      <w:r w:rsidRPr="00DE12A1">
        <w:rPr>
          <w:rFonts w:ascii="Calibri" w:eastAsia="Calibri" w:hAnsi="Calibri" w:cs="Calibri"/>
          <w:spacing w:val="-3"/>
          <w:szCs w:val="24"/>
        </w:rPr>
        <w:t xml:space="preserve"> </w:t>
      </w:r>
      <w:r w:rsidRPr="00DE12A1">
        <w:rPr>
          <w:rFonts w:ascii="Calibri" w:eastAsia="Calibri" w:hAnsi="Calibri" w:cs="Calibri"/>
          <w:szCs w:val="24"/>
        </w:rPr>
        <w:t>submitted</w:t>
      </w:r>
      <w:r w:rsidRPr="00DE12A1">
        <w:rPr>
          <w:rFonts w:ascii="Calibri" w:eastAsia="Calibri" w:hAnsi="Calibri" w:cs="Calibri"/>
          <w:spacing w:val="-3"/>
          <w:szCs w:val="24"/>
        </w:rPr>
        <w:t xml:space="preserve"> </w:t>
      </w:r>
      <w:r w:rsidRPr="00DE12A1">
        <w:rPr>
          <w:rFonts w:ascii="Calibri" w:eastAsia="Calibri" w:hAnsi="Calibri" w:cs="Calibri"/>
          <w:szCs w:val="24"/>
        </w:rPr>
        <w:t>after</w:t>
      </w:r>
      <w:r w:rsidRPr="00DE12A1">
        <w:rPr>
          <w:rFonts w:ascii="Calibri" w:eastAsia="Calibri" w:hAnsi="Calibri" w:cs="Calibri"/>
          <w:spacing w:val="-4"/>
          <w:szCs w:val="24"/>
        </w:rPr>
        <w:t xml:space="preserve"> </w:t>
      </w:r>
      <w:r w:rsidRPr="00DE12A1">
        <w:rPr>
          <w:rFonts w:ascii="Calibri" w:eastAsia="Calibri" w:hAnsi="Calibri" w:cs="Calibri"/>
          <w:szCs w:val="24"/>
        </w:rPr>
        <w:t>that</w:t>
      </w:r>
      <w:r w:rsidRPr="00DE12A1">
        <w:rPr>
          <w:rFonts w:ascii="Calibri" w:eastAsia="Calibri" w:hAnsi="Calibri" w:cs="Calibri"/>
          <w:spacing w:val="-3"/>
          <w:szCs w:val="24"/>
        </w:rPr>
        <w:t xml:space="preserve"> </w:t>
      </w:r>
      <w:r w:rsidRPr="00DE12A1">
        <w:rPr>
          <w:rFonts w:ascii="Calibri" w:eastAsia="Calibri" w:hAnsi="Calibri" w:cs="Calibri"/>
          <w:szCs w:val="24"/>
        </w:rPr>
        <w:t>date may not allow the Government sufficient time to respond.</w:t>
      </w:r>
    </w:p>
    <w:p w14:paraId="5785B62A" w14:textId="77777777" w:rsidR="00DE12A1" w:rsidRPr="00DE12A1" w:rsidRDefault="00DE12A1" w:rsidP="00DE12A1">
      <w:pPr>
        <w:widowControl w:val="0"/>
        <w:autoSpaceDE w:val="0"/>
        <w:autoSpaceDN w:val="0"/>
        <w:spacing w:before="11"/>
        <w:ind w:right="-900"/>
        <w:rPr>
          <w:rFonts w:ascii="Calibri" w:eastAsia="Calibri" w:hAnsi="Calibri" w:cs="Calibri"/>
          <w:sz w:val="23"/>
          <w:szCs w:val="24"/>
        </w:rPr>
      </w:pPr>
    </w:p>
    <w:p w14:paraId="3FAA420C" w14:textId="77777777" w:rsidR="00DE12A1" w:rsidRPr="00DE12A1" w:rsidRDefault="00DE12A1" w:rsidP="00DE12A1">
      <w:pPr>
        <w:widowControl w:val="0"/>
        <w:autoSpaceDE w:val="0"/>
        <w:autoSpaceDN w:val="0"/>
        <w:spacing w:before="1"/>
        <w:ind w:left="120" w:right="-900"/>
        <w:rPr>
          <w:rFonts w:ascii="Calibri" w:eastAsia="Calibri" w:hAnsi="Calibri" w:cs="Calibri"/>
          <w:szCs w:val="24"/>
        </w:rPr>
      </w:pPr>
      <w:r w:rsidRPr="00DE12A1">
        <w:rPr>
          <w:rFonts w:ascii="Calibri" w:eastAsia="Calibri" w:hAnsi="Calibri" w:cs="Calibri"/>
          <w:szCs w:val="24"/>
        </w:rPr>
        <w:t>All</w:t>
      </w:r>
      <w:r w:rsidRPr="00DE12A1">
        <w:rPr>
          <w:rFonts w:ascii="Calibri" w:eastAsia="Calibri" w:hAnsi="Calibri" w:cs="Calibri"/>
          <w:spacing w:val="-3"/>
          <w:szCs w:val="24"/>
        </w:rPr>
        <w:t xml:space="preserve"> </w:t>
      </w:r>
      <w:r w:rsidRPr="00DE12A1">
        <w:rPr>
          <w:rFonts w:ascii="Calibri" w:eastAsia="Calibri" w:hAnsi="Calibri" w:cs="Calibri"/>
          <w:szCs w:val="24"/>
        </w:rPr>
        <w:t>questions</w:t>
      </w:r>
      <w:r w:rsidRPr="00DE12A1">
        <w:rPr>
          <w:rFonts w:ascii="Calibri" w:eastAsia="Calibri" w:hAnsi="Calibri" w:cs="Calibri"/>
          <w:spacing w:val="-3"/>
          <w:szCs w:val="24"/>
        </w:rPr>
        <w:t xml:space="preserve"> </w:t>
      </w:r>
      <w:r w:rsidRPr="00DE12A1">
        <w:rPr>
          <w:rFonts w:ascii="Calibri" w:eastAsia="Calibri" w:hAnsi="Calibri" w:cs="Calibri"/>
          <w:szCs w:val="24"/>
        </w:rPr>
        <w:t>and</w:t>
      </w:r>
      <w:r w:rsidRPr="00DE12A1">
        <w:rPr>
          <w:rFonts w:ascii="Calibri" w:eastAsia="Calibri" w:hAnsi="Calibri" w:cs="Calibri"/>
          <w:spacing w:val="-3"/>
          <w:szCs w:val="24"/>
        </w:rPr>
        <w:t xml:space="preserve"> </w:t>
      </w:r>
      <w:r w:rsidRPr="00DE12A1">
        <w:rPr>
          <w:rFonts w:ascii="Calibri" w:eastAsia="Calibri" w:hAnsi="Calibri" w:cs="Calibri"/>
          <w:szCs w:val="24"/>
        </w:rPr>
        <w:t>answers</w:t>
      </w:r>
      <w:r w:rsidRPr="00DE12A1">
        <w:rPr>
          <w:rFonts w:ascii="Calibri" w:eastAsia="Calibri" w:hAnsi="Calibri" w:cs="Calibri"/>
          <w:spacing w:val="-3"/>
          <w:szCs w:val="24"/>
        </w:rPr>
        <w:t xml:space="preserve"> </w:t>
      </w:r>
      <w:r w:rsidRPr="00DE12A1">
        <w:rPr>
          <w:rFonts w:ascii="Calibri" w:eastAsia="Calibri" w:hAnsi="Calibri" w:cs="Calibri"/>
          <w:szCs w:val="24"/>
        </w:rPr>
        <w:t>related</w:t>
      </w:r>
      <w:r w:rsidRPr="00DE12A1">
        <w:rPr>
          <w:rFonts w:ascii="Calibri" w:eastAsia="Calibri" w:hAnsi="Calibri" w:cs="Calibri"/>
          <w:spacing w:val="-3"/>
          <w:szCs w:val="24"/>
        </w:rPr>
        <w:t xml:space="preserve"> </w:t>
      </w:r>
      <w:r w:rsidRPr="00DE12A1">
        <w:rPr>
          <w:rFonts w:ascii="Calibri" w:eastAsia="Calibri" w:hAnsi="Calibri" w:cs="Calibri"/>
          <w:szCs w:val="24"/>
        </w:rPr>
        <w:t>to</w:t>
      </w:r>
      <w:r w:rsidRPr="00DE12A1">
        <w:rPr>
          <w:rFonts w:ascii="Calibri" w:eastAsia="Calibri" w:hAnsi="Calibri" w:cs="Calibri"/>
          <w:spacing w:val="-3"/>
          <w:szCs w:val="24"/>
        </w:rPr>
        <w:t xml:space="preserve"> </w:t>
      </w:r>
      <w:r w:rsidRPr="00DE12A1">
        <w:rPr>
          <w:rFonts w:ascii="Calibri" w:eastAsia="Calibri" w:hAnsi="Calibri" w:cs="Calibri"/>
          <w:szCs w:val="24"/>
        </w:rPr>
        <w:t>the</w:t>
      </w:r>
      <w:r w:rsidRPr="00DE12A1">
        <w:rPr>
          <w:rFonts w:ascii="Calibri" w:eastAsia="Calibri" w:hAnsi="Calibri" w:cs="Calibri"/>
          <w:spacing w:val="-2"/>
          <w:szCs w:val="24"/>
        </w:rPr>
        <w:t xml:space="preserve"> </w:t>
      </w:r>
      <w:r w:rsidRPr="00DE12A1">
        <w:rPr>
          <w:rFonts w:ascii="Calibri" w:eastAsia="Calibri" w:hAnsi="Calibri" w:cs="Calibri"/>
          <w:szCs w:val="24"/>
        </w:rPr>
        <w:t>content</w:t>
      </w:r>
      <w:r w:rsidRPr="00DE12A1">
        <w:rPr>
          <w:rFonts w:ascii="Calibri" w:eastAsia="Calibri" w:hAnsi="Calibri" w:cs="Calibri"/>
          <w:spacing w:val="-4"/>
          <w:szCs w:val="24"/>
        </w:rPr>
        <w:t xml:space="preserve"> </w:t>
      </w:r>
      <w:r w:rsidRPr="00DE12A1">
        <w:rPr>
          <w:rFonts w:ascii="Calibri" w:eastAsia="Calibri" w:hAnsi="Calibri" w:cs="Calibri"/>
          <w:szCs w:val="24"/>
        </w:rPr>
        <w:t>of</w:t>
      </w:r>
      <w:r w:rsidRPr="00DE12A1">
        <w:rPr>
          <w:rFonts w:ascii="Calibri" w:eastAsia="Calibri" w:hAnsi="Calibri" w:cs="Calibri"/>
          <w:spacing w:val="-3"/>
          <w:szCs w:val="24"/>
        </w:rPr>
        <w:t xml:space="preserve"> </w:t>
      </w:r>
      <w:r w:rsidRPr="00DE12A1">
        <w:rPr>
          <w:rFonts w:ascii="Calibri" w:eastAsia="Calibri" w:hAnsi="Calibri" w:cs="Calibri"/>
          <w:szCs w:val="24"/>
        </w:rPr>
        <w:t>this</w:t>
      </w:r>
      <w:r w:rsidRPr="00DE12A1">
        <w:rPr>
          <w:rFonts w:ascii="Calibri" w:eastAsia="Calibri" w:hAnsi="Calibri" w:cs="Calibri"/>
          <w:spacing w:val="-3"/>
          <w:szCs w:val="24"/>
        </w:rPr>
        <w:t xml:space="preserve"> </w:t>
      </w:r>
      <w:r w:rsidRPr="00DE12A1">
        <w:rPr>
          <w:rFonts w:ascii="Calibri" w:eastAsia="Calibri" w:hAnsi="Calibri" w:cs="Calibri"/>
          <w:szCs w:val="24"/>
        </w:rPr>
        <w:t>FOA</w:t>
      </w:r>
      <w:r w:rsidRPr="00DE12A1">
        <w:rPr>
          <w:rFonts w:ascii="Calibri" w:eastAsia="Calibri" w:hAnsi="Calibri" w:cs="Calibri"/>
          <w:spacing w:val="-1"/>
          <w:szCs w:val="24"/>
        </w:rPr>
        <w:t xml:space="preserve"> </w:t>
      </w:r>
      <w:r w:rsidRPr="00DE12A1">
        <w:rPr>
          <w:rFonts w:ascii="Calibri" w:eastAsia="Calibri" w:hAnsi="Calibri" w:cs="Calibri"/>
          <w:szCs w:val="24"/>
        </w:rPr>
        <w:t>will</w:t>
      </w:r>
      <w:r w:rsidRPr="00DE12A1">
        <w:rPr>
          <w:rFonts w:ascii="Calibri" w:eastAsia="Calibri" w:hAnsi="Calibri" w:cs="Calibri"/>
          <w:spacing w:val="-3"/>
          <w:szCs w:val="24"/>
        </w:rPr>
        <w:t xml:space="preserve"> </w:t>
      </w:r>
      <w:r w:rsidRPr="00DE12A1">
        <w:rPr>
          <w:rFonts w:ascii="Calibri" w:eastAsia="Calibri" w:hAnsi="Calibri" w:cs="Calibri"/>
          <w:szCs w:val="24"/>
        </w:rPr>
        <w:t>be</w:t>
      </w:r>
      <w:r w:rsidRPr="00DE12A1">
        <w:rPr>
          <w:rFonts w:ascii="Calibri" w:eastAsia="Calibri" w:hAnsi="Calibri" w:cs="Calibri"/>
          <w:spacing w:val="-2"/>
          <w:szCs w:val="24"/>
        </w:rPr>
        <w:t xml:space="preserve"> </w:t>
      </w:r>
      <w:r w:rsidRPr="00DE12A1">
        <w:rPr>
          <w:rFonts w:ascii="Calibri" w:eastAsia="Calibri" w:hAnsi="Calibri" w:cs="Calibri"/>
          <w:szCs w:val="24"/>
        </w:rPr>
        <w:t>posted</w:t>
      </w:r>
      <w:r w:rsidRPr="00DE12A1">
        <w:rPr>
          <w:rFonts w:ascii="Calibri" w:eastAsia="Calibri" w:hAnsi="Calibri" w:cs="Calibri"/>
          <w:spacing w:val="-3"/>
          <w:szCs w:val="24"/>
        </w:rPr>
        <w:t xml:space="preserve"> </w:t>
      </w:r>
      <w:r w:rsidRPr="00DE12A1">
        <w:rPr>
          <w:rFonts w:ascii="Calibri" w:eastAsia="Calibri" w:hAnsi="Calibri" w:cs="Calibri"/>
          <w:szCs w:val="24"/>
        </w:rPr>
        <w:t>at</w:t>
      </w:r>
      <w:r w:rsidRPr="00DE12A1">
        <w:rPr>
          <w:rFonts w:ascii="Calibri" w:eastAsia="Calibri" w:hAnsi="Calibri" w:cs="Calibri"/>
          <w:spacing w:val="-2"/>
          <w:szCs w:val="24"/>
        </w:rPr>
        <w:t xml:space="preserve"> </w:t>
      </w:r>
      <w:hyperlink r:id="rId29">
        <w:r w:rsidRPr="00DE12A1">
          <w:rPr>
            <w:rFonts w:ascii="Calibri" w:eastAsia="Calibri" w:hAnsi="Calibri" w:cs="Calibri"/>
            <w:color w:val="0000FF"/>
            <w:szCs w:val="24"/>
            <w:u w:val="single" w:color="0000FF"/>
          </w:rPr>
          <w:t>https://eere-</w:t>
        </w:r>
      </w:hyperlink>
      <w:r w:rsidRPr="00DE12A1">
        <w:rPr>
          <w:rFonts w:ascii="Calibri" w:eastAsia="Calibri" w:hAnsi="Calibri" w:cs="Calibri"/>
          <w:color w:val="0000FF"/>
          <w:szCs w:val="24"/>
        </w:rPr>
        <w:t xml:space="preserve"> </w:t>
      </w:r>
      <w:hyperlink r:id="rId30">
        <w:r w:rsidRPr="00DE12A1">
          <w:rPr>
            <w:rFonts w:ascii="Calibri" w:eastAsia="Calibri" w:hAnsi="Calibri" w:cs="Calibri"/>
            <w:color w:val="0000FF"/>
            <w:szCs w:val="24"/>
            <w:u w:val="single" w:color="0000FF"/>
          </w:rPr>
          <w:t>exchange.energy.gov/FAQ.aspx</w:t>
        </w:r>
      </w:hyperlink>
      <w:r w:rsidRPr="00DE12A1">
        <w:rPr>
          <w:rFonts w:ascii="Calibri" w:eastAsia="Calibri" w:hAnsi="Calibri" w:cs="Calibri"/>
          <w:szCs w:val="24"/>
        </w:rPr>
        <w:t>.</w:t>
      </w:r>
      <w:r w:rsidRPr="00DE12A1">
        <w:rPr>
          <w:rFonts w:ascii="Calibri" w:eastAsia="Calibri" w:hAnsi="Calibri" w:cs="Calibri"/>
          <w:spacing w:val="40"/>
          <w:szCs w:val="24"/>
        </w:rPr>
        <w:t xml:space="preserve"> </w:t>
      </w:r>
      <w:r w:rsidRPr="00DE12A1">
        <w:rPr>
          <w:rFonts w:ascii="Calibri" w:eastAsia="Calibri" w:hAnsi="Calibri" w:cs="Calibri"/>
          <w:szCs w:val="24"/>
        </w:rPr>
        <w:t>Applicants are encouraged to check the FAQ prior to submitting a question.</w:t>
      </w:r>
      <w:r w:rsidRPr="00DE12A1">
        <w:rPr>
          <w:rFonts w:ascii="Calibri" w:eastAsia="Calibri" w:hAnsi="Calibri" w:cs="Calibri"/>
          <w:spacing w:val="40"/>
          <w:szCs w:val="24"/>
        </w:rPr>
        <w:t xml:space="preserve"> </w:t>
      </w:r>
      <w:r w:rsidRPr="00DE12A1">
        <w:rPr>
          <w:rFonts w:ascii="Calibri" w:eastAsia="Calibri" w:hAnsi="Calibri" w:cs="Calibri"/>
          <w:szCs w:val="24"/>
        </w:rPr>
        <w:t>DOE will try to respond to questions within 5 business days.</w:t>
      </w:r>
    </w:p>
    <w:p w14:paraId="61233409" w14:textId="01B4A992" w:rsidR="00D07031" w:rsidRDefault="00DE12A1" w:rsidP="00B46BFF">
      <w:pPr>
        <w:spacing w:before="1"/>
        <w:ind w:left="115" w:right="-907"/>
      </w:pPr>
      <w:r w:rsidRPr="00DE12A1">
        <w:rPr>
          <w:rFonts w:ascii="Calibri" w:eastAsia="Calibri" w:hAnsi="Calibri" w:cs="Calibri"/>
          <w:szCs w:val="22"/>
        </w:rPr>
        <w:t>Applicants</w:t>
      </w:r>
      <w:r w:rsidRPr="00DE12A1">
        <w:rPr>
          <w:rFonts w:ascii="Calibri" w:eastAsia="Calibri" w:hAnsi="Calibri" w:cs="Calibri"/>
          <w:spacing w:val="-4"/>
          <w:szCs w:val="22"/>
        </w:rPr>
        <w:t xml:space="preserve"> </w:t>
      </w:r>
      <w:r w:rsidRPr="00DE12A1">
        <w:rPr>
          <w:rFonts w:ascii="Calibri" w:eastAsia="Calibri" w:hAnsi="Calibri" w:cs="Calibri"/>
          <w:szCs w:val="22"/>
        </w:rPr>
        <w:t>are</w:t>
      </w:r>
      <w:r w:rsidRPr="00DE12A1">
        <w:rPr>
          <w:rFonts w:ascii="Calibri" w:eastAsia="Calibri" w:hAnsi="Calibri" w:cs="Calibri"/>
          <w:spacing w:val="-3"/>
          <w:szCs w:val="22"/>
        </w:rPr>
        <w:t xml:space="preserve"> </w:t>
      </w:r>
      <w:r w:rsidRPr="00DE12A1">
        <w:rPr>
          <w:rFonts w:ascii="Calibri" w:eastAsia="Calibri" w:hAnsi="Calibri" w:cs="Calibri"/>
          <w:szCs w:val="22"/>
        </w:rPr>
        <w:t>encouraged</w:t>
      </w:r>
      <w:r w:rsidRPr="00DE12A1">
        <w:rPr>
          <w:rFonts w:ascii="Calibri" w:eastAsia="Calibri" w:hAnsi="Calibri" w:cs="Calibri"/>
          <w:spacing w:val="-4"/>
          <w:szCs w:val="22"/>
        </w:rPr>
        <w:t xml:space="preserve"> </w:t>
      </w:r>
      <w:r w:rsidRPr="00DE12A1">
        <w:rPr>
          <w:rFonts w:ascii="Calibri" w:eastAsia="Calibri" w:hAnsi="Calibri" w:cs="Calibri"/>
          <w:szCs w:val="22"/>
        </w:rPr>
        <w:t>to</w:t>
      </w:r>
      <w:r w:rsidRPr="00DE12A1">
        <w:rPr>
          <w:rFonts w:ascii="Calibri" w:eastAsia="Calibri" w:hAnsi="Calibri" w:cs="Calibri"/>
          <w:spacing w:val="-3"/>
          <w:szCs w:val="22"/>
        </w:rPr>
        <w:t xml:space="preserve"> </w:t>
      </w:r>
      <w:r w:rsidRPr="00DE12A1">
        <w:rPr>
          <w:rFonts w:ascii="Calibri" w:eastAsia="Calibri" w:hAnsi="Calibri" w:cs="Calibri"/>
          <w:szCs w:val="22"/>
        </w:rPr>
        <w:t>review</w:t>
      </w:r>
      <w:r w:rsidRPr="00DE12A1">
        <w:rPr>
          <w:rFonts w:ascii="Calibri" w:eastAsia="Calibri" w:hAnsi="Calibri" w:cs="Calibri"/>
          <w:spacing w:val="-5"/>
          <w:szCs w:val="22"/>
        </w:rPr>
        <w:t xml:space="preserve"> </w:t>
      </w:r>
      <w:r w:rsidRPr="00DE12A1">
        <w:rPr>
          <w:rFonts w:ascii="Calibri" w:eastAsia="Calibri" w:hAnsi="Calibri" w:cs="Calibri"/>
          <w:szCs w:val="22"/>
        </w:rPr>
        <w:t>the</w:t>
      </w:r>
      <w:r w:rsidRPr="00DE12A1">
        <w:rPr>
          <w:rFonts w:ascii="Calibri" w:eastAsia="Calibri" w:hAnsi="Calibri" w:cs="Calibri"/>
          <w:spacing w:val="-3"/>
          <w:szCs w:val="22"/>
        </w:rPr>
        <w:t xml:space="preserve"> </w:t>
      </w:r>
      <w:r w:rsidRPr="00DE12A1">
        <w:rPr>
          <w:rFonts w:ascii="Calibri" w:eastAsia="Calibri" w:hAnsi="Calibri" w:cs="Calibri"/>
          <w:szCs w:val="22"/>
        </w:rPr>
        <w:t>posted</w:t>
      </w:r>
      <w:r w:rsidRPr="00DE12A1">
        <w:rPr>
          <w:rFonts w:ascii="Calibri" w:eastAsia="Calibri" w:hAnsi="Calibri" w:cs="Calibri"/>
          <w:spacing w:val="-4"/>
          <w:szCs w:val="22"/>
        </w:rPr>
        <w:t xml:space="preserve"> </w:t>
      </w:r>
      <w:r w:rsidRPr="00DE12A1">
        <w:rPr>
          <w:rFonts w:ascii="Calibri" w:eastAsia="Calibri" w:hAnsi="Calibri" w:cs="Calibri"/>
          <w:szCs w:val="22"/>
        </w:rPr>
        <w:t>questions</w:t>
      </w:r>
      <w:r w:rsidRPr="00DE12A1">
        <w:rPr>
          <w:rFonts w:ascii="Calibri" w:eastAsia="Calibri" w:hAnsi="Calibri" w:cs="Calibri"/>
          <w:spacing w:val="-4"/>
          <w:szCs w:val="22"/>
        </w:rPr>
        <w:t xml:space="preserve"> </w:t>
      </w:r>
      <w:r w:rsidRPr="00DE12A1">
        <w:rPr>
          <w:rFonts w:ascii="Calibri" w:eastAsia="Calibri" w:hAnsi="Calibri" w:cs="Calibri"/>
          <w:szCs w:val="22"/>
        </w:rPr>
        <w:t>and</w:t>
      </w:r>
      <w:r w:rsidRPr="00DE12A1">
        <w:rPr>
          <w:rFonts w:ascii="Calibri" w:eastAsia="Calibri" w:hAnsi="Calibri" w:cs="Calibri"/>
          <w:spacing w:val="-4"/>
          <w:szCs w:val="22"/>
        </w:rPr>
        <w:t xml:space="preserve"> </w:t>
      </w:r>
      <w:r w:rsidRPr="00DE12A1">
        <w:rPr>
          <w:rFonts w:ascii="Calibri" w:eastAsia="Calibri" w:hAnsi="Calibri" w:cs="Calibri"/>
          <w:szCs w:val="22"/>
        </w:rPr>
        <w:t>answers</w:t>
      </w:r>
      <w:r w:rsidRPr="00DE12A1">
        <w:rPr>
          <w:rFonts w:ascii="Calibri" w:eastAsia="Calibri" w:hAnsi="Calibri" w:cs="Calibri"/>
          <w:spacing w:val="-4"/>
          <w:szCs w:val="22"/>
        </w:rPr>
        <w:t xml:space="preserve"> </w:t>
      </w:r>
      <w:r w:rsidRPr="00DE12A1">
        <w:rPr>
          <w:rFonts w:ascii="Calibri" w:eastAsia="Calibri" w:hAnsi="Calibri" w:cs="Calibri"/>
          <w:szCs w:val="22"/>
        </w:rPr>
        <w:t>daily.</w:t>
      </w:r>
      <w:r w:rsidRPr="00DE12A1">
        <w:rPr>
          <w:rFonts w:ascii="Calibri" w:eastAsia="Calibri" w:hAnsi="Calibri" w:cs="Calibri"/>
          <w:spacing w:val="40"/>
          <w:szCs w:val="22"/>
        </w:rPr>
        <w:t xml:space="preserve"> </w:t>
      </w:r>
      <w:r w:rsidRPr="00DE12A1">
        <w:rPr>
          <w:rFonts w:ascii="Calibri" w:eastAsia="Calibri" w:hAnsi="Calibri" w:cs="Calibri"/>
          <w:b/>
          <w:szCs w:val="22"/>
        </w:rPr>
        <w:t>Please</w:t>
      </w:r>
      <w:r w:rsidRPr="00DE12A1">
        <w:rPr>
          <w:rFonts w:ascii="Calibri" w:eastAsia="Calibri" w:hAnsi="Calibri" w:cs="Calibri"/>
          <w:b/>
          <w:spacing w:val="-3"/>
          <w:szCs w:val="22"/>
        </w:rPr>
        <w:t xml:space="preserve"> </w:t>
      </w:r>
      <w:r w:rsidRPr="00DE12A1">
        <w:rPr>
          <w:rFonts w:ascii="Calibri" w:eastAsia="Calibri" w:hAnsi="Calibri" w:cs="Calibri"/>
          <w:b/>
          <w:szCs w:val="22"/>
        </w:rPr>
        <w:t>note</w:t>
      </w:r>
      <w:r w:rsidRPr="00DE12A1">
        <w:rPr>
          <w:rFonts w:ascii="Calibri" w:eastAsia="Calibri" w:hAnsi="Calibri" w:cs="Calibri"/>
          <w:b/>
          <w:spacing w:val="-3"/>
          <w:szCs w:val="22"/>
        </w:rPr>
        <w:t xml:space="preserve"> </w:t>
      </w:r>
      <w:r w:rsidRPr="00DE12A1">
        <w:rPr>
          <w:rFonts w:ascii="Calibri" w:eastAsia="Calibri" w:hAnsi="Calibri" w:cs="Calibri"/>
          <w:b/>
          <w:szCs w:val="22"/>
        </w:rPr>
        <w:t xml:space="preserve">that you must first select this FOA Number </w:t>
      </w:r>
      <w:proofErr w:type="gramStart"/>
      <w:r w:rsidRPr="00DE12A1">
        <w:rPr>
          <w:rFonts w:ascii="Calibri" w:eastAsia="Calibri" w:hAnsi="Calibri" w:cs="Calibri"/>
          <w:b/>
          <w:szCs w:val="22"/>
        </w:rPr>
        <w:t>in order to</w:t>
      </w:r>
      <w:proofErr w:type="gramEnd"/>
      <w:r w:rsidRPr="00DE12A1">
        <w:rPr>
          <w:rFonts w:ascii="Calibri" w:eastAsia="Calibri" w:hAnsi="Calibri" w:cs="Calibri"/>
          <w:b/>
          <w:szCs w:val="22"/>
        </w:rPr>
        <w:t xml:space="preserve"> view the questions and answers specific to this FOA</w:t>
      </w:r>
      <w:r w:rsidRPr="00DE12A1">
        <w:rPr>
          <w:rFonts w:ascii="Calibri" w:eastAsia="Calibri" w:hAnsi="Calibri" w:cs="Calibri"/>
          <w:szCs w:val="22"/>
        </w:rPr>
        <w:t>.</w:t>
      </w:r>
      <w:r w:rsidR="004E672B">
        <w:br w:type="page"/>
      </w:r>
    </w:p>
    <w:p w14:paraId="1DB1EDEF" w14:textId="77777777" w:rsidR="00D07031" w:rsidRPr="00047F19" w:rsidRDefault="00D07031" w:rsidP="00D07031">
      <w:pPr>
        <w:rPr>
          <w:b/>
          <w:sz w:val="36"/>
          <w:szCs w:val="36"/>
        </w:rPr>
        <w:sectPr w:rsidR="00D07031" w:rsidRPr="00047F19" w:rsidSect="009423D0">
          <w:headerReference w:type="default" r:id="rId31"/>
          <w:footerReference w:type="default" r:id="rId32"/>
          <w:headerReference w:type="first" r:id="rId33"/>
          <w:footerReference w:type="first" r:id="rId34"/>
          <w:type w:val="continuous"/>
          <w:pgSz w:w="12240" w:h="15840" w:code="1"/>
          <w:pgMar w:top="1440" w:right="1440" w:bottom="1584" w:left="1440" w:header="720" w:footer="720" w:gutter="0"/>
          <w:cols w:space="720"/>
          <w:titlePg/>
          <w:docGrid w:linePitch="360"/>
        </w:sectPr>
      </w:pPr>
    </w:p>
    <w:p w14:paraId="308912CC" w14:textId="77777777" w:rsidR="00D07031" w:rsidRPr="00120F39" w:rsidRDefault="004E672B" w:rsidP="00D07031">
      <w:pPr>
        <w:jc w:val="center"/>
        <w:outlineLvl w:val="0"/>
        <w:rPr>
          <w:b/>
          <w:sz w:val="36"/>
          <w:szCs w:val="36"/>
        </w:rPr>
      </w:pPr>
      <w:bookmarkStart w:id="3" w:name="_Toc519602301"/>
      <w:bookmarkStart w:id="4" w:name="_Toc109921639"/>
      <w:r w:rsidRPr="00120F39">
        <w:rPr>
          <w:b/>
          <w:sz w:val="36"/>
          <w:szCs w:val="36"/>
        </w:rPr>
        <w:lastRenderedPageBreak/>
        <w:t>Table of Contents</w:t>
      </w:r>
      <w:bookmarkEnd w:id="3"/>
      <w:bookmarkEnd w:id="4"/>
    </w:p>
    <w:p w14:paraId="15A2FC3F" w14:textId="77777777" w:rsidR="00D07031" w:rsidRDefault="00D07031" w:rsidP="00D07031">
      <w:pPr>
        <w:pStyle w:val="FOATemplateBody"/>
      </w:pPr>
    </w:p>
    <w:p w14:paraId="055D2F0C" w14:textId="622468C7" w:rsidR="001B4E3C" w:rsidRDefault="004E672B">
      <w:pPr>
        <w:pStyle w:val="TOC1"/>
        <w:rPr>
          <w:rFonts w:eastAsiaTheme="minorEastAsia"/>
          <w:b w:val="0"/>
          <w:bCs w:val="0"/>
          <w:noProof/>
          <w:sz w:val="22"/>
          <w:szCs w:val="22"/>
        </w:rPr>
      </w:pPr>
      <w:r>
        <w:rPr>
          <w:noProof/>
        </w:rPr>
        <w:fldChar w:fldCharType="begin"/>
      </w:r>
      <w:r>
        <w:rPr>
          <w:noProof/>
        </w:rPr>
        <w:instrText xml:space="preserve"> TOC \o "1-3" \h \z \u </w:instrText>
      </w:r>
      <w:r>
        <w:rPr>
          <w:noProof/>
        </w:rPr>
        <w:fldChar w:fldCharType="separate"/>
      </w:r>
      <w:hyperlink w:anchor="_Toc109921639" w:history="1">
        <w:r w:rsidR="001B4E3C" w:rsidRPr="0033797E">
          <w:rPr>
            <w:rStyle w:val="Hyperlink"/>
            <w:noProof/>
          </w:rPr>
          <w:t>Table of Contents</w:t>
        </w:r>
        <w:r w:rsidR="001B4E3C">
          <w:rPr>
            <w:noProof/>
            <w:webHidden/>
          </w:rPr>
          <w:tab/>
        </w:r>
        <w:r w:rsidR="001B4E3C">
          <w:rPr>
            <w:noProof/>
            <w:webHidden/>
          </w:rPr>
          <w:fldChar w:fldCharType="begin"/>
        </w:r>
        <w:r w:rsidR="001B4E3C">
          <w:rPr>
            <w:noProof/>
            <w:webHidden/>
          </w:rPr>
          <w:instrText xml:space="preserve"> PAGEREF _Toc109921639 \h </w:instrText>
        </w:r>
        <w:r w:rsidR="001B4E3C">
          <w:rPr>
            <w:noProof/>
            <w:webHidden/>
          </w:rPr>
        </w:r>
        <w:r w:rsidR="001B4E3C">
          <w:rPr>
            <w:noProof/>
            <w:webHidden/>
          </w:rPr>
          <w:fldChar w:fldCharType="separate"/>
        </w:r>
        <w:r w:rsidR="00F7481E">
          <w:rPr>
            <w:noProof/>
            <w:webHidden/>
          </w:rPr>
          <w:t>i</w:t>
        </w:r>
        <w:r w:rsidR="001B4E3C">
          <w:rPr>
            <w:noProof/>
            <w:webHidden/>
          </w:rPr>
          <w:fldChar w:fldCharType="end"/>
        </w:r>
      </w:hyperlink>
    </w:p>
    <w:p w14:paraId="62E292D5" w14:textId="3EB501BC" w:rsidR="001B4E3C" w:rsidRDefault="00E63DDA">
      <w:pPr>
        <w:pStyle w:val="TOC1"/>
        <w:rPr>
          <w:rFonts w:eastAsiaTheme="minorEastAsia"/>
          <w:b w:val="0"/>
          <w:bCs w:val="0"/>
          <w:noProof/>
          <w:sz w:val="22"/>
          <w:szCs w:val="22"/>
        </w:rPr>
      </w:pPr>
      <w:hyperlink w:anchor="_Toc109921640" w:history="1">
        <w:r w:rsidR="001B4E3C" w:rsidRPr="0033797E">
          <w:rPr>
            <w:rStyle w:val="Hyperlink"/>
            <w:smallCaps/>
            <w:noProof/>
          </w:rPr>
          <w:t>I.</w:t>
        </w:r>
        <w:r w:rsidR="001B4E3C">
          <w:rPr>
            <w:rFonts w:eastAsiaTheme="minorEastAsia"/>
            <w:b w:val="0"/>
            <w:bCs w:val="0"/>
            <w:noProof/>
            <w:sz w:val="22"/>
            <w:szCs w:val="22"/>
          </w:rPr>
          <w:tab/>
        </w:r>
        <w:r w:rsidR="001B4E3C" w:rsidRPr="0033797E">
          <w:rPr>
            <w:rStyle w:val="Hyperlink"/>
            <w:noProof/>
          </w:rPr>
          <w:t>Funding Opportunity Description</w:t>
        </w:r>
        <w:r w:rsidR="001B4E3C">
          <w:rPr>
            <w:noProof/>
            <w:webHidden/>
          </w:rPr>
          <w:tab/>
        </w:r>
        <w:r w:rsidR="001B4E3C">
          <w:rPr>
            <w:noProof/>
            <w:webHidden/>
          </w:rPr>
          <w:fldChar w:fldCharType="begin"/>
        </w:r>
        <w:r w:rsidR="001B4E3C">
          <w:rPr>
            <w:noProof/>
            <w:webHidden/>
          </w:rPr>
          <w:instrText xml:space="preserve"> PAGEREF _Toc109921640 \h </w:instrText>
        </w:r>
        <w:r w:rsidR="001B4E3C">
          <w:rPr>
            <w:noProof/>
            <w:webHidden/>
          </w:rPr>
        </w:r>
        <w:r w:rsidR="001B4E3C">
          <w:rPr>
            <w:noProof/>
            <w:webHidden/>
          </w:rPr>
          <w:fldChar w:fldCharType="separate"/>
        </w:r>
        <w:r w:rsidR="00F7481E">
          <w:rPr>
            <w:noProof/>
            <w:webHidden/>
          </w:rPr>
          <w:t>6</w:t>
        </w:r>
        <w:r w:rsidR="001B4E3C">
          <w:rPr>
            <w:noProof/>
            <w:webHidden/>
          </w:rPr>
          <w:fldChar w:fldCharType="end"/>
        </w:r>
      </w:hyperlink>
    </w:p>
    <w:p w14:paraId="2927ED6A" w14:textId="54856A16" w:rsidR="001B4E3C" w:rsidRDefault="00E63DDA">
      <w:pPr>
        <w:pStyle w:val="TOC2"/>
        <w:rPr>
          <w:rFonts w:eastAsiaTheme="minorEastAsia"/>
          <w:noProof/>
          <w:sz w:val="22"/>
          <w:szCs w:val="22"/>
        </w:rPr>
      </w:pPr>
      <w:hyperlink w:anchor="_Toc109921641" w:history="1">
        <w:r w:rsidR="001B4E3C" w:rsidRPr="0033797E">
          <w:rPr>
            <w:rStyle w:val="Hyperlink"/>
            <w:smallCaps/>
            <w:noProof/>
          </w:rPr>
          <w:t>A.</w:t>
        </w:r>
        <w:r w:rsidR="001B4E3C">
          <w:rPr>
            <w:rFonts w:eastAsiaTheme="minorEastAsia"/>
            <w:noProof/>
            <w:sz w:val="22"/>
            <w:szCs w:val="22"/>
          </w:rPr>
          <w:tab/>
        </w:r>
        <w:r w:rsidR="001B4E3C" w:rsidRPr="0033797E">
          <w:rPr>
            <w:rStyle w:val="Hyperlink"/>
            <w:noProof/>
          </w:rPr>
          <w:t>Background and Context</w:t>
        </w:r>
        <w:r w:rsidR="001B4E3C">
          <w:rPr>
            <w:noProof/>
            <w:webHidden/>
          </w:rPr>
          <w:tab/>
        </w:r>
        <w:r w:rsidR="001B4E3C">
          <w:rPr>
            <w:noProof/>
            <w:webHidden/>
          </w:rPr>
          <w:fldChar w:fldCharType="begin"/>
        </w:r>
        <w:r w:rsidR="001B4E3C">
          <w:rPr>
            <w:noProof/>
            <w:webHidden/>
          </w:rPr>
          <w:instrText xml:space="preserve"> PAGEREF _Toc109921641 \h </w:instrText>
        </w:r>
        <w:r w:rsidR="001B4E3C">
          <w:rPr>
            <w:noProof/>
            <w:webHidden/>
          </w:rPr>
        </w:r>
        <w:r w:rsidR="001B4E3C">
          <w:rPr>
            <w:noProof/>
            <w:webHidden/>
          </w:rPr>
          <w:fldChar w:fldCharType="separate"/>
        </w:r>
        <w:r w:rsidR="00F7481E">
          <w:rPr>
            <w:noProof/>
            <w:webHidden/>
          </w:rPr>
          <w:t>6</w:t>
        </w:r>
        <w:r w:rsidR="001B4E3C">
          <w:rPr>
            <w:noProof/>
            <w:webHidden/>
          </w:rPr>
          <w:fldChar w:fldCharType="end"/>
        </w:r>
      </w:hyperlink>
    </w:p>
    <w:p w14:paraId="7BCBD4E5" w14:textId="3B922DBC" w:rsidR="001B4E3C" w:rsidRDefault="00E63DDA">
      <w:pPr>
        <w:pStyle w:val="TOC3"/>
        <w:rPr>
          <w:rFonts w:asciiTheme="minorHAnsi" w:eastAsiaTheme="minorEastAsia" w:hAnsiTheme="minorHAnsi"/>
          <w:iCs w:val="0"/>
          <w:sz w:val="22"/>
          <w:szCs w:val="22"/>
        </w:rPr>
      </w:pPr>
      <w:hyperlink w:anchor="_Toc109921642" w:history="1">
        <w:r w:rsidR="001B4E3C" w:rsidRPr="0033797E">
          <w:rPr>
            <w:rStyle w:val="Hyperlink"/>
          </w:rPr>
          <w:t>i.</w:t>
        </w:r>
        <w:r w:rsidR="001B4E3C">
          <w:rPr>
            <w:rFonts w:asciiTheme="minorHAnsi" w:eastAsiaTheme="minorEastAsia" w:hAnsiTheme="minorHAnsi"/>
            <w:iCs w:val="0"/>
            <w:sz w:val="22"/>
            <w:szCs w:val="22"/>
          </w:rPr>
          <w:tab/>
        </w:r>
        <w:r w:rsidR="001B4E3C" w:rsidRPr="0033797E">
          <w:rPr>
            <w:rStyle w:val="Hyperlink"/>
          </w:rPr>
          <w:t>Background and Purpose</w:t>
        </w:r>
        <w:r w:rsidR="001B4E3C">
          <w:rPr>
            <w:webHidden/>
          </w:rPr>
          <w:tab/>
        </w:r>
        <w:r w:rsidR="001B4E3C">
          <w:rPr>
            <w:webHidden/>
          </w:rPr>
          <w:fldChar w:fldCharType="begin"/>
        </w:r>
        <w:r w:rsidR="001B4E3C">
          <w:rPr>
            <w:webHidden/>
          </w:rPr>
          <w:instrText xml:space="preserve"> PAGEREF _Toc109921642 \h </w:instrText>
        </w:r>
        <w:r w:rsidR="001B4E3C">
          <w:rPr>
            <w:webHidden/>
          </w:rPr>
        </w:r>
        <w:r w:rsidR="001B4E3C">
          <w:rPr>
            <w:webHidden/>
          </w:rPr>
          <w:fldChar w:fldCharType="separate"/>
        </w:r>
        <w:r w:rsidR="00F7481E">
          <w:rPr>
            <w:webHidden/>
          </w:rPr>
          <w:t>7</w:t>
        </w:r>
        <w:r w:rsidR="001B4E3C">
          <w:rPr>
            <w:webHidden/>
          </w:rPr>
          <w:fldChar w:fldCharType="end"/>
        </w:r>
      </w:hyperlink>
    </w:p>
    <w:p w14:paraId="55B349C7" w14:textId="68DDC181" w:rsidR="001B4E3C" w:rsidRDefault="00E63DDA">
      <w:pPr>
        <w:pStyle w:val="TOC3"/>
        <w:rPr>
          <w:rFonts w:asciiTheme="minorHAnsi" w:eastAsiaTheme="minorEastAsia" w:hAnsiTheme="minorHAnsi"/>
          <w:iCs w:val="0"/>
          <w:sz w:val="22"/>
          <w:szCs w:val="22"/>
        </w:rPr>
      </w:pPr>
      <w:hyperlink w:anchor="_Toc109921643" w:history="1">
        <w:r w:rsidR="001B4E3C" w:rsidRPr="0033797E">
          <w:rPr>
            <w:rStyle w:val="Hyperlink"/>
          </w:rPr>
          <w:t>ii.</w:t>
        </w:r>
        <w:r w:rsidR="001B4E3C">
          <w:rPr>
            <w:rFonts w:asciiTheme="minorHAnsi" w:eastAsiaTheme="minorEastAsia" w:hAnsiTheme="minorHAnsi"/>
            <w:iCs w:val="0"/>
            <w:sz w:val="22"/>
            <w:szCs w:val="22"/>
          </w:rPr>
          <w:tab/>
        </w:r>
        <w:r w:rsidR="001B4E3C" w:rsidRPr="0033797E">
          <w:rPr>
            <w:rStyle w:val="Hyperlink"/>
          </w:rPr>
          <w:t>Technology Space and Strategic Goals</w:t>
        </w:r>
        <w:r w:rsidR="001B4E3C">
          <w:rPr>
            <w:webHidden/>
          </w:rPr>
          <w:tab/>
        </w:r>
        <w:r w:rsidR="001B4E3C">
          <w:rPr>
            <w:webHidden/>
          </w:rPr>
          <w:fldChar w:fldCharType="begin"/>
        </w:r>
        <w:r w:rsidR="001B4E3C">
          <w:rPr>
            <w:webHidden/>
          </w:rPr>
          <w:instrText xml:space="preserve"> PAGEREF _Toc109921643 \h </w:instrText>
        </w:r>
        <w:r w:rsidR="001B4E3C">
          <w:rPr>
            <w:webHidden/>
          </w:rPr>
        </w:r>
        <w:r w:rsidR="001B4E3C">
          <w:rPr>
            <w:webHidden/>
          </w:rPr>
          <w:fldChar w:fldCharType="separate"/>
        </w:r>
        <w:r w:rsidR="00F7481E">
          <w:rPr>
            <w:webHidden/>
          </w:rPr>
          <w:t>11</w:t>
        </w:r>
        <w:r w:rsidR="001B4E3C">
          <w:rPr>
            <w:webHidden/>
          </w:rPr>
          <w:fldChar w:fldCharType="end"/>
        </w:r>
      </w:hyperlink>
    </w:p>
    <w:p w14:paraId="5A224968" w14:textId="329D5B60" w:rsidR="001B4E3C" w:rsidRDefault="00E63DDA">
      <w:pPr>
        <w:pStyle w:val="TOC3"/>
        <w:rPr>
          <w:rFonts w:asciiTheme="minorHAnsi" w:eastAsiaTheme="minorEastAsia" w:hAnsiTheme="minorHAnsi"/>
          <w:iCs w:val="0"/>
          <w:sz w:val="22"/>
          <w:szCs w:val="22"/>
        </w:rPr>
      </w:pPr>
      <w:hyperlink w:anchor="_Toc109921644" w:history="1">
        <w:r w:rsidR="001B4E3C" w:rsidRPr="0033797E">
          <w:rPr>
            <w:rStyle w:val="Hyperlink"/>
          </w:rPr>
          <w:t>iii.</w:t>
        </w:r>
        <w:r w:rsidR="001B4E3C">
          <w:rPr>
            <w:rFonts w:asciiTheme="minorHAnsi" w:eastAsiaTheme="minorEastAsia" w:hAnsiTheme="minorHAnsi"/>
            <w:iCs w:val="0"/>
            <w:sz w:val="22"/>
            <w:szCs w:val="22"/>
          </w:rPr>
          <w:tab/>
        </w:r>
        <w:r w:rsidR="001B4E3C" w:rsidRPr="0033797E">
          <w:rPr>
            <w:rStyle w:val="Hyperlink"/>
          </w:rPr>
          <w:t>Community Benefits Plan: Job Quality and Equity</w:t>
        </w:r>
        <w:r w:rsidR="001B4E3C">
          <w:rPr>
            <w:webHidden/>
          </w:rPr>
          <w:tab/>
        </w:r>
        <w:r w:rsidR="001B4E3C">
          <w:rPr>
            <w:webHidden/>
          </w:rPr>
          <w:fldChar w:fldCharType="begin"/>
        </w:r>
        <w:r w:rsidR="001B4E3C">
          <w:rPr>
            <w:webHidden/>
          </w:rPr>
          <w:instrText xml:space="preserve"> PAGEREF _Toc109921644 \h </w:instrText>
        </w:r>
        <w:r w:rsidR="001B4E3C">
          <w:rPr>
            <w:webHidden/>
          </w:rPr>
        </w:r>
        <w:r w:rsidR="001B4E3C">
          <w:rPr>
            <w:webHidden/>
          </w:rPr>
          <w:fldChar w:fldCharType="separate"/>
        </w:r>
        <w:r w:rsidR="00F7481E">
          <w:rPr>
            <w:webHidden/>
          </w:rPr>
          <w:t>12</w:t>
        </w:r>
        <w:r w:rsidR="001B4E3C">
          <w:rPr>
            <w:webHidden/>
          </w:rPr>
          <w:fldChar w:fldCharType="end"/>
        </w:r>
      </w:hyperlink>
    </w:p>
    <w:p w14:paraId="70670D1F" w14:textId="243E605F" w:rsidR="001B4E3C" w:rsidRDefault="00E63DDA">
      <w:pPr>
        <w:pStyle w:val="TOC3"/>
        <w:rPr>
          <w:rFonts w:asciiTheme="minorHAnsi" w:eastAsiaTheme="minorEastAsia" w:hAnsiTheme="minorHAnsi"/>
          <w:iCs w:val="0"/>
          <w:sz w:val="22"/>
          <w:szCs w:val="22"/>
        </w:rPr>
      </w:pPr>
      <w:hyperlink w:anchor="_Toc109921645" w:history="1">
        <w:r w:rsidR="001B4E3C" w:rsidRPr="0033797E">
          <w:rPr>
            <w:rStyle w:val="Hyperlink"/>
          </w:rPr>
          <w:t>iv.</w:t>
        </w:r>
        <w:r w:rsidR="001B4E3C">
          <w:rPr>
            <w:rFonts w:asciiTheme="minorHAnsi" w:eastAsiaTheme="minorEastAsia" w:hAnsiTheme="minorHAnsi"/>
            <w:iCs w:val="0"/>
            <w:sz w:val="22"/>
            <w:szCs w:val="22"/>
          </w:rPr>
          <w:tab/>
        </w:r>
        <w:r w:rsidR="001B4E3C" w:rsidRPr="0033797E">
          <w:rPr>
            <w:rStyle w:val="Hyperlink"/>
          </w:rPr>
          <w:t>Cross-Office Coordination</w:t>
        </w:r>
        <w:r w:rsidR="001B4E3C">
          <w:rPr>
            <w:webHidden/>
          </w:rPr>
          <w:tab/>
        </w:r>
        <w:r w:rsidR="001B4E3C">
          <w:rPr>
            <w:webHidden/>
          </w:rPr>
          <w:fldChar w:fldCharType="begin"/>
        </w:r>
        <w:r w:rsidR="001B4E3C">
          <w:rPr>
            <w:webHidden/>
          </w:rPr>
          <w:instrText xml:space="preserve"> PAGEREF _Toc109921645 \h </w:instrText>
        </w:r>
        <w:r w:rsidR="001B4E3C">
          <w:rPr>
            <w:webHidden/>
          </w:rPr>
        </w:r>
        <w:r w:rsidR="001B4E3C">
          <w:rPr>
            <w:webHidden/>
          </w:rPr>
          <w:fldChar w:fldCharType="separate"/>
        </w:r>
        <w:r w:rsidR="00F7481E">
          <w:rPr>
            <w:webHidden/>
          </w:rPr>
          <w:t>16</w:t>
        </w:r>
        <w:r w:rsidR="001B4E3C">
          <w:rPr>
            <w:webHidden/>
          </w:rPr>
          <w:fldChar w:fldCharType="end"/>
        </w:r>
      </w:hyperlink>
    </w:p>
    <w:p w14:paraId="3C6F3F25" w14:textId="6BD6AB8D" w:rsidR="001B4E3C" w:rsidRDefault="00E63DDA">
      <w:pPr>
        <w:pStyle w:val="TOC3"/>
        <w:rPr>
          <w:rFonts w:asciiTheme="minorHAnsi" w:eastAsiaTheme="minorEastAsia" w:hAnsiTheme="minorHAnsi"/>
          <w:iCs w:val="0"/>
          <w:sz w:val="22"/>
          <w:szCs w:val="22"/>
        </w:rPr>
      </w:pPr>
      <w:hyperlink w:anchor="_Toc109921646" w:history="1">
        <w:r w:rsidR="001B4E3C" w:rsidRPr="0033797E">
          <w:rPr>
            <w:rStyle w:val="Hyperlink"/>
          </w:rPr>
          <w:t>v.</w:t>
        </w:r>
        <w:r w:rsidR="001B4E3C">
          <w:rPr>
            <w:rFonts w:asciiTheme="minorHAnsi" w:eastAsiaTheme="minorEastAsia" w:hAnsiTheme="minorHAnsi"/>
            <w:iCs w:val="0"/>
            <w:sz w:val="22"/>
            <w:szCs w:val="22"/>
          </w:rPr>
          <w:tab/>
        </w:r>
        <w:r w:rsidR="001B4E3C" w:rsidRPr="0033797E">
          <w:rPr>
            <w:rStyle w:val="Hyperlink"/>
          </w:rPr>
          <w:t>Priority Research Areas</w:t>
        </w:r>
        <w:r w:rsidR="001B4E3C">
          <w:rPr>
            <w:webHidden/>
          </w:rPr>
          <w:tab/>
        </w:r>
        <w:r w:rsidR="001B4E3C">
          <w:rPr>
            <w:webHidden/>
          </w:rPr>
          <w:fldChar w:fldCharType="begin"/>
        </w:r>
        <w:r w:rsidR="001B4E3C">
          <w:rPr>
            <w:webHidden/>
          </w:rPr>
          <w:instrText xml:space="preserve"> PAGEREF _Toc109921646 \h </w:instrText>
        </w:r>
        <w:r w:rsidR="001B4E3C">
          <w:rPr>
            <w:webHidden/>
          </w:rPr>
        </w:r>
        <w:r w:rsidR="001B4E3C">
          <w:rPr>
            <w:webHidden/>
          </w:rPr>
          <w:fldChar w:fldCharType="separate"/>
        </w:r>
        <w:r w:rsidR="00F7481E">
          <w:rPr>
            <w:webHidden/>
          </w:rPr>
          <w:t>16</w:t>
        </w:r>
        <w:r w:rsidR="001B4E3C">
          <w:rPr>
            <w:webHidden/>
          </w:rPr>
          <w:fldChar w:fldCharType="end"/>
        </w:r>
      </w:hyperlink>
    </w:p>
    <w:p w14:paraId="12D6430A" w14:textId="6F279E57" w:rsidR="001B4E3C" w:rsidRDefault="00E63DDA">
      <w:pPr>
        <w:pStyle w:val="TOC3"/>
        <w:rPr>
          <w:rFonts w:asciiTheme="minorHAnsi" w:eastAsiaTheme="minorEastAsia" w:hAnsiTheme="minorHAnsi"/>
          <w:iCs w:val="0"/>
          <w:sz w:val="22"/>
          <w:szCs w:val="22"/>
        </w:rPr>
      </w:pPr>
      <w:hyperlink w:anchor="_Toc109921647" w:history="1">
        <w:r w:rsidR="001B4E3C" w:rsidRPr="0033797E">
          <w:rPr>
            <w:rStyle w:val="Hyperlink"/>
          </w:rPr>
          <w:t>vi.</w:t>
        </w:r>
        <w:r w:rsidR="001B4E3C">
          <w:rPr>
            <w:rFonts w:asciiTheme="minorHAnsi" w:eastAsiaTheme="minorEastAsia" w:hAnsiTheme="minorHAnsi"/>
            <w:iCs w:val="0"/>
            <w:sz w:val="22"/>
            <w:szCs w:val="22"/>
          </w:rPr>
          <w:tab/>
        </w:r>
        <w:r w:rsidR="001B4E3C" w:rsidRPr="0033797E">
          <w:rPr>
            <w:rStyle w:val="Hyperlink"/>
          </w:rPr>
          <w:t>Teaming Partner List</w:t>
        </w:r>
        <w:r w:rsidR="001B4E3C">
          <w:rPr>
            <w:webHidden/>
          </w:rPr>
          <w:tab/>
        </w:r>
        <w:r w:rsidR="001B4E3C">
          <w:rPr>
            <w:webHidden/>
          </w:rPr>
          <w:fldChar w:fldCharType="begin"/>
        </w:r>
        <w:r w:rsidR="001B4E3C">
          <w:rPr>
            <w:webHidden/>
          </w:rPr>
          <w:instrText xml:space="preserve"> PAGEREF _Toc109921647 \h </w:instrText>
        </w:r>
        <w:r w:rsidR="001B4E3C">
          <w:rPr>
            <w:webHidden/>
          </w:rPr>
        </w:r>
        <w:r w:rsidR="001B4E3C">
          <w:rPr>
            <w:webHidden/>
          </w:rPr>
          <w:fldChar w:fldCharType="separate"/>
        </w:r>
        <w:r w:rsidR="00F7481E">
          <w:rPr>
            <w:webHidden/>
          </w:rPr>
          <w:t>17</w:t>
        </w:r>
        <w:r w:rsidR="001B4E3C">
          <w:rPr>
            <w:webHidden/>
          </w:rPr>
          <w:fldChar w:fldCharType="end"/>
        </w:r>
      </w:hyperlink>
    </w:p>
    <w:p w14:paraId="40D68CE2" w14:textId="265CFB63" w:rsidR="001B4E3C" w:rsidRDefault="00E63DDA">
      <w:pPr>
        <w:pStyle w:val="TOC2"/>
        <w:rPr>
          <w:rFonts w:eastAsiaTheme="minorEastAsia"/>
          <w:noProof/>
          <w:sz w:val="22"/>
          <w:szCs w:val="22"/>
        </w:rPr>
      </w:pPr>
      <w:hyperlink w:anchor="_Toc109921648" w:history="1">
        <w:r w:rsidR="001B4E3C" w:rsidRPr="0033797E">
          <w:rPr>
            <w:rStyle w:val="Hyperlink"/>
            <w:smallCaps/>
            <w:noProof/>
          </w:rPr>
          <w:t>B.</w:t>
        </w:r>
        <w:r w:rsidR="001B4E3C">
          <w:rPr>
            <w:rFonts w:eastAsiaTheme="minorEastAsia"/>
            <w:noProof/>
            <w:sz w:val="22"/>
            <w:szCs w:val="22"/>
          </w:rPr>
          <w:tab/>
        </w:r>
        <w:r w:rsidR="001B4E3C" w:rsidRPr="0033797E">
          <w:rPr>
            <w:rStyle w:val="Hyperlink"/>
            <w:noProof/>
          </w:rPr>
          <w:t>Topic Areas</w:t>
        </w:r>
        <w:r w:rsidR="001B4E3C">
          <w:rPr>
            <w:noProof/>
            <w:webHidden/>
          </w:rPr>
          <w:tab/>
        </w:r>
        <w:r w:rsidR="001B4E3C">
          <w:rPr>
            <w:noProof/>
            <w:webHidden/>
          </w:rPr>
          <w:fldChar w:fldCharType="begin"/>
        </w:r>
        <w:r w:rsidR="001B4E3C">
          <w:rPr>
            <w:noProof/>
            <w:webHidden/>
          </w:rPr>
          <w:instrText xml:space="preserve"> PAGEREF _Toc109921648 \h </w:instrText>
        </w:r>
        <w:r w:rsidR="001B4E3C">
          <w:rPr>
            <w:noProof/>
            <w:webHidden/>
          </w:rPr>
        </w:r>
        <w:r w:rsidR="001B4E3C">
          <w:rPr>
            <w:noProof/>
            <w:webHidden/>
          </w:rPr>
          <w:fldChar w:fldCharType="separate"/>
        </w:r>
        <w:r w:rsidR="00F7481E">
          <w:rPr>
            <w:noProof/>
            <w:webHidden/>
          </w:rPr>
          <w:t>18</w:t>
        </w:r>
        <w:r w:rsidR="001B4E3C">
          <w:rPr>
            <w:noProof/>
            <w:webHidden/>
          </w:rPr>
          <w:fldChar w:fldCharType="end"/>
        </w:r>
      </w:hyperlink>
    </w:p>
    <w:p w14:paraId="01E78110" w14:textId="389AC834" w:rsidR="001B4E3C" w:rsidRDefault="00E63DDA">
      <w:pPr>
        <w:pStyle w:val="TOC3"/>
        <w:rPr>
          <w:rFonts w:asciiTheme="minorHAnsi" w:eastAsiaTheme="minorEastAsia" w:hAnsiTheme="minorHAnsi"/>
          <w:iCs w:val="0"/>
          <w:sz w:val="22"/>
          <w:szCs w:val="22"/>
        </w:rPr>
      </w:pPr>
      <w:hyperlink w:anchor="_Toc109921649" w:history="1">
        <w:r w:rsidR="001B4E3C" w:rsidRPr="0033797E">
          <w:rPr>
            <w:rStyle w:val="Hyperlink"/>
          </w:rPr>
          <w:t>i.</w:t>
        </w:r>
        <w:r w:rsidR="001B4E3C">
          <w:rPr>
            <w:rFonts w:asciiTheme="minorHAnsi" w:eastAsiaTheme="minorEastAsia" w:hAnsiTheme="minorHAnsi"/>
            <w:iCs w:val="0"/>
            <w:sz w:val="22"/>
            <w:szCs w:val="22"/>
          </w:rPr>
          <w:tab/>
        </w:r>
        <w:r w:rsidR="001B4E3C" w:rsidRPr="0033797E">
          <w:rPr>
            <w:rStyle w:val="Hyperlink"/>
          </w:rPr>
          <w:t>Topic Area 1: Wind and Solar Grid Services Design, Implementation, and Demonstration</w:t>
        </w:r>
        <w:r w:rsidR="001B4E3C">
          <w:rPr>
            <w:webHidden/>
          </w:rPr>
          <w:tab/>
        </w:r>
        <w:r w:rsidR="001B4E3C">
          <w:rPr>
            <w:webHidden/>
          </w:rPr>
          <w:fldChar w:fldCharType="begin"/>
        </w:r>
        <w:r w:rsidR="001B4E3C">
          <w:rPr>
            <w:webHidden/>
          </w:rPr>
          <w:instrText xml:space="preserve"> PAGEREF _Toc109921649 \h </w:instrText>
        </w:r>
        <w:r w:rsidR="001B4E3C">
          <w:rPr>
            <w:webHidden/>
          </w:rPr>
        </w:r>
        <w:r w:rsidR="001B4E3C">
          <w:rPr>
            <w:webHidden/>
          </w:rPr>
          <w:fldChar w:fldCharType="separate"/>
        </w:r>
        <w:r w:rsidR="00F7481E">
          <w:rPr>
            <w:webHidden/>
          </w:rPr>
          <w:t>18</w:t>
        </w:r>
        <w:r w:rsidR="001B4E3C">
          <w:rPr>
            <w:webHidden/>
          </w:rPr>
          <w:fldChar w:fldCharType="end"/>
        </w:r>
      </w:hyperlink>
    </w:p>
    <w:p w14:paraId="294EF6D0" w14:textId="1BA8599C" w:rsidR="001B4E3C" w:rsidRDefault="00E63DDA">
      <w:pPr>
        <w:pStyle w:val="TOC3"/>
        <w:rPr>
          <w:rFonts w:asciiTheme="minorHAnsi" w:eastAsiaTheme="minorEastAsia" w:hAnsiTheme="minorHAnsi"/>
          <w:iCs w:val="0"/>
          <w:sz w:val="22"/>
          <w:szCs w:val="22"/>
        </w:rPr>
      </w:pPr>
      <w:hyperlink w:anchor="_Toc109921650" w:history="1">
        <w:r w:rsidR="001B4E3C" w:rsidRPr="0033797E">
          <w:rPr>
            <w:rStyle w:val="Hyperlink"/>
          </w:rPr>
          <w:t>ii.</w:t>
        </w:r>
        <w:r w:rsidR="001B4E3C">
          <w:rPr>
            <w:rFonts w:asciiTheme="minorHAnsi" w:eastAsiaTheme="minorEastAsia" w:hAnsiTheme="minorHAnsi"/>
            <w:iCs w:val="0"/>
            <w:sz w:val="22"/>
            <w:szCs w:val="22"/>
          </w:rPr>
          <w:tab/>
        </w:r>
        <w:r w:rsidR="001B4E3C" w:rsidRPr="0033797E">
          <w:rPr>
            <w:rStyle w:val="Hyperlink"/>
          </w:rPr>
          <w:t>Topic Area 2: Protection of Bulk Power Systems with High Contribution from Inverter-Based Resources</w:t>
        </w:r>
        <w:r w:rsidR="001B4E3C">
          <w:rPr>
            <w:webHidden/>
          </w:rPr>
          <w:tab/>
        </w:r>
        <w:r w:rsidR="001B4E3C">
          <w:rPr>
            <w:webHidden/>
          </w:rPr>
          <w:fldChar w:fldCharType="begin"/>
        </w:r>
        <w:r w:rsidR="001B4E3C">
          <w:rPr>
            <w:webHidden/>
          </w:rPr>
          <w:instrText xml:space="preserve"> PAGEREF _Toc109921650 \h </w:instrText>
        </w:r>
        <w:r w:rsidR="001B4E3C">
          <w:rPr>
            <w:webHidden/>
          </w:rPr>
        </w:r>
        <w:r w:rsidR="001B4E3C">
          <w:rPr>
            <w:webHidden/>
          </w:rPr>
          <w:fldChar w:fldCharType="separate"/>
        </w:r>
        <w:r w:rsidR="00F7481E">
          <w:rPr>
            <w:webHidden/>
          </w:rPr>
          <w:t>29</w:t>
        </w:r>
        <w:r w:rsidR="001B4E3C">
          <w:rPr>
            <w:webHidden/>
          </w:rPr>
          <w:fldChar w:fldCharType="end"/>
        </w:r>
      </w:hyperlink>
    </w:p>
    <w:p w14:paraId="555F65A7" w14:textId="1BECA74A" w:rsidR="001B4E3C" w:rsidRDefault="00E63DDA">
      <w:pPr>
        <w:pStyle w:val="TOC2"/>
        <w:rPr>
          <w:rFonts w:eastAsiaTheme="minorEastAsia"/>
          <w:noProof/>
          <w:sz w:val="22"/>
          <w:szCs w:val="22"/>
        </w:rPr>
      </w:pPr>
      <w:hyperlink w:anchor="_Toc109921651" w:history="1">
        <w:r w:rsidR="001B4E3C" w:rsidRPr="0033797E">
          <w:rPr>
            <w:rStyle w:val="Hyperlink"/>
            <w:smallCaps/>
            <w:noProof/>
          </w:rPr>
          <w:t>C.</w:t>
        </w:r>
        <w:r w:rsidR="001B4E3C">
          <w:rPr>
            <w:rFonts w:eastAsiaTheme="minorEastAsia"/>
            <w:noProof/>
            <w:sz w:val="22"/>
            <w:szCs w:val="22"/>
          </w:rPr>
          <w:tab/>
        </w:r>
        <w:r w:rsidR="001B4E3C" w:rsidRPr="0033797E">
          <w:rPr>
            <w:rStyle w:val="Hyperlink"/>
            <w:noProof/>
          </w:rPr>
          <w:t>Additional Applications Specifically Not of Interest for Both Topic 1 and Topic 2</w:t>
        </w:r>
        <w:r w:rsidR="001B4E3C">
          <w:rPr>
            <w:noProof/>
            <w:webHidden/>
          </w:rPr>
          <w:tab/>
        </w:r>
        <w:r w:rsidR="001B4E3C">
          <w:rPr>
            <w:noProof/>
            <w:webHidden/>
          </w:rPr>
          <w:fldChar w:fldCharType="begin"/>
        </w:r>
        <w:r w:rsidR="001B4E3C">
          <w:rPr>
            <w:noProof/>
            <w:webHidden/>
          </w:rPr>
          <w:instrText xml:space="preserve"> PAGEREF _Toc109921651 \h </w:instrText>
        </w:r>
        <w:r w:rsidR="001B4E3C">
          <w:rPr>
            <w:noProof/>
            <w:webHidden/>
          </w:rPr>
        </w:r>
        <w:r w:rsidR="001B4E3C">
          <w:rPr>
            <w:noProof/>
            <w:webHidden/>
          </w:rPr>
          <w:fldChar w:fldCharType="separate"/>
        </w:r>
        <w:r w:rsidR="00F7481E">
          <w:rPr>
            <w:noProof/>
            <w:webHidden/>
          </w:rPr>
          <w:t>43</w:t>
        </w:r>
        <w:r w:rsidR="001B4E3C">
          <w:rPr>
            <w:noProof/>
            <w:webHidden/>
          </w:rPr>
          <w:fldChar w:fldCharType="end"/>
        </w:r>
      </w:hyperlink>
    </w:p>
    <w:p w14:paraId="47CB8B36" w14:textId="48209CE2" w:rsidR="001B4E3C" w:rsidRDefault="00E63DDA">
      <w:pPr>
        <w:pStyle w:val="TOC2"/>
        <w:rPr>
          <w:rFonts w:eastAsiaTheme="minorEastAsia"/>
          <w:noProof/>
          <w:sz w:val="22"/>
          <w:szCs w:val="22"/>
        </w:rPr>
      </w:pPr>
      <w:hyperlink w:anchor="_Toc109921652" w:history="1">
        <w:r w:rsidR="001B4E3C" w:rsidRPr="0033797E">
          <w:rPr>
            <w:rStyle w:val="Hyperlink"/>
            <w:smallCaps/>
            <w:noProof/>
          </w:rPr>
          <w:t>D.</w:t>
        </w:r>
        <w:r w:rsidR="001B4E3C">
          <w:rPr>
            <w:rFonts w:eastAsiaTheme="minorEastAsia"/>
            <w:noProof/>
            <w:sz w:val="22"/>
            <w:szCs w:val="22"/>
          </w:rPr>
          <w:tab/>
        </w:r>
        <w:r w:rsidR="001B4E3C" w:rsidRPr="0033797E">
          <w:rPr>
            <w:rStyle w:val="Hyperlink"/>
            <w:noProof/>
          </w:rPr>
          <w:t>Authorizing Statutes</w:t>
        </w:r>
        <w:r w:rsidR="001B4E3C">
          <w:rPr>
            <w:noProof/>
            <w:webHidden/>
          </w:rPr>
          <w:tab/>
        </w:r>
        <w:r w:rsidR="001B4E3C">
          <w:rPr>
            <w:noProof/>
            <w:webHidden/>
          </w:rPr>
          <w:fldChar w:fldCharType="begin"/>
        </w:r>
        <w:r w:rsidR="001B4E3C">
          <w:rPr>
            <w:noProof/>
            <w:webHidden/>
          </w:rPr>
          <w:instrText xml:space="preserve"> PAGEREF _Toc109921652 \h </w:instrText>
        </w:r>
        <w:r w:rsidR="001B4E3C">
          <w:rPr>
            <w:noProof/>
            <w:webHidden/>
          </w:rPr>
        </w:r>
        <w:r w:rsidR="001B4E3C">
          <w:rPr>
            <w:noProof/>
            <w:webHidden/>
          </w:rPr>
          <w:fldChar w:fldCharType="separate"/>
        </w:r>
        <w:r w:rsidR="00F7481E">
          <w:rPr>
            <w:noProof/>
            <w:webHidden/>
          </w:rPr>
          <w:t>43</w:t>
        </w:r>
        <w:r w:rsidR="001B4E3C">
          <w:rPr>
            <w:noProof/>
            <w:webHidden/>
          </w:rPr>
          <w:fldChar w:fldCharType="end"/>
        </w:r>
      </w:hyperlink>
    </w:p>
    <w:p w14:paraId="66A884C2" w14:textId="01C93EE2" w:rsidR="001B4E3C" w:rsidRDefault="00E63DDA">
      <w:pPr>
        <w:pStyle w:val="TOC2"/>
        <w:rPr>
          <w:rFonts w:eastAsiaTheme="minorEastAsia"/>
          <w:noProof/>
          <w:sz w:val="22"/>
          <w:szCs w:val="22"/>
        </w:rPr>
      </w:pPr>
      <w:hyperlink w:anchor="_Toc109921653" w:history="1">
        <w:r w:rsidR="001B4E3C" w:rsidRPr="0033797E">
          <w:rPr>
            <w:rStyle w:val="Hyperlink"/>
            <w:smallCaps/>
            <w:noProof/>
          </w:rPr>
          <w:t>E.</w:t>
        </w:r>
        <w:r w:rsidR="001B4E3C">
          <w:rPr>
            <w:rFonts w:eastAsiaTheme="minorEastAsia"/>
            <w:noProof/>
            <w:sz w:val="22"/>
            <w:szCs w:val="22"/>
          </w:rPr>
          <w:tab/>
        </w:r>
        <w:r w:rsidR="001B4E3C" w:rsidRPr="0033797E">
          <w:rPr>
            <w:rStyle w:val="Hyperlink"/>
            <w:noProof/>
          </w:rPr>
          <w:t>Notice of Bipartisan Infrastructure Law-Specific Requirements</w:t>
        </w:r>
        <w:r w:rsidR="001B4E3C">
          <w:rPr>
            <w:noProof/>
            <w:webHidden/>
          </w:rPr>
          <w:tab/>
        </w:r>
        <w:r w:rsidR="001B4E3C">
          <w:rPr>
            <w:noProof/>
            <w:webHidden/>
          </w:rPr>
          <w:fldChar w:fldCharType="begin"/>
        </w:r>
        <w:r w:rsidR="001B4E3C">
          <w:rPr>
            <w:noProof/>
            <w:webHidden/>
          </w:rPr>
          <w:instrText xml:space="preserve"> PAGEREF _Toc109921653 \h </w:instrText>
        </w:r>
        <w:r w:rsidR="001B4E3C">
          <w:rPr>
            <w:noProof/>
            <w:webHidden/>
          </w:rPr>
        </w:r>
        <w:r w:rsidR="001B4E3C">
          <w:rPr>
            <w:noProof/>
            <w:webHidden/>
          </w:rPr>
          <w:fldChar w:fldCharType="separate"/>
        </w:r>
        <w:r w:rsidR="00F7481E">
          <w:rPr>
            <w:noProof/>
            <w:webHidden/>
          </w:rPr>
          <w:t>44</w:t>
        </w:r>
        <w:r w:rsidR="001B4E3C">
          <w:rPr>
            <w:noProof/>
            <w:webHidden/>
          </w:rPr>
          <w:fldChar w:fldCharType="end"/>
        </w:r>
      </w:hyperlink>
    </w:p>
    <w:p w14:paraId="69FA0720" w14:textId="4DCBCDF2" w:rsidR="001B4E3C" w:rsidRDefault="00E63DDA">
      <w:pPr>
        <w:pStyle w:val="TOC1"/>
        <w:rPr>
          <w:rFonts w:eastAsiaTheme="minorEastAsia"/>
          <w:b w:val="0"/>
          <w:bCs w:val="0"/>
          <w:noProof/>
          <w:sz w:val="22"/>
          <w:szCs w:val="22"/>
        </w:rPr>
      </w:pPr>
      <w:hyperlink w:anchor="_Toc109921654" w:history="1">
        <w:r w:rsidR="001B4E3C" w:rsidRPr="0033797E">
          <w:rPr>
            <w:rStyle w:val="Hyperlink"/>
            <w:smallCaps/>
            <w:noProof/>
          </w:rPr>
          <w:t>II.</w:t>
        </w:r>
        <w:r w:rsidR="001B4E3C">
          <w:rPr>
            <w:rFonts w:eastAsiaTheme="minorEastAsia"/>
            <w:b w:val="0"/>
            <w:bCs w:val="0"/>
            <w:noProof/>
            <w:sz w:val="22"/>
            <w:szCs w:val="22"/>
          </w:rPr>
          <w:tab/>
        </w:r>
        <w:r w:rsidR="001B4E3C" w:rsidRPr="0033797E">
          <w:rPr>
            <w:rStyle w:val="Hyperlink"/>
            <w:noProof/>
          </w:rPr>
          <w:t>Award Information</w:t>
        </w:r>
        <w:r w:rsidR="001B4E3C">
          <w:rPr>
            <w:noProof/>
            <w:webHidden/>
          </w:rPr>
          <w:tab/>
        </w:r>
        <w:r w:rsidR="001B4E3C">
          <w:rPr>
            <w:noProof/>
            <w:webHidden/>
          </w:rPr>
          <w:fldChar w:fldCharType="begin"/>
        </w:r>
        <w:r w:rsidR="001B4E3C">
          <w:rPr>
            <w:noProof/>
            <w:webHidden/>
          </w:rPr>
          <w:instrText xml:space="preserve"> PAGEREF _Toc109921654 \h </w:instrText>
        </w:r>
        <w:r w:rsidR="001B4E3C">
          <w:rPr>
            <w:noProof/>
            <w:webHidden/>
          </w:rPr>
        </w:r>
        <w:r w:rsidR="001B4E3C">
          <w:rPr>
            <w:noProof/>
            <w:webHidden/>
          </w:rPr>
          <w:fldChar w:fldCharType="separate"/>
        </w:r>
        <w:r w:rsidR="00F7481E">
          <w:rPr>
            <w:noProof/>
            <w:webHidden/>
          </w:rPr>
          <w:t>44</w:t>
        </w:r>
        <w:r w:rsidR="001B4E3C">
          <w:rPr>
            <w:noProof/>
            <w:webHidden/>
          </w:rPr>
          <w:fldChar w:fldCharType="end"/>
        </w:r>
      </w:hyperlink>
    </w:p>
    <w:p w14:paraId="37F0521C" w14:textId="186C63E6" w:rsidR="001B4E3C" w:rsidRDefault="00E63DDA">
      <w:pPr>
        <w:pStyle w:val="TOC2"/>
        <w:rPr>
          <w:rFonts w:eastAsiaTheme="minorEastAsia"/>
          <w:noProof/>
          <w:sz w:val="22"/>
          <w:szCs w:val="22"/>
        </w:rPr>
      </w:pPr>
      <w:hyperlink w:anchor="_Toc109921655" w:history="1">
        <w:r w:rsidR="001B4E3C" w:rsidRPr="0033797E">
          <w:rPr>
            <w:rStyle w:val="Hyperlink"/>
            <w:smallCaps/>
            <w:noProof/>
          </w:rPr>
          <w:t>A.</w:t>
        </w:r>
        <w:r w:rsidR="001B4E3C">
          <w:rPr>
            <w:rFonts w:eastAsiaTheme="minorEastAsia"/>
            <w:noProof/>
            <w:sz w:val="22"/>
            <w:szCs w:val="22"/>
          </w:rPr>
          <w:tab/>
        </w:r>
        <w:r w:rsidR="001B4E3C" w:rsidRPr="0033797E">
          <w:rPr>
            <w:rStyle w:val="Hyperlink"/>
            <w:noProof/>
          </w:rPr>
          <w:t>Award Overview</w:t>
        </w:r>
        <w:r w:rsidR="001B4E3C">
          <w:rPr>
            <w:noProof/>
            <w:webHidden/>
          </w:rPr>
          <w:tab/>
        </w:r>
        <w:r w:rsidR="001B4E3C">
          <w:rPr>
            <w:noProof/>
            <w:webHidden/>
          </w:rPr>
          <w:fldChar w:fldCharType="begin"/>
        </w:r>
        <w:r w:rsidR="001B4E3C">
          <w:rPr>
            <w:noProof/>
            <w:webHidden/>
          </w:rPr>
          <w:instrText xml:space="preserve"> PAGEREF _Toc109921655 \h </w:instrText>
        </w:r>
        <w:r w:rsidR="001B4E3C">
          <w:rPr>
            <w:noProof/>
            <w:webHidden/>
          </w:rPr>
        </w:r>
        <w:r w:rsidR="001B4E3C">
          <w:rPr>
            <w:noProof/>
            <w:webHidden/>
          </w:rPr>
          <w:fldChar w:fldCharType="separate"/>
        </w:r>
        <w:r w:rsidR="00F7481E">
          <w:rPr>
            <w:noProof/>
            <w:webHidden/>
          </w:rPr>
          <w:t>45</w:t>
        </w:r>
        <w:r w:rsidR="001B4E3C">
          <w:rPr>
            <w:noProof/>
            <w:webHidden/>
          </w:rPr>
          <w:fldChar w:fldCharType="end"/>
        </w:r>
      </w:hyperlink>
    </w:p>
    <w:p w14:paraId="198ABCD6" w14:textId="2113FE8B" w:rsidR="001B4E3C" w:rsidRDefault="00E63DDA">
      <w:pPr>
        <w:pStyle w:val="TOC3"/>
        <w:rPr>
          <w:rFonts w:asciiTheme="minorHAnsi" w:eastAsiaTheme="minorEastAsia" w:hAnsiTheme="minorHAnsi"/>
          <w:iCs w:val="0"/>
          <w:sz w:val="22"/>
          <w:szCs w:val="22"/>
        </w:rPr>
      </w:pPr>
      <w:hyperlink w:anchor="_Toc109921656" w:history="1">
        <w:r w:rsidR="001B4E3C" w:rsidRPr="0033797E">
          <w:rPr>
            <w:rStyle w:val="Hyperlink"/>
          </w:rPr>
          <w:t>i.</w:t>
        </w:r>
        <w:r w:rsidR="001B4E3C">
          <w:rPr>
            <w:rFonts w:asciiTheme="minorHAnsi" w:eastAsiaTheme="minorEastAsia" w:hAnsiTheme="minorHAnsi"/>
            <w:iCs w:val="0"/>
            <w:sz w:val="22"/>
            <w:szCs w:val="22"/>
          </w:rPr>
          <w:tab/>
        </w:r>
        <w:r w:rsidR="001B4E3C" w:rsidRPr="0033797E">
          <w:rPr>
            <w:rStyle w:val="Hyperlink"/>
          </w:rPr>
          <w:t>Estimated Funding</w:t>
        </w:r>
        <w:r w:rsidR="001B4E3C">
          <w:rPr>
            <w:webHidden/>
          </w:rPr>
          <w:tab/>
        </w:r>
        <w:r w:rsidR="001B4E3C">
          <w:rPr>
            <w:webHidden/>
          </w:rPr>
          <w:fldChar w:fldCharType="begin"/>
        </w:r>
        <w:r w:rsidR="001B4E3C">
          <w:rPr>
            <w:webHidden/>
          </w:rPr>
          <w:instrText xml:space="preserve"> PAGEREF _Toc109921656 \h </w:instrText>
        </w:r>
        <w:r w:rsidR="001B4E3C">
          <w:rPr>
            <w:webHidden/>
          </w:rPr>
        </w:r>
        <w:r w:rsidR="001B4E3C">
          <w:rPr>
            <w:webHidden/>
          </w:rPr>
          <w:fldChar w:fldCharType="separate"/>
        </w:r>
        <w:r w:rsidR="00F7481E">
          <w:rPr>
            <w:webHidden/>
          </w:rPr>
          <w:t>45</w:t>
        </w:r>
        <w:r w:rsidR="001B4E3C">
          <w:rPr>
            <w:webHidden/>
          </w:rPr>
          <w:fldChar w:fldCharType="end"/>
        </w:r>
      </w:hyperlink>
    </w:p>
    <w:p w14:paraId="7A7B2E36" w14:textId="04EF8438" w:rsidR="001B4E3C" w:rsidRDefault="00E63DDA">
      <w:pPr>
        <w:pStyle w:val="TOC3"/>
        <w:rPr>
          <w:rFonts w:asciiTheme="minorHAnsi" w:eastAsiaTheme="minorEastAsia" w:hAnsiTheme="minorHAnsi"/>
          <w:iCs w:val="0"/>
          <w:sz w:val="22"/>
          <w:szCs w:val="22"/>
        </w:rPr>
      </w:pPr>
      <w:hyperlink w:anchor="_Toc109921657" w:history="1">
        <w:r w:rsidR="001B4E3C" w:rsidRPr="0033797E">
          <w:rPr>
            <w:rStyle w:val="Hyperlink"/>
          </w:rPr>
          <w:t>ii.</w:t>
        </w:r>
        <w:r w:rsidR="001B4E3C">
          <w:rPr>
            <w:rFonts w:asciiTheme="minorHAnsi" w:eastAsiaTheme="minorEastAsia" w:hAnsiTheme="minorHAnsi"/>
            <w:iCs w:val="0"/>
            <w:sz w:val="22"/>
            <w:szCs w:val="22"/>
          </w:rPr>
          <w:tab/>
        </w:r>
        <w:r w:rsidR="001B4E3C" w:rsidRPr="0033797E">
          <w:rPr>
            <w:rStyle w:val="Hyperlink"/>
          </w:rPr>
          <w:t>Period of Performance</w:t>
        </w:r>
        <w:r w:rsidR="001B4E3C">
          <w:rPr>
            <w:webHidden/>
          </w:rPr>
          <w:tab/>
        </w:r>
        <w:r w:rsidR="001B4E3C">
          <w:rPr>
            <w:webHidden/>
          </w:rPr>
          <w:fldChar w:fldCharType="begin"/>
        </w:r>
        <w:r w:rsidR="001B4E3C">
          <w:rPr>
            <w:webHidden/>
          </w:rPr>
          <w:instrText xml:space="preserve"> PAGEREF _Toc109921657 \h </w:instrText>
        </w:r>
        <w:r w:rsidR="001B4E3C">
          <w:rPr>
            <w:webHidden/>
          </w:rPr>
        </w:r>
        <w:r w:rsidR="001B4E3C">
          <w:rPr>
            <w:webHidden/>
          </w:rPr>
          <w:fldChar w:fldCharType="separate"/>
        </w:r>
        <w:r w:rsidR="00F7481E">
          <w:rPr>
            <w:webHidden/>
          </w:rPr>
          <w:t>45</w:t>
        </w:r>
        <w:r w:rsidR="001B4E3C">
          <w:rPr>
            <w:webHidden/>
          </w:rPr>
          <w:fldChar w:fldCharType="end"/>
        </w:r>
      </w:hyperlink>
    </w:p>
    <w:p w14:paraId="62A8D0F7" w14:textId="2F1B42D9" w:rsidR="001B4E3C" w:rsidRDefault="00E63DDA">
      <w:pPr>
        <w:pStyle w:val="TOC3"/>
        <w:rPr>
          <w:rFonts w:asciiTheme="minorHAnsi" w:eastAsiaTheme="minorEastAsia" w:hAnsiTheme="minorHAnsi"/>
          <w:iCs w:val="0"/>
          <w:sz w:val="22"/>
          <w:szCs w:val="22"/>
        </w:rPr>
      </w:pPr>
      <w:hyperlink w:anchor="_Toc109921658" w:history="1">
        <w:r w:rsidR="001B4E3C" w:rsidRPr="0033797E">
          <w:rPr>
            <w:rStyle w:val="Hyperlink"/>
          </w:rPr>
          <w:t>iii.</w:t>
        </w:r>
        <w:r w:rsidR="001B4E3C">
          <w:rPr>
            <w:rFonts w:asciiTheme="minorHAnsi" w:eastAsiaTheme="minorEastAsia" w:hAnsiTheme="minorHAnsi"/>
            <w:iCs w:val="0"/>
            <w:sz w:val="22"/>
            <w:szCs w:val="22"/>
          </w:rPr>
          <w:tab/>
        </w:r>
        <w:r w:rsidR="001B4E3C" w:rsidRPr="0033797E">
          <w:rPr>
            <w:rStyle w:val="Hyperlink"/>
          </w:rPr>
          <w:t>New Applications Only</w:t>
        </w:r>
        <w:r w:rsidR="001B4E3C">
          <w:rPr>
            <w:webHidden/>
          </w:rPr>
          <w:tab/>
        </w:r>
        <w:r w:rsidR="001B4E3C">
          <w:rPr>
            <w:webHidden/>
          </w:rPr>
          <w:fldChar w:fldCharType="begin"/>
        </w:r>
        <w:r w:rsidR="001B4E3C">
          <w:rPr>
            <w:webHidden/>
          </w:rPr>
          <w:instrText xml:space="preserve"> PAGEREF _Toc109921658 \h </w:instrText>
        </w:r>
        <w:r w:rsidR="001B4E3C">
          <w:rPr>
            <w:webHidden/>
          </w:rPr>
        </w:r>
        <w:r w:rsidR="001B4E3C">
          <w:rPr>
            <w:webHidden/>
          </w:rPr>
          <w:fldChar w:fldCharType="separate"/>
        </w:r>
        <w:r w:rsidR="00F7481E">
          <w:rPr>
            <w:webHidden/>
          </w:rPr>
          <w:t>46</w:t>
        </w:r>
        <w:r w:rsidR="001B4E3C">
          <w:rPr>
            <w:webHidden/>
          </w:rPr>
          <w:fldChar w:fldCharType="end"/>
        </w:r>
      </w:hyperlink>
    </w:p>
    <w:p w14:paraId="01657D9C" w14:textId="2D31C758" w:rsidR="001B4E3C" w:rsidRDefault="00E63DDA">
      <w:pPr>
        <w:pStyle w:val="TOC2"/>
        <w:rPr>
          <w:rFonts w:eastAsiaTheme="minorEastAsia"/>
          <w:noProof/>
          <w:sz w:val="22"/>
          <w:szCs w:val="22"/>
        </w:rPr>
      </w:pPr>
      <w:hyperlink w:anchor="_Toc109921659" w:history="1">
        <w:r w:rsidR="001B4E3C" w:rsidRPr="0033797E">
          <w:rPr>
            <w:rStyle w:val="Hyperlink"/>
            <w:smallCaps/>
            <w:noProof/>
          </w:rPr>
          <w:t>B.</w:t>
        </w:r>
        <w:r w:rsidR="001B4E3C">
          <w:rPr>
            <w:rFonts w:eastAsiaTheme="minorEastAsia"/>
            <w:noProof/>
            <w:sz w:val="22"/>
            <w:szCs w:val="22"/>
          </w:rPr>
          <w:tab/>
        </w:r>
        <w:r w:rsidR="001B4E3C" w:rsidRPr="0033797E">
          <w:rPr>
            <w:rStyle w:val="Hyperlink"/>
            <w:noProof/>
          </w:rPr>
          <w:t>EERE Funding Agreements</w:t>
        </w:r>
        <w:r w:rsidR="001B4E3C">
          <w:rPr>
            <w:noProof/>
            <w:webHidden/>
          </w:rPr>
          <w:tab/>
        </w:r>
        <w:r w:rsidR="001B4E3C">
          <w:rPr>
            <w:noProof/>
            <w:webHidden/>
          </w:rPr>
          <w:fldChar w:fldCharType="begin"/>
        </w:r>
        <w:r w:rsidR="001B4E3C">
          <w:rPr>
            <w:noProof/>
            <w:webHidden/>
          </w:rPr>
          <w:instrText xml:space="preserve"> PAGEREF _Toc109921659 \h </w:instrText>
        </w:r>
        <w:r w:rsidR="001B4E3C">
          <w:rPr>
            <w:noProof/>
            <w:webHidden/>
          </w:rPr>
        </w:r>
        <w:r w:rsidR="001B4E3C">
          <w:rPr>
            <w:noProof/>
            <w:webHidden/>
          </w:rPr>
          <w:fldChar w:fldCharType="separate"/>
        </w:r>
        <w:r w:rsidR="00F7481E">
          <w:rPr>
            <w:noProof/>
            <w:webHidden/>
          </w:rPr>
          <w:t>46</w:t>
        </w:r>
        <w:r w:rsidR="001B4E3C">
          <w:rPr>
            <w:noProof/>
            <w:webHidden/>
          </w:rPr>
          <w:fldChar w:fldCharType="end"/>
        </w:r>
      </w:hyperlink>
    </w:p>
    <w:p w14:paraId="2D907009" w14:textId="38E2F675" w:rsidR="001B4E3C" w:rsidRDefault="00E63DDA">
      <w:pPr>
        <w:pStyle w:val="TOC3"/>
        <w:rPr>
          <w:rFonts w:asciiTheme="minorHAnsi" w:eastAsiaTheme="minorEastAsia" w:hAnsiTheme="minorHAnsi"/>
          <w:iCs w:val="0"/>
          <w:sz w:val="22"/>
          <w:szCs w:val="22"/>
        </w:rPr>
      </w:pPr>
      <w:hyperlink w:anchor="_Toc109921660" w:history="1">
        <w:r w:rsidR="001B4E3C" w:rsidRPr="0033797E">
          <w:rPr>
            <w:rStyle w:val="Hyperlink"/>
          </w:rPr>
          <w:t>i.</w:t>
        </w:r>
        <w:r w:rsidR="001B4E3C">
          <w:rPr>
            <w:rFonts w:asciiTheme="minorHAnsi" w:eastAsiaTheme="minorEastAsia" w:hAnsiTheme="minorHAnsi"/>
            <w:iCs w:val="0"/>
            <w:sz w:val="22"/>
            <w:szCs w:val="22"/>
          </w:rPr>
          <w:tab/>
        </w:r>
        <w:r w:rsidR="001B4E3C" w:rsidRPr="0033797E">
          <w:rPr>
            <w:rStyle w:val="Hyperlink"/>
          </w:rPr>
          <w:t>Cooperative Agreements</w:t>
        </w:r>
        <w:r w:rsidR="001B4E3C">
          <w:rPr>
            <w:webHidden/>
          </w:rPr>
          <w:tab/>
        </w:r>
        <w:r w:rsidR="001B4E3C">
          <w:rPr>
            <w:webHidden/>
          </w:rPr>
          <w:fldChar w:fldCharType="begin"/>
        </w:r>
        <w:r w:rsidR="001B4E3C">
          <w:rPr>
            <w:webHidden/>
          </w:rPr>
          <w:instrText xml:space="preserve"> PAGEREF _Toc109921660 \h </w:instrText>
        </w:r>
        <w:r w:rsidR="001B4E3C">
          <w:rPr>
            <w:webHidden/>
          </w:rPr>
        </w:r>
        <w:r w:rsidR="001B4E3C">
          <w:rPr>
            <w:webHidden/>
          </w:rPr>
          <w:fldChar w:fldCharType="separate"/>
        </w:r>
        <w:r w:rsidR="00F7481E">
          <w:rPr>
            <w:webHidden/>
          </w:rPr>
          <w:t>46</w:t>
        </w:r>
        <w:r w:rsidR="001B4E3C">
          <w:rPr>
            <w:webHidden/>
          </w:rPr>
          <w:fldChar w:fldCharType="end"/>
        </w:r>
      </w:hyperlink>
    </w:p>
    <w:p w14:paraId="1926E31D" w14:textId="5407FD4C" w:rsidR="001B4E3C" w:rsidRDefault="00E63DDA">
      <w:pPr>
        <w:pStyle w:val="TOC3"/>
        <w:rPr>
          <w:rFonts w:asciiTheme="minorHAnsi" w:eastAsiaTheme="minorEastAsia" w:hAnsiTheme="minorHAnsi"/>
          <w:iCs w:val="0"/>
          <w:sz w:val="22"/>
          <w:szCs w:val="22"/>
        </w:rPr>
      </w:pPr>
      <w:hyperlink w:anchor="_Toc109921661" w:history="1">
        <w:r w:rsidR="001B4E3C" w:rsidRPr="0033797E">
          <w:rPr>
            <w:rStyle w:val="Hyperlink"/>
          </w:rPr>
          <w:t>ii.</w:t>
        </w:r>
        <w:r w:rsidR="001B4E3C">
          <w:rPr>
            <w:rFonts w:asciiTheme="minorHAnsi" w:eastAsiaTheme="minorEastAsia" w:hAnsiTheme="minorHAnsi"/>
            <w:iCs w:val="0"/>
            <w:sz w:val="22"/>
            <w:szCs w:val="22"/>
          </w:rPr>
          <w:tab/>
        </w:r>
        <w:r w:rsidR="001B4E3C" w:rsidRPr="0033797E">
          <w:rPr>
            <w:rStyle w:val="Hyperlink"/>
          </w:rPr>
          <w:t>Funding Agreements with Federally Funded Research and Development Center (FFRDCs)</w:t>
        </w:r>
        <w:r w:rsidR="001B4E3C">
          <w:rPr>
            <w:webHidden/>
          </w:rPr>
          <w:tab/>
        </w:r>
        <w:r w:rsidR="001B4E3C">
          <w:rPr>
            <w:webHidden/>
          </w:rPr>
          <w:fldChar w:fldCharType="begin"/>
        </w:r>
        <w:r w:rsidR="001B4E3C">
          <w:rPr>
            <w:webHidden/>
          </w:rPr>
          <w:instrText xml:space="preserve"> PAGEREF _Toc109921661 \h </w:instrText>
        </w:r>
        <w:r w:rsidR="001B4E3C">
          <w:rPr>
            <w:webHidden/>
          </w:rPr>
        </w:r>
        <w:r w:rsidR="001B4E3C">
          <w:rPr>
            <w:webHidden/>
          </w:rPr>
          <w:fldChar w:fldCharType="separate"/>
        </w:r>
        <w:r w:rsidR="00F7481E">
          <w:rPr>
            <w:webHidden/>
          </w:rPr>
          <w:t>46</w:t>
        </w:r>
        <w:r w:rsidR="001B4E3C">
          <w:rPr>
            <w:webHidden/>
          </w:rPr>
          <w:fldChar w:fldCharType="end"/>
        </w:r>
      </w:hyperlink>
    </w:p>
    <w:p w14:paraId="03E38659" w14:textId="6B959749" w:rsidR="001B4E3C" w:rsidRDefault="00E63DDA">
      <w:pPr>
        <w:pStyle w:val="TOC1"/>
        <w:rPr>
          <w:rFonts w:eastAsiaTheme="minorEastAsia"/>
          <w:b w:val="0"/>
          <w:bCs w:val="0"/>
          <w:noProof/>
          <w:sz w:val="22"/>
          <w:szCs w:val="22"/>
        </w:rPr>
      </w:pPr>
      <w:hyperlink w:anchor="_Toc109921662" w:history="1">
        <w:r w:rsidR="001B4E3C" w:rsidRPr="0033797E">
          <w:rPr>
            <w:rStyle w:val="Hyperlink"/>
            <w:smallCaps/>
            <w:noProof/>
          </w:rPr>
          <w:t>III.</w:t>
        </w:r>
        <w:r w:rsidR="001B4E3C">
          <w:rPr>
            <w:rFonts w:eastAsiaTheme="minorEastAsia"/>
            <w:b w:val="0"/>
            <w:bCs w:val="0"/>
            <w:noProof/>
            <w:sz w:val="22"/>
            <w:szCs w:val="22"/>
          </w:rPr>
          <w:tab/>
        </w:r>
        <w:r w:rsidR="001B4E3C" w:rsidRPr="0033797E">
          <w:rPr>
            <w:rStyle w:val="Hyperlink"/>
            <w:noProof/>
          </w:rPr>
          <w:t>Eligibility Information</w:t>
        </w:r>
        <w:r w:rsidR="001B4E3C">
          <w:rPr>
            <w:noProof/>
            <w:webHidden/>
          </w:rPr>
          <w:tab/>
        </w:r>
        <w:r w:rsidR="001B4E3C">
          <w:rPr>
            <w:noProof/>
            <w:webHidden/>
          </w:rPr>
          <w:fldChar w:fldCharType="begin"/>
        </w:r>
        <w:r w:rsidR="001B4E3C">
          <w:rPr>
            <w:noProof/>
            <w:webHidden/>
          </w:rPr>
          <w:instrText xml:space="preserve"> PAGEREF _Toc109921662 \h </w:instrText>
        </w:r>
        <w:r w:rsidR="001B4E3C">
          <w:rPr>
            <w:noProof/>
            <w:webHidden/>
          </w:rPr>
        </w:r>
        <w:r w:rsidR="001B4E3C">
          <w:rPr>
            <w:noProof/>
            <w:webHidden/>
          </w:rPr>
          <w:fldChar w:fldCharType="separate"/>
        </w:r>
        <w:r w:rsidR="00F7481E">
          <w:rPr>
            <w:noProof/>
            <w:webHidden/>
          </w:rPr>
          <w:t>47</w:t>
        </w:r>
        <w:r w:rsidR="001B4E3C">
          <w:rPr>
            <w:noProof/>
            <w:webHidden/>
          </w:rPr>
          <w:fldChar w:fldCharType="end"/>
        </w:r>
      </w:hyperlink>
    </w:p>
    <w:p w14:paraId="4AA5C602" w14:textId="11DF407F" w:rsidR="001B4E3C" w:rsidRDefault="00E63DDA">
      <w:pPr>
        <w:pStyle w:val="TOC2"/>
        <w:rPr>
          <w:rFonts w:eastAsiaTheme="minorEastAsia"/>
          <w:noProof/>
          <w:sz w:val="22"/>
          <w:szCs w:val="22"/>
        </w:rPr>
      </w:pPr>
      <w:hyperlink w:anchor="_Toc109921663" w:history="1">
        <w:r w:rsidR="001B4E3C" w:rsidRPr="0033797E">
          <w:rPr>
            <w:rStyle w:val="Hyperlink"/>
            <w:smallCaps/>
            <w:noProof/>
          </w:rPr>
          <w:t>A.</w:t>
        </w:r>
        <w:r w:rsidR="001B4E3C">
          <w:rPr>
            <w:rFonts w:eastAsiaTheme="minorEastAsia"/>
            <w:noProof/>
            <w:sz w:val="22"/>
            <w:szCs w:val="22"/>
          </w:rPr>
          <w:tab/>
        </w:r>
        <w:r w:rsidR="001B4E3C" w:rsidRPr="0033797E">
          <w:rPr>
            <w:rStyle w:val="Hyperlink"/>
            <w:noProof/>
          </w:rPr>
          <w:t>Eligible Applicants</w:t>
        </w:r>
        <w:r w:rsidR="001B4E3C">
          <w:rPr>
            <w:noProof/>
            <w:webHidden/>
          </w:rPr>
          <w:tab/>
        </w:r>
        <w:r w:rsidR="001B4E3C">
          <w:rPr>
            <w:noProof/>
            <w:webHidden/>
          </w:rPr>
          <w:fldChar w:fldCharType="begin"/>
        </w:r>
        <w:r w:rsidR="001B4E3C">
          <w:rPr>
            <w:noProof/>
            <w:webHidden/>
          </w:rPr>
          <w:instrText xml:space="preserve"> PAGEREF _Toc109921663 \h </w:instrText>
        </w:r>
        <w:r w:rsidR="001B4E3C">
          <w:rPr>
            <w:noProof/>
            <w:webHidden/>
          </w:rPr>
        </w:r>
        <w:r w:rsidR="001B4E3C">
          <w:rPr>
            <w:noProof/>
            <w:webHidden/>
          </w:rPr>
          <w:fldChar w:fldCharType="separate"/>
        </w:r>
        <w:r w:rsidR="00F7481E">
          <w:rPr>
            <w:noProof/>
            <w:webHidden/>
          </w:rPr>
          <w:t>47</w:t>
        </w:r>
        <w:r w:rsidR="001B4E3C">
          <w:rPr>
            <w:noProof/>
            <w:webHidden/>
          </w:rPr>
          <w:fldChar w:fldCharType="end"/>
        </w:r>
      </w:hyperlink>
    </w:p>
    <w:p w14:paraId="54AA095D" w14:textId="7D9F2B9F" w:rsidR="001B4E3C" w:rsidRDefault="00E63DDA">
      <w:pPr>
        <w:pStyle w:val="TOC3"/>
        <w:rPr>
          <w:rFonts w:asciiTheme="minorHAnsi" w:eastAsiaTheme="minorEastAsia" w:hAnsiTheme="minorHAnsi"/>
          <w:iCs w:val="0"/>
          <w:sz w:val="22"/>
          <w:szCs w:val="22"/>
        </w:rPr>
      </w:pPr>
      <w:hyperlink w:anchor="_Toc109921664" w:history="1">
        <w:r w:rsidR="001B4E3C" w:rsidRPr="0033797E">
          <w:rPr>
            <w:rStyle w:val="Hyperlink"/>
          </w:rPr>
          <w:t>i.</w:t>
        </w:r>
        <w:r w:rsidR="001B4E3C">
          <w:rPr>
            <w:rFonts w:asciiTheme="minorHAnsi" w:eastAsiaTheme="minorEastAsia" w:hAnsiTheme="minorHAnsi"/>
            <w:iCs w:val="0"/>
            <w:sz w:val="22"/>
            <w:szCs w:val="22"/>
          </w:rPr>
          <w:tab/>
        </w:r>
        <w:r w:rsidR="001B4E3C" w:rsidRPr="0033797E">
          <w:rPr>
            <w:rStyle w:val="Hyperlink"/>
          </w:rPr>
          <w:t>Domestic Entities</w:t>
        </w:r>
        <w:r w:rsidR="001B4E3C">
          <w:rPr>
            <w:webHidden/>
          </w:rPr>
          <w:tab/>
        </w:r>
        <w:r w:rsidR="001B4E3C">
          <w:rPr>
            <w:webHidden/>
          </w:rPr>
          <w:fldChar w:fldCharType="begin"/>
        </w:r>
        <w:r w:rsidR="001B4E3C">
          <w:rPr>
            <w:webHidden/>
          </w:rPr>
          <w:instrText xml:space="preserve"> PAGEREF _Toc109921664 \h </w:instrText>
        </w:r>
        <w:r w:rsidR="001B4E3C">
          <w:rPr>
            <w:webHidden/>
          </w:rPr>
        </w:r>
        <w:r w:rsidR="001B4E3C">
          <w:rPr>
            <w:webHidden/>
          </w:rPr>
          <w:fldChar w:fldCharType="separate"/>
        </w:r>
        <w:r w:rsidR="00F7481E">
          <w:rPr>
            <w:webHidden/>
          </w:rPr>
          <w:t>47</w:t>
        </w:r>
        <w:r w:rsidR="001B4E3C">
          <w:rPr>
            <w:webHidden/>
          </w:rPr>
          <w:fldChar w:fldCharType="end"/>
        </w:r>
      </w:hyperlink>
    </w:p>
    <w:p w14:paraId="1A3613A6" w14:textId="01783BD9" w:rsidR="001B4E3C" w:rsidRDefault="00E63DDA">
      <w:pPr>
        <w:pStyle w:val="TOC3"/>
        <w:rPr>
          <w:rFonts w:asciiTheme="minorHAnsi" w:eastAsiaTheme="minorEastAsia" w:hAnsiTheme="minorHAnsi"/>
          <w:iCs w:val="0"/>
          <w:sz w:val="22"/>
          <w:szCs w:val="22"/>
        </w:rPr>
      </w:pPr>
      <w:hyperlink w:anchor="_Toc109921665" w:history="1">
        <w:r w:rsidR="001B4E3C" w:rsidRPr="0033797E">
          <w:rPr>
            <w:rStyle w:val="Hyperlink"/>
          </w:rPr>
          <w:t>ii.</w:t>
        </w:r>
        <w:r w:rsidR="001B4E3C">
          <w:rPr>
            <w:rFonts w:asciiTheme="minorHAnsi" w:eastAsiaTheme="minorEastAsia" w:hAnsiTheme="minorHAnsi"/>
            <w:iCs w:val="0"/>
            <w:sz w:val="22"/>
            <w:szCs w:val="22"/>
          </w:rPr>
          <w:tab/>
        </w:r>
        <w:r w:rsidR="001B4E3C" w:rsidRPr="0033797E">
          <w:rPr>
            <w:rStyle w:val="Hyperlink"/>
          </w:rPr>
          <w:t>Foreign Entities</w:t>
        </w:r>
        <w:r w:rsidR="001B4E3C">
          <w:rPr>
            <w:webHidden/>
          </w:rPr>
          <w:tab/>
        </w:r>
        <w:r w:rsidR="001B4E3C">
          <w:rPr>
            <w:webHidden/>
          </w:rPr>
          <w:fldChar w:fldCharType="begin"/>
        </w:r>
        <w:r w:rsidR="001B4E3C">
          <w:rPr>
            <w:webHidden/>
          </w:rPr>
          <w:instrText xml:space="preserve"> PAGEREF _Toc109921665 \h </w:instrText>
        </w:r>
        <w:r w:rsidR="001B4E3C">
          <w:rPr>
            <w:webHidden/>
          </w:rPr>
        </w:r>
        <w:r w:rsidR="001B4E3C">
          <w:rPr>
            <w:webHidden/>
          </w:rPr>
          <w:fldChar w:fldCharType="separate"/>
        </w:r>
        <w:r w:rsidR="00F7481E">
          <w:rPr>
            <w:webHidden/>
          </w:rPr>
          <w:t>48</w:t>
        </w:r>
        <w:r w:rsidR="001B4E3C">
          <w:rPr>
            <w:webHidden/>
          </w:rPr>
          <w:fldChar w:fldCharType="end"/>
        </w:r>
      </w:hyperlink>
    </w:p>
    <w:p w14:paraId="279C7922" w14:textId="5E5904EA" w:rsidR="001B4E3C" w:rsidRDefault="00E63DDA">
      <w:pPr>
        <w:pStyle w:val="TOC3"/>
        <w:rPr>
          <w:rFonts w:asciiTheme="minorHAnsi" w:eastAsiaTheme="minorEastAsia" w:hAnsiTheme="minorHAnsi"/>
          <w:iCs w:val="0"/>
          <w:sz w:val="22"/>
          <w:szCs w:val="22"/>
        </w:rPr>
      </w:pPr>
      <w:hyperlink w:anchor="_Toc109921666" w:history="1">
        <w:r w:rsidR="001B4E3C" w:rsidRPr="0033797E">
          <w:rPr>
            <w:rStyle w:val="Hyperlink"/>
          </w:rPr>
          <w:t>iii.</w:t>
        </w:r>
        <w:r w:rsidR="001B4E3C">
          <w:rPr>
            <w:rFonts w:asciiTheme="minorHAnsi" w:eastAsiaTheme="minorEastAsia" w:hAnsiTheme="minorHAnsi"/>
            <w:iCs w:val="0"/>
            <w:sz w:val="22"/>
            <w:szCs w:val="22"/>
          </w:rPr>
          <w:tab/>
        </w:r>
        <w:r w:rsidR="001B4E3C" w:rsidRPr="0033797E">
          <w:rPr>
            <w:rStyle w:val="Hyperlink"/>
          </w:rPr>
          <w:t>Incorporated Consortia</w:t>
        </w:r>
        <w:r w:rsidR="001B4E3C">
          <w:rPr>
            <w:webHidden/>
          </w:rPr>
          <w:tab/>
        </w:r>
        <w:r w:rsidR="001B4E3C">
          <w:rPr>
            <w:webHidden/>
          </w:rPr>
          <w:fldChar w:fldCharType="begin"/>
        </w:r>
        <w:r w:rsidR="001B4E3C">
          <w:rPr>
            <w:webHidden/>
          </w:rPr>
          <w:instrText xml:space="preserve"> PAGEREF _Toc109921666 \h </w:instrText>
        </w:r>
        <w:r w:rsidR="001B4E3C">
          <w:rPr>
            <w:webHidden/>
          </w:rPr>
        </w:r>
        <w:r w:rsidR="001B4E3C">
          <w:rPr>
            <w:webHidden/>
          </w:rPr>
          <w:fldChar w:fldCharType="separate"/>
        </w:r>
        <w:r w:rsidR="00F7481E">
          <w:rPr>
            <w:webHidden/>
          </w:rPr>
          <w:t>48</w:t>
        </w:r>
        <w:r w:rsidR="001B4E3C">
          <w:rPr>
            <w:webHidden/>
          </w:rPr>
          <w:fldChar w:fldCharType="end"/>
        </w:r>
      </w:hyperlink>
    </w:p>
    <w:p w14:paraId="38DFDF2D" w14:textId="30943915" w:rsidR="001B4E3C" w:rsidRDefault="00E63DDA">
      <w:pPr>
        <w:pStyle w:val="TOC3"/>
        <w:rPr>
          <w:rFonts w:asciiTheme="minorHAnsi" w:eastAsiaTheme="minorEastAsia" w:hAnsiTheme="minorHAnsi"/>
          <w:iCs w:val="0"/>
          <w:sz w:val="22"/>
          <w:szCs w:val="22"/>
        </w:rPr>
      </w:pPr>
      <w:hyperlink w:anchor="_Toc109921667" w:history="1">
        <w:r w:rsidR="001B4E3C" w:rsidRPr="0033797E">
          <w:rPr>
            <w:rStyle w:val="Hyperlink"/>
          </w:rPr>
          <w:t>iv.</w:t>
        </w:r>
        <w:r w:rsidR="001B4E3C">
          <w:rPr>
            <w:rFonts w:asciiTheme="minorHAnsi" w:eastAsiaTheme="minorEastAsia" w:hAnsiTheme="minorHAnsi"/>
            <w:iCs w:val="0"/>
            <w:sz w:val="22"/>
            <w:szCs w:val="22"/>
          </w:rPr>
          <w:tab/>
        </w:r>
        <w:r w:rsidR="001B4E3C" w:rsidRPr="0033797E">
          <w:rPr>
            <w:rStyle w:val="Hyperlink"/>
          </w:rPr>
          <w:t>Unincorporated Consortia</w:t>
        </w:r>
        <w:r w:rsidR="001B4E3C">
          <w:rPr>
            <w:webHidden/>
          </w:rPr>
          <w:tab/>
        </w:r>
        <w:r w:rsidR="001B4E3C">
          <w:rPr>
            <w:webHidden/>
          </w:rPr>
          <w:fldChar w:fldCharType="begin"/>
        </w:r>
        <w:r w:rsidR="001B4E3C">
          <w:rPr>
            <w:webHidden/>
          </w:rPr>
          <w:instrText xml:space="preserve"> PAGEREF _Toc109921667 \h </w:instrText>
        </w:r>
        <w:r w:rsidR="001B4E3C">
          <w:rPr>
            <w:webHidden/>
          </w:rPr>
        </w:r>
        <w:r w:rsidR="001B4E3C">
          <w:rPr>
            <w:webHidden/>
          </w:rPr>
          <w:fldChar w:fldCharType="separate"/>
        </w:r>
        <w:r w:rsidR="00F7481E">
          <w:rPr>
            <w:webHidden/>
          </w:rPr>
          <w:t>48</w:t>
        </w:r>
        <w:r w:rsidR="001B4E3C">
          <w:rPr>
            <w:webHidden/>
          </w:rPr>
          <w:fldChar w:fldCharType="end"/>
        </w:r>
      </w:hyperlink>
    </w:p>
    <w:p w14:paraId="7F81824F" w14:textId="4334B430" w:rsidR="001B4E3C" w:rsidRDefault="00E63DDA">
      <w:pPr>
        <w:pStyle w:val="TOC2"/>
        <w:rPr>
          <w:rFonts w:eastAsiaTheme="minorEastAsia"/>
          <w:noProof/>
          <w:sz w:val="22"/>
          <w:szCs w:val="22"/>
        </w:rPr>
      </w:pPr>
      <w:hyperlink w:anchor="_Toc109921668" w:history="1">
        <w:r w:rsidR="001B4E3C" w:rsidRPr="0033797E">
          <w:rPr>
            <w:rStyle w:val="Hyperlink"/>
            <w:smallCaps/>
            <w:noProof/>
          </w:rPr>
          <w:t>B.</w:t>
        </w:r>
        <w:r w:rsidR="001B4E3C">
          <w:rPr>
            <w:rFonts w:eastAsiaTheme="minorEastAsia"/>
            <w:noProof/>
            <w:sz w:val="22"/>
            <w:szCs w:val="22"/>
          </w:rPr>
          <w:tab/>
        </w:r>
        <w:r w:rsidR="001B4E3C" w:rsidRPr="0033797E">
          <w:rPr>
            <w:rStyle w:val="Hyperlink"/>
            <w:noProof/>
          </w:rPr>
          <w:t>Cost Sharing</w:t>
        </w:r>
        <w:r w:rsidR="001B4E3C">
          <w:rPr>
            <w:noProof/>
            <w:webHidden/>
          </w:rPr>
          <w:tab/>
        </w:r>
        <w:r w:rsidR="001B4E3C">
          <w:rPr>
            <w:noProof/>
            <w:webHidden/>
          </w:rPr>
          <w:fldChar w:fldCharType="begin"/>
        </w:r>
        <w:r w:rsidR="001B4E3C">
          <w:rPr>
            <w:noProof/>
            <w:webHidden/>
          </w:rPr>
          <w:instrText xml:space="preserve"> PAGEREF _Toc109921668 \h </w:instrText>
        </w:r>
        <w:r w:rsidR="001B4E3C">
          <w:rPr>
            <w:noProof/>
            <w:webHidden/>
          </w:rPr>
        </w:r>
        <w:r w:rsidR="001B4E3C">
          <w:rPr>
            <w:noProof/>
            <w:webHidden/>
          </w:rPr>
          <w:fldChar w:fldCharType="separate"/>
        </w:r>
        <w:r w:rsidR="00F7481E">
          <w:rPr>
            <w:noProof/>
            <w:webHidden/>
          </w:rPr>
          <w:t>49</w:t>
        </w:r>
        <w:r w:rsidR="001B4E3C">
          <w:rPr>
            <w:noProof/>
            <w:webHidden/>
          </w:rPr>
          <w:fldChar w:fldCharType="end"/>
        </w:r>
      </w:hyperlink>
    </w:p>
    <w:p w14:paraId="2670FD0C" w14:textId="3C228B09" w:rsidR="001B4E3C" w:rsidRDefault="00E63DDA">
      <w:pPr>
        <w:pStyle w:val="TOC3"/>
        <w:rPr>
          <w:rFonts w:asciiTheme="minorHAnsi" w:eastAsiaTheme="minorEastAsia" w:hAnsiTheme="minorHAnsi"/>
          <w:iCs w:val="0"/>
          <w:sz w:val="22"/>
          <w:szCs w:val="22"/>
        </w:rPr>
      </w:pPr>
      <w:hyperlink w:anchor="_Toc109921669" w:history="1">
        <w:r w:rsidR="001B4E3C" w:rsidRPr="0033797E">
          <w:rPr>
            <w:rStyle w:val="Hyperlink"/>
          </w:rPr>
          <w:t>i.</w:t>
        </w:r>
        <w:r w:rsidR="001B4E3C">
          <w:rPr>
            <w:rFonts w:asciiTheme="minorHAnsi" w:eastAsiaTheme="minorEastAsia" w:hAnsiTheme="minorHAnsi"/>
            <w:iCs w:val="0"/>
            <w:sz w:val="22"/>
            <w:szCs w:val="22"/>
          </w:rPr>
          <w:tab/>
        </w:r>
        <w:r w:rsidR="001B4E3C" w:rsidRPr="0033797E">
          <w:rPr>
            <w:rStyle w:val="Hyperlink"/>
          </w:rPr>
          <w:t>Legal Responsibility</w:t>
        </w:r>
        <w:r w:rsidR="001B4E3C">
          <w:rPr>
            <w:webHidden/>
          </w:rPr>
          <w:tab/>
        </w:r>
        <w:r w:rsidR="001B4E3C">
          <w:rPr>
            <w:webHidden/>
          </w:rPr>
          <w:fldChar w:fldCharType="begin"/>
        </w:r>
        <w:r w:rsidR="001B4E3C">
          <w:rPr>
            <w:webHidden/>
          </w:rPr>
          <w:instrText xml:space="preserve"> PAGEREF _Toc109921669 \h </w:instrText>
        </w:r>
        <w:r w:rsidR="001B4E3C">
          <w:rPr>
            <w:webHidden/>
          </w:rPr>
        </w:r>
        <w:r w:rsidR="001B4E3C">
          <w:rPr>
            <w:webHidden/>
          </w:rPr>
          <w:fldChar w:fldCharType="separate"/>
        </w:r>
        <w:r w:rsidR="00F7481E">
          <w:rPr>
            <w:webHidden/>
          </w:rPr>
          <w:t>49</w:t>
        </w:r>
        <w:r w:rsidR="001B4E3C">
          <w:rPr>
            <w:webHidden/>
          </w:rPr>
          <w:fldChar w:fldCharType="end"/>
        </w:r>
      </w:hyperlink>
    </w:p>
    <w:p w14:paraId="57A88203" w14:textId="44F689EA" w:rsidR="001B4E3C" w:rsidRDefault="00E63DDA">
      <w:pPr>
        <w:pStyle w:val="TOC3"/>
        <w:rPr>
          <w:rFonts w:asciiTheme="minorHAnsi" w:eastAsiaTheme="minorEastAsia" w:hAnsiTheme="minorHAnsi"/>
          <w:iCs w:val="0"/>
          <w:sz w:val="22"/>
          <w:szCs w:val="22"/>
        </w:rPr>
      </w:pPr>
      <w:hyperlink w:anchor="_Toc109921670" w:history="1">
        <w:r w:rsidR="001B4E3C" w:rsidRPr="0033797E">
          <w:rPr>
            <w:rStyle w:val="Hyperlink"/>
          </w:rPr>
          <w:t>ii.</w:t>
        </w:r>
        <w:r w:rsidR="001B4E3C">
          <w:rPr>
            <w:rFonts w:asciiTheme="minorHAnsi" w:eastAsiaTheme="minorEastAsia" w:hAnsiTheme="minorHAnsi"/>
            <w:iCs w:val="0"/>
            <w:sz w:val="22"/>
            <w:szCs w:val="22"/>
          </w:rPr>
          <w:tab/>
        </w:r>
        <w:r w:rsidR="001B4E3C" w:rsidRPr="0033797E">
          <w:rPr>
            <w:rStyle w:val="Hyperlink"/>
          </w:rPr>
          <w:t>Cost Share Allocation</w:t>
        </w:r>
        <w:r w:rsidR="001B4E3C">
          <w:rPr>
            <w:webHidden/>
          </w:rPr>
          <w:tab/>
        </w:r>
        <w:r w:rsidR="001B4E3C">
          <w:rPr>
            <w:webHidden/>
          </w:rPr>
          <w:fldChar w:fldCharType="begin"/>
        </w:r>
        <w:r w:rsidR="001B4E3C">
          <w:rPr>
            <w:webHidden/>
          </w:rPr>
          <w:instrText xml:space="preserve"> PAGEREF _Toc109921670 \h </w:instrText>
        </w:r>
        <w:r w:rsidR="001B4E3C">
          <w:rPr>
            <w:webHidden/>
          </w:rPr>
        </w:r>
        <w:r w:rsidR="001B4E3C">
          <w:rPr>
            <w:webHidden/>
          </w:rPr>
          <w:fldChar w:fldCharType="separate"/>
        </w:r>
        <w:r w:rsidR="00F7481E">
          <w:rPr>
            <w:webHidden/>
          </w:rPr>
          <w:t>50</w:t>
        </w:r>
        <w:r w:rsidR="001B4E3C">
          <w:rPr>
            <w:webHidden/>
          </w:rPr>
          <w:fldChar w:fldCharType="end"/>
        </w:r>
      </w:hyperlink>
    </w:p>
    <w:p w14:paraId="76907FF5" w14:textId="27570D6A" w:rsidR="001B4E3C" w:rsidRDefault="00E63DDA">
      <w:pPr>
        <w:pStyle w:val="TOC3"/>
        <w:rPr>
          <w:rFonts w:asciiTheme="minorHAnsi" w:eastAsiaTheme="minorEastAsia" w:hAnsiTheme="minorHAnsi"/>
          <w:iCs w:val="0"/>
          <w:sz w:val="22"/>
          <w:szCs w:val="22"/>
        </w:rPr>
      </w:pPr>
      <w:hyperlink w:anchor="_Toc109921671" w:history="1">
        <w:r w:rsidR="001B4E3C" w:rsidRPr="0033797E">
          <w:rPr>
            <w:rStyle w:val="Hyperlink"/>
          </w:rPr>
          <w:t>iii.</w:t>
        </w:r>
        <w:r w:rsidR="001B4E3C">
          <w:rPr>
            <w:rFonts w:asciiTheme="minorHAnsi" w:eastAsiaTheme="minorEastAsia" w:hAnsiTheme="minorHAnsi"/>
            <w:iCs w:val="0"/>
            <w:sz w:val="22"/>
            <w:szCs w:val="22"/>
          </w:rPr>
          <w:tab/>
        </w:r>
        <w:r w:rsidR="001B4E3C" w:rsidRPr="0033797E">
          <w:rPr>
            <w:rStyle w:val="Hyperlink"/>
          </w:rPr>
          <w:t>Cost Share Types and Allowability</w:t>
        </w:r>
        <w:r w:rsidR="001B4E3C">
          <w:rPr>
            <w:webHidden/>
          </w:rPr>
          <w:tab/>
        </w:r>
        <w:r w:rsidR="001B4E3C">
          <w:rPr>
            <w:webHidden/>
          </w:rPr>
          <w:fldChar w:fldCharType="begin"/>
        </w:r>
        <w:r w:rsidR="001B4E3C">
          <w:rPr>
            <w:webHidden/>
          </w:rPr>
          <w:instrText xml:space="preserve"> PAGEREF _Toc109921671 \h </w:instrText>
        </w:r>
        <w:r w:rsidR="001B4E3C">
          <w:rPr>
            <w:webHidden/>
          </w:rPr>
        </w:r>
        <w:r w:rsidR="001B4E3C">
          <w:rPr>
            <w:webHidden/>
          </w:rPr>
          <w:fldChar w:fldCharType="separate"/>
        </w:r>
        <w:r w:rsidR="00F7481E">
          <w:rPr>
            <w:webHidden/>
          </w:rPr>
          <w:t>50</w:t>
        </w:r>
        <w:r w:rsidR="001B4E3C">
          <w:rPr>
            <w:webHidden/>
          </w:rPr>
          <w:fldChar w:fldCharType="end"/>
        </w:r>
      </w:hyperlink>
    </w:p>
    <w:p w14:paraId="2089D62A" w14:textId="0C4B0C5F" w:rsidR="001B4E3C" w:rsidRDefault="00E63DDA">
      <w:pPr>
        <w:pStyle w:val="TOC3"/>
        <w:rPr>
          <w:rFonts w:asciiTheme="minorHAnsi" w:eastAsiaTheme="minorEastAsia" w:hAnsiTheme="minorHAnsi"/>
          <w:iCs w:val="0"/>
          <w:sz w:val="22"/>
          <w:szCs w:val="22"/>
        </w:rPr>
      </w:pPr>
      <w:hyperlink w:anchor="_Toc109921672" w:history="1">
        <w:r w:rsidR="001B4E3C" w:rsidRPr="0033797E">
          <w:rPr>
            <w:rStyle w:val="Hyperlink"/>
          </w:rPr>
          <w:t>iv.</w:t>
        </w:r>
        <w:r w:rsidR="001B4E3C">
          <w:rPr>
            <w:rFonts w:asciiTheme="minorHAnsi" w:eastAsiaTheme="minorEastAsia" w:hAnsiTheme="minorHAnsi"/>
            <w:iCs w:val="0"/>
            <w:sz w:val="22"/>
            <w:szCs w:val="22"/>
          </w:rPr>
          <w:tab/>
        </w:r>
        <w:r w:rsidR="001B4E3C" w:rsidRPr="0033797E">
          <w:rPr>
            <w:rStyle w:val="Hyperlink"/>
          </w:rPr>
          <w:t>Cost Share Contributions by FFRDCs</w:t>
        </w:r>
        <w:r w:rsidR="001B4E3C">
          <w:rPr>
            <w:webHidden/>
          </w:rPr>
          <w:tab/>
        </w:r>
        <w:r w:rsidR="001B4E3C">
          <w:rPr>
            <w:webHidden/>
          </w:rPr>
          <w:fldChar w:fldCharType="begin"/>
        </w:r>
        <w:r w:rsidR="001B4E3C">
          <w:rPr>
            <w:webHidden/>
          </w:rPr>
          <w:instrText xml:space="preserve"> PAGEREF _Toc109921672 \h </w:instrText>
        </w:r>
        <w:r w:rsidR="001B4E3C">
          <w:rPr>
            <w:webHidden/>
          </w:rPr>
        </w:r>
        <w:r w:rsidR="001B4E3C">
          <w:rPr>
            <w:webHidden/>
          </w:rPr>
          <w:fldChar w:fldCharType="separate"/>
        </w:r>
        <w:r w:rsidR="00F7481E">
          <w:rPr>
            <w:webHidden/>
          </w:rPr>
          <w:t>51</w:t>
        </w:r>
        <w:r w:rsidR="001B4E3C">
          <w:rPr>
            <w:webHidden/>
          </w:rPr>
          <w:fldChar w:fldCharType="end"/>
        </w:r>
      </w:hyperlink>
    </w:p>
    <w:p w14:paraId="62E9BBFC" w14:textId="6B8D809B" w:rsidR="001B4E3C" w:rsidRDefault="00E63DDA">
      <w:pPr>
        <w:pStyle w:val="TOC3"/>
        <w:rPr>
          <w:rFonts w:asciiTheme="minorHAnsi" w:eastAsiaTheme="minorEastAsia" w:hAnsiTheme="minorHAnsi"/>
          <w:iCs w:val="0"/>
          <w:sz w:val="22"/>
          <w:szCs w:val="22"/>
        </w:rPr>
      </w:pPr>
      <w:hyperlink w:anchor="_Toc109921673" w:history="1">
        <w:r w:rsidR="001B4E3C" w:rsidRPr="0033797E">
          <w:rPr>
            <w:rStyle w:val="Hyperlink"/>
          </w:rPr>
          <w:t>v.</w:t>
        </w:r>
        <w:r w:rsidR="001B4E3C">
          <w:rPr>
            <w:rFonts w:asciiTheme="minorHAnsi" w:eastAsiaTheme="minorEastAsia" w:hAnsiTheme="minorHAnsi"/>
            <w:iCs w:val="0"/>
            <w:sz w:val="22"/>
            <w:szCs w:val="22"/>
          </w:rPr>
          <w:tab/>
        </w:r>
        <w:r w:rsidR="001B4E3C" w:rsidRPr="0033797E">
          <w:rPr>
            <w:rStyle w:val="Hyperlink"/>
          </w:rPr>
          <w:t>Cost Share Verification</w:t>
        </w:r>
        <w:r w:rsidR="001B4E3C">
          <w:rPr>
            <w:webHidden/>
          </w:rPr>
          <w:tab/>
        </w:r>
        <w:r w:rsidR="001B4E3C">
          <w:rPr>
            <w:webHidden/>
          </w:rPr>
          <w:fldChar w:fldCharType="begin"/>
        </w:r>
        <w:r w:rsidR="001B4E3C">
          <w:rPr>
            <w:webHidden/>
          </w:rPr>
          <w:instrText xml:space="preserve"> PAGEREF _Toc109921673 \h </w:instrText>
        </w:r>
        <w:r w:rsidR="001B4E3C">
          <w:rPr>
            <w:webHidden/>
          </w:rPr>
        </w:r>
        <w:r w:rsidR="001B4E3C">
          <w:rPr>
            <w:webHidden/>
          </w:rPr>
          <w:fldChar w:fldCharType="separate"/>
        </w:r>
        <w:r w:rsidR="00F7481E">
          <w:rPr>
            <w:webHidden/>
          </w:rPr>
          <w:t>51</w:t>
        </w:r>
        <w:r w:rsidR="001B4E3C">
          <w:rPr>
            <w:webHidden/>
          </w:rPr>
          <w:fldChar w:fldCharType="end"/>
        </w:r>
      </w:hyperlink>
    </w:p>
    <w:p w14:paraId="3BDD8B43" w14:textId="7E6078B7" w:rsidR="001B4E3C" w:rsidRDefault="00E63DDA">
      <w:pPr>
        <w:pStyle w:val="TOC3"/>
        <w:rPr>
          <w:rFonts w:asciiTheme="minorHAnsi" w:eastAsiaTheme="minorEastAsia" w:hAnsiTheme="minorHAnsi"/>
          <w:iCs w:val="0"/>
          <w:sz w:val="22"/>
          <w:szCs w:val="22"/>
        </w:rPr>
      </w:pPr>
      <w:hyperlink w:anchor="_Toc109921674" w:history="1">
        <w:r w:rsidR="001B4E3C" w:rsidRPr="0033797E">
          <w:rPr>
            <w:rStyle w:val="Hyperlink"/>
          </w:rPr>
          <w:t>vi.</w:t>
        </w:r>
        <w:r w:rsidR="001B4E3C">
          <w:rPr>
            <w:rFonts w:asciiTheme="minorHAnsi" w:eastAsiaTheme="minorEastAsia" w:hAnsiTheme="minorHAnsi"/>
            <w:iCs w:val="0"/>
            <w:sz w:val="22"/>
            <w:szCs w:val="22"/>
          </w:rPr>
          <w:tab/>
        </w:r>
        <w:r w:rsidR="001B4E3C" w:rsidRPr="0033797E">
          <w:rPr>
            <w:rStyle w:val="Hyperlink"/>
          </w:rPr>
          <w:t>Cost Share Payment</w:t>
        </w:r>
        <w:r w:rsidR="001B4E3C">
          <w:rPr>
            <w:webHidden/>
          </w:rPr>
          <w:tab/>
        </w:r>
        <w:r w:rsidR="001B4E3C">
          <w:rPr>
            <w:webHidden/>
          </w:rPr>
          <w:fldChar w:fldCharType="begin"/>
        </w:r>
        <w:r w:rsidR="001B4E3C">
          <w:rPr>
            <w:webHidden/>
          </w:rPr>
          <w:instrText xml:space="preserve"> PAGEREF _Toc109921674 \h </w:instrText>
        </w:r>
        <w:r w:rsidR="001B4E3C">
          <w:rPr>
            <w:webHidden/>
          </w:rPr>
        </w:r>
        <w:r w:rsidR="001B4E3C">
          <w:rPr>
            <w:webHidden/>
          </w:rPr>
          <w:fldChar w:fldCharType="separate"/>
        </w:r>
        <w:r w:rsidR="00F7481E">
          <w:rPr>
            <w:webHidden/>
          </w:rPr>
          <w:t>52</w:t>
        </w:r>
        <w:r w:rsidR="001B4E3C">
          <w:rPr>
            <w:webHidden/>
          </w:rPr>
          <w:fldChar w:fldCharType="end"/>
        </w:r>
      </w:hyperlink>
    </w:p>
    <w:p w14:paraId="3D346594" w14:textId="16DD74BD" w:rsidR="001B4E3C" w:rsidRDefault="00E63DDA">
      <w:pPr>
        <w:pStyle w:val="TOC2"/>
        <w:rPr>
          <w:rFonts w:eastAsiaTheme="minorEastAsia"/>
          <w:noProof/>
          <w:sz w:val="22"/>
          <w:szCs w:val="22"/>
        </w:rPr>
      </w:pPr>
      <w:hyperlink w:anchor="_Toc109921675" w:history="1">
        <w:r w:rsidR="001B4E3C" w:rsidRPr="0033797E">
          <w:rPr>
            <w:rStyle w:val="Hyperlink"/>
            <w:smallCaps/>
            <w:noProof/>
          </w:rPr>
          <w:t>C.</w:t>
        </w:r>
        <w:r w:rsidR="001B4E3C">
          <w:rPr>
            <w:rFonts w:eastAsiaTheme="minorEastAsia"/>
            <w:noProof/>
            <w:sz w:val="22"/>
            <w:szCs w:val="22"/>
          </w:rPr>
          <w:tab/>
        </w:r>
        <w:r w:rsidR="001B4E3C" w:rsidRPr="0033797E">
          <w:rPr>
            <w:rStyle w:val="Hyperlink"/>
            <w:noProof/>
          </w:rPr>
          <w:t>Compliance Criteria</w:t>
        </w:r>
        <w:r w:rsidR="001B4E3C">
          <w:rPr>
            <w:noProof/>
            <w:webHidden/>
          </w:rPr>
          <w:tab/>
        </w:r>
        <w:r w:rsidR="001B4E3C">
          <w:rPr>
            <w:noProof/>
            <w:webHidden/>
          </w:rPr>
          <w:fldChar w:fldCharType="begin"/>
        </w:r>
        <w:r w:rsidR="001B4E3C">
          <w:rPr>
            <w:noProof/>
            <w:webHidden/>
          </w:rPr>
          <w:instrText xml:space="preserve"> PAGEREF _Toc109921675 \h </w:instrText>
        </w:r>
        <w:r w:rsidR="001B4E3C">
          <w:rPr>
            <w:noProof/>
            <w:webHidden/>
          </w:rPr>
        </w:r>
        <w:r w:rsidR="001B4E3C">
          <w:rPr>
            <w:noProof/>
            <w:webHidden/>
          </w:rPr>
          <w:fldChar w:fldCharType="separate"/>
        </w:r>
        <w:r w:rsidR="00F7481E">
          <w:rPr>
            <w:noProof/>
            <w:webHidden/>
          </w:rPr>
          <w:t>52</w:t>
        </w:r>
        <w:r w:rsidR="001B4E3C">
          <w:rPr>
            <w:noProof/>
            <w:webHidden/>
          </w:rPr>
          <w:fldChar w:fldCharType="end"/>
        </w:r>
      </w:hyperlink>
    </w:p>
    <w:p w14:paraId="1E29A93F" w14:textId="1CBFF24E" w:rsidR="001B4E3C" w:rsidRDefault="00E63DDA">
      <w:pPr>
        <w:pStyle w:val="TOC2"/>
        <w:rPr>
          <w:rFonts w:eastAsiaTheme="minorEastAsia"/>
          <w:noProof/>
          <w:sz w:val="22"/>
          <w:szCs w:val="22"/>
        </w:rPr>
      </w:pPr>
      <w:hyperlink w:anchor="_Toc109921676" w:history="1">
        <w:r w:rsidR="001B4E3C" w:rsidRPr="0033797E">
          <w:rPr>
            <w:rStyle w:val="Hyperlink"/>
            <w:smallCaps/>
            <w:noProof/>
          </w:rPr>
          <w:t>D.</w:t>
        </w:r>
        <w:r w:rsidR="001B4E3C">
          <w:rPr>
            <w:rFonts w:eastAsiaTheme="minorEastAsia"/>
            <w:noProof/>
            <w:sz w:val="22"/>
            <w:szCs w:val="22"/>
          </w:rPr>
          <w:tab/>
        </w:r>
        <w:r w:rsidR="001B4E3C" w:rsidRPr="0033797E">
          <w:rPr>
            <w:rStyle w:val="Hyperlink"/>
            <w:noProof/>
          </w:rPr>
          <w:t>Responsiveness Criteria</w:t>
        </w:r>
        <w:r w:rsidR="001B4E3C">
          <w:rPr>
            <w:noProof/>
            <w:webHidden/>
          </w:rPr>
          <w:tab/>
        </w:r>
        <w:r w:rsidR="001B4E3C">
          <w:rPr>
            <w:noProof/>
            <w:webHidden/>
          </w:rPr>
          <w:fldChar w:fldCharType="begin"/>
        </w:r>
        <w:r w:rsidR="001B4E3C">
          <w:rPr>
            <w:noProof/>
            <w:webHidden/>
          </w:rPr>
          <w:instrText xml:space="preserve"> PAGEREF _Toc109921676 \h </w:instrText>
        </w:r>
        <w:r w:rsidR="001B4E3C">
          <w:rPr>
            <w:noProof/>
            <w:webHidden/>
          </w:rPr>
        </w:r>
        <w:r w:rsidR="001B4E3C">
          <w:rPr>
            <w:noProof/>
            <w:webHidden/>
          </w:rPr>
          <w:fldChar w:fldCharType="separate"/>
        </w:r>
        <w:r w:rsidR="00F7481E">
          <w:rPr>
            <w:noProof/>
            <w:webHidden/>
          </w:rPr>
          <w:t>53</w:t>
        </w:r>
        <w:r w:rsidR="001B4E3C">
          <w:rPr>
            <w:noProof/>
            <w:webHidden/>
          </w:rPr>
          <w:fldChar w:fldCharType="end"/>
        </w:r>
      </w:hyperlink>
    </w:p>
    <w:p w14:paraId="3F4E9E7E" w14:textId="70F4E4D5" w:rsidR="001B4E3C" w:rsidRDefault="00E63DDA">
      <w:pPr>
        <w:pStyle w:val="TOC2"/>
        <w:rPr>
          <w:rFonts w:eastAsiaTheme="minorEastAsia"/>
          <w:noProof/>
          <w:sz w:val="22"/>
          <w:szCs w:val="22"/>
        </w:rPr>
      </w:pPr>
      <w:hyperlink w:anchor="_Toc109921677" w:history="1">
        <w:r w:rsidR="001B4E3C" w:rsidRPr="0033797E">
          <w:rPr>
            <w:rStyle w:val="Hyperlink"/>
            <w:smallCaps/>
            <w:noProof/>
          </w:rPr>
          <w:t>E.</w:t>
        </w:r>
        <w:r w:rsidR="001B4E3C">
          <w:rPr>
            <w:rFonts w:eastAsiaTheme="minorEastAsia"/>
            <w:noProof/>
            <w:sz w:val="22"/>
            <w:szCs w:val="22"/>
          </w:rPr>
          <w:tab/>
        </w:r>
        <w:r w:rsidR="001B4E3C" w:rsidRPr="0033797E">
          <w:rPr>
            <w:rStyle w:val="Hyperlink"/>
            <w:noProof/>
          </w:rPr>
          <w:t>Other Eligibility Requirements</w:t>
        </w:r>
        <w:r w:rsidR="001B4E3C">
          <w:rPr>
            <w:noProof/>
            <w:webHidden/>
          </w:rPr>
          <w:tab/>
        </w:r>
        <w:r w:rsidR="001B4E3C">
          <w:rPr>
            <w:noProof/>
            <w:webHidden/>
          </w:rPr>
          <w:fldChar w:fldCharType="begin"/>
        </w:r>
        <w:r w:rsidR="001B4E3C">
          <w:rPr>
            <w:noProof/>
            <w:webHidden/>
          </w:rPr>
          <w:instrText xml:space="preserve"> PAGEREF _Toc109921677 \h </w:instrText>
        </w:r>
        <w:r w:rsidR="001B4E3C">
          <w:rPr>
            <w:noProof/>
            <w:webHidden/>
          </w:rPr>
        </w:r>
        <w:r w:rsidR="001B4E3C">
          <w:rPr>
            <w:noProof/>
            <w:webHidden/>
          </w:rPr>
          <w:fldChar w:fldCharType="separate"/>
        </w:r>
        <w:r w:rsidR="00F7481E">
          <w:rPr>
            <w:noProof/>
            <w:webHidden/>
          </w:rPr>
          <w:t>53</w:t>
        </w:r>
        <w:r w:rsidR="001B4E3C">
          <w:rPr>
            <w:noProof/>
            <w:webHidden/>
          </w:rPr>
          <w:fldChar w:fldCharType="end"/>
        </w:r>
      </w:hyperlink>
    </w:p>
    <w:p w14:paraId="462321FD" w14:textId="05D06EC0" w:rsidR="001B4E3C" w:rsidRDefault="00E63DDA">
      <w:pPr>
        <w:pStyle w:val="TOC3"/>
        <w:rPr>
          <w:rFonts w:asciiTheme="minorHAnsi" w:eastAsiaTheme="minorEastAsia" w:hAnsiTheme="minorHAnsi"/>
          <w:iCs w:val="0"/>
          <w:sz w:val="22"/>
          <w:szCs w:val="22"/>
        </w:rPr>
      </w:pPr>
      <w:hyperlink w:anchor="_Toc109921678" w:history="1">
        <w:r w:rsidR="001B4E3C" w:rsidRPr="0033797E">
          <w:rPr>
            <w:rStyle w:val="Hyperlink"/>
          </w:rPr>
          <w:t>i.</w:t>
        </w:r>
        <w:r w:rsidR="001B4E3C">
          <w:rPr>
            <w:rFonts w:asciiTheme="minorHAnsi" w:eastAsiaTheme="minorEastAsia" w:hAnsiTheme="minorHAnsi"/>
            <w:iCs w:val="0"/>
            <w:sz w:val="22"/>
            <w:szCs w:val="22"/>
          </w:rPr>
          <w:tab/>
        </w:r>
        <w:r w:rsidR="001B4E3C" w:rsidRPr="0033797E">
          <w:rPr>
            <w:rStyle w:val="Hyperlink"/>
          </w:rPr>
          <w:t>Requirements for DOE/National Nuclear Security Agency (NNSA) Federally Funded Research and Development Centers (FFRDC) Listed as the applicant</w:t>
        </w:r>
        <w:r w:rsidR="001B4E3C">
          <w:rPr>
            <w:webHidden/>
          </w:rPr>
          <w:tab/>
        </w:r>
        <w:r w:rsidR="001B4E3C">
          <w:rPr>
            <w:webHidden/>
          </w:rPr>
          <w:fldChar w:fldCharType="begin"/>
        </w:r>
        <w:r w:rsidR="001B4E3C">
          <w:rPr>
            <w:webHidden/>
          </w:rPr>
          <w:instrText xml:space="preserve"> PAGEREF _Toc109921678 \h </w:instrText>
        </w:r>
        <w:r w:rsidR="001B4E3C">
          <w:rPr>
            <w:webHidden/>
          </w:rPr>
        </w:r>
        <w:r w:rsidR="001B4E3C">
          <w:rPr>
            <w:webHidden/>
          </w:rPr>
          <w:fldChar w:fldCharType="separate"/>
        </w:r>
        <w:r w:rsidR="00F7481E">
          <w:rPr>
            <w:webHidden/>
          </w:rPr>
          <w:t>53</w:t>
        </w:r>
        <w:r w:rsidR="001B4E3C">
          <w:rPr>
            <w:webHidden/>
          </w:rPr>
          <w:fldChar w:fldCharType="end"/>
        </w:r>
      </w:hyperlink>
    </w:p>
    <w:p w14:paraId="4CDBB50F" w14:textId="618036E5" w:rsidR="001B4E3C" w:rsidRDefault="00E63DDA">
      <w:pPr>
        <w:pStyle w:val="TOC3"/>
        <w:rPr>
          <w:rFonts w:asciiTheme="minorHAnsi" w:eastAsiaTheme="minorEastAsia" w:hAnsiTheme="minorHAnsi"/>
          <w:iCs w:val="0"/>
          <w:sz w:val="22"/>
          <w:szCs w:val="22"/>
        </w:rPr>
      </w:pPr>
      <w:hyperlink w:anchor="_Toc109921679" w:history="1">
        <w:r w:rsidR="001B4E3C" w:rsidRPr="0033797E">
          <w:rPr>
            <w:rStyle w:val="Hyperlink"/>
          </w:rPr>
          <w:t>ii.</w:t>
        </w:r>
        <w:r w:rsidR="001B4E3C">
          <w:rPr>
            <w:rFonts w:asciiTheme="minorHAnsi" w:eastAsiaTheme="minorEastAsia" w:hAnsiTheme="minorHAnsi"/>
            <w:iCs w:val="0"/>
            <w:sz w:val="22"/>
            <w:szCs w:val="22"/>
          </w:rPr>
          <w:tab/>
        </w:r>
        <w:r w:rsidR="001B4E3C" w:rsidRPr="0033797E">
          <w:rPr>
            <w:rStyle w:val="Hyperlink"/>
          </w:rPr>
          <w:t>Requirements for DOE/NNSA and non-DOE/NNSA Federally Funded Research and Development Centers Included as a Subrecipient</w:t>
        </w:r>
        <w:r w:rsidR="001B4E3C">
          <w:rPr>
            <w:webHidden/>
          </w:rPr>
          <w:tab/>
        </w:r>
        <w:r w:rsidR="001B4E3C">
          <w:rPr>
            <w:webHidden/>
          </w:rPr>
          <w:fldChar w:fldCharType="begin"/>
        </w:r>
        <w:r w:rsidR="001B4E3C">
          <w:rPr>
            <w:webHidden/>
          </w:rPr>
          <w:instrText xml:space="preserve"> PAGEREF _Toc109921679 \h </w:instrText>
        </w:r>
        <w:r w:rsidR="001B4E3C">
          <w:rPr>
            <w:webHidden/>
          </w:rPr>
        </w:r>
        <w:r w:rsidR="001B4E3C">
          <w:rPr>
            <w:webHidden/>
          </w:rPr>
          <w:fldChar w:fldCharType="separate"/>
        </w:r>
        <w:r w:rsidR="00F7481E">
          <w:rPr>
            <w:webHidden/>
          </w:rPr>
          <w:t>54</w:t>
        </w:r>
        <w:r w:rsidR="001B4E3C">
          <w:rPr>
            <w:webHidden/>
          </w:rPr>
          <w:fldChar w:fldCharType="end"/>
        </w:r>
      </w:hyperlink>
    </w:p>
    <w:p w14:paraId="23BDEB99" w14:textId="291E888D" w:rsidR="001B4E3C" w:rsidRDefault="00E63DDA">
      <w:pPr>
        <w:pStyle w:val="TOC2"/>
        <w:rPr>
          <w:rFonts w:eastAsiaTheme="minorEastAsia"/>
          <w:noProof/>
          <w:sz w:val="22"/>
          <w:szCs w:val="22"/>
        </w:rPr>
      </w:pPr>
      <w:hyperlink w:anchor="_Toc109921680" w:history="1">
        <w:r w:rsidR="001B4E3C" w:rsidRPr="0033797E">
          <w:rPr>
            <w:rStyle w:val="Hyperlink"/>
            <w:smallCaps/>
            <w:noProof/>
          </w:rPr>
          <w:t>F.</w:t>
        </w:r>
        <w:r w:rsidR="001B4E3C">
          <w:rPr>
            <w:rFonts w:eastAsiaTheme="minorEastAsia"/>
            <w:noProof/>
            <w:sz w:val="22"/>
            <w:szCs w:val="22"/>
          </w:rPr>
          <w:tab/>
        </w:r>
        <w:r w:rsidR="001B4E3C" w:rsidRPr="0033797E">
          <w:rPr>
            <w:rStyle w:val="Hyperlink"/>
            <w:noProof/>
          </w:rPr>
          <w:t>Limitation on Number of Concept Papers and Full Applications Eligible for Review</w:t>
        </w:r>
        <w:r w:rsidR="001B4E3C">
          <w:rPr>
            <w:noProof/>
            <w:webHidden/>
          </w:rPr>
          <w:tab/>
        </w:r>
        <w:r w:rsidR="001B4E3C">
          <w:rPr>
            <w:noProof/>
            <w:webHidden/>
          </w:rPr>
          <w:fldChar w:fldCharType="begin"/>
        </w:r>
        <w:r w:rsidR="001B4E3C">
          <w:rPr>
            <w:noProof/>
            <w:webHidden/>
          </w:rPr>
          <w:instrText xml:space="preserve"> PAGEREF _Toc109921680 \h </w:instrText>
        </w:r>
        <w:r w:rsidR="001B4E3C">
          <w:rPr>
            <w:noProof/>
            <w:webHidden/>
          </w:rPr>
        </w:r>
        <w:r w:rsidR="001B4E3C">
          <w:rPr>
            <w:noProof/>
            <w:webHidden/>
          </w:rPr>
          <w:fldChar w:fldCharType="separate"/>
        </w:r>
        <w:r w:rsidR="00F7481E">
          <w:rPr>
            <w:noProof/>
            <w:webHidden/>
          </w:rPr>
          <w:t>55</w:t>
        </w:r>
        <w:r w:rsidR="001B4E3C">
          <w:rPr>
            <w:noProof/>
            <w:webHidden/>
          </w:rPr>
          <w:fldChar w:fldCharType="end"/>
        </w:r>
      </w:hyperlink>
    </w:p>
    <w:p w14:paraId="48041CAE" w14:textId="3129346C" w:rsidR="001B4E3C" w:rsidRDefault="00E63DDA">
      <w:pPr>
        <w:pStyle w:val="TOC2"/>
        <w:rPr>
          <w:rFonts w:eastAsiaTheme="minorEastAsia"/>
          <w:noProof/>
          <w:sz w:val="22"/>
          <w:szCs w:val="22"/>
        </w:rPr>
      </w:pPr>
      <w:hyperlink w:anchor="_Toc109921681" w:history="1">
        <w:r w:rsidR="001B4E3C" w:rsidRPr="0033797E">
          <w:rPr>
            <w:rStyle w:val="Hyperlink"/>
            <w:smallCaps/>
            <w:noProof/>
          </w:rPr>
          <w:t>G.</w:t>
        </w:r>
        <w:r w:rsidR="001B4E3C">
          <w:rPr>
            <w:rFonts w:eastAsiaTheme="minorEastAsia"/>
            <w:noProof/>
            <w:sz w:val="22"/>
            <w:szCs w:val="22"/>
          </w:rPr>
          <w:tab/>
        </w:r>
        <w:r w:rsidR="001B4E3C" w:rsidRPr="0033797E">
          <w:rPr>
            <w:rStyle w:val="Hyperlink"/>
            <w:noProof/>
          </w:rPr>
          <w:t>Questions Regarding Eligibility</w:t>
        </w:r>
        <w:r w:rsidR="001B4E3C">
          <w:rPr>
            <w:noProof/>
            <w:webHidden/>
          </w:rPr>
          <w:tab/>
        </w:r>
        <w:r w:rsidR="001B4E3C">
          <w:rPr>
            <w:noProof/>
            <w:webHidden/>
          </w:rPr>
          <w:fldChar w:fldCharType="begin"/>
        </w:r>
        <w:r w:rsidR="001B4E3C">
          <w:rPr>
            <w:noProof/>
            <w:webHidden/>
          </w:rPr>
          <w:instrText xml:space="preserve"> PAGEREF _Toc109921681 \h </w:instrText>
        </w:r>
        <w:r w:rsidR="001B4E3C">
          <w:rPr>
            <w:noProof/>
            <w:webHidden/>
          </w:rPr>
        </w:r>
        <w:r w:rsidR="001B4E3C">
          <w:rPr>
            <w:noProof/>
            <w:webHidden/>
          </w:rPr>
          <w:fldChar w:fldCharType="separate"/>
        </w:r>
        <w:r w:rsidR="00F7481E">
          <w:rPr>
            <w:noProof/>
            <w:webHidden/>
          </w:rPr>
          <w:t>56</w:t>
        </w:r>
        <w:r w:rsidR="001B4E3C">
          <w:rPr>
            <w:noProof/>
            <w:webHidden/>
          </w:rPr>
          <w:fldChar w:fldCharType="end"/>
        </w:r>
      </w:hyperlink>
    </w:p>
    <w:p w14:paraId="60CD1FB8" w14:textId="325F29E1" w:rsidR="001B4E3C" w:rsidRDefault="00E63DDA">
      <w:pPr>
        <w:pStyle w:val="TOC1"/>
        <w:rPr>
          <w:rFonts w:eastAsiaTheme="minorEastAsia"/>
          <w:b w:val="0"/>
          <w:bCs w:val="0"/>
          <w:noProof/>
          <w:sz w:val="22"/>
          <w:szCs w:val="22"/>
        </w:rPr>
      </w:pPr>
      <w:hyperlink w:anchor="_Toc109921682" w:history="1">
        <w:r w:rsidR="001B4E3C" w:rsidRPr="0033797E">
          <w:rPr>
            <w:rStyle w:val="Hyperlink"/>
            <w:smallCaps/>
            <w:noProof/>
          </w:rPr>
          <w:t>IV.</w:t>
        </w:r>
        <w:r w:rsidR="001B4E3C">
          <w:rPr>
            <w:rFonts w:eastAsiaTheme="minorEastAsia"/>
            <w:b w:val="0"/>
            <w:bCs w:val="0"/>
            <w:noProof/>
            <w:sz w:val="22"/>
            <w:szCs w:val="22"/>
          </w:rPr>
          <w:tab/>
        </w:r>
        <w:r w:rsidR="001B4E3C" w:rsidRPr="0033797E">
          <w:rPr>
            <w:rStyle w:val="Hyperlink"/>
            <w:noProof/>
          </w:rPr>
          <w:t>Application and Submission Information</w:t>
        </w:r>
        <w:r w:rsidR="001B4E3C">
          <w:rPr>
            <w:noProof/>
            <w:webHidden/>
          </w:rPr>
          <w:tab/>
        </w:r>
        <w:r w:rsidR="001B4E3C">
          <w:rPr>
            <w:noProof/>
            <w:webHidden/>
          </w:rPr>
          <w:fldChar w:fldCharType="begin"/>
        </w:r>
        <w:r w:rsidR="001B4E3C">
          <w:rPr>
            <w:noProof/>
            <w:webHidden/>
          </w:rPr>
          <w:instrText xml:space="preserve"> PAGEREF _Toc109921682 \h </w:instrText>
        </w:r>
        <w:r w:rsidR="001B4E3C">
          <w:rPr>
            <w:noProof/>
            <w:webHidden/>
          </w:rPr>
        </w:r>
        <w:r w:rsidR="001B4E3C">
          <w:rPr>
            <w:noProof/>
            <w:webHidden/>
          </w:rPr>
          <w:fldChar w:fldCharType="separate"/>
        </w:r>
        <w:r w:rsidR="00F7481E">
          <w:rPr>
            <w:noProof/>
            <w:webHidden/>
          </w:rPr>
          <w:t>56</w:t>
        </w:r>
        <w:r w:rsidR="001B4E3C">
          <w:rPr>
            <w:noProof/>
            <w:webHidden/>
          </w:rPr>
          <w:fldChar w:fldCharType="end"/>
        </w:r>
      </w:hyperlink>
    </w:p>
    <w:p w14:paraId="3846ADE3" w14:textId="7266987E" w:rsidR="001B4E3C" w:rsidRDefault="00E63DDA">
      <w:pPr>
        <w:pStyle w:val="TOC2"/>
        <w:rPr>
          <w:rFonts w:eastAsiaTheme="minorEastAsia"/>
          <w:noProof/>
          <w:sz w:val="22"/>
          <w:szCs w:val="22"/>
        </w:rPr>
      </w:pPr>
      <w:hyperlink w:anchor="_Toc109921683" w:history="1">
        <w:r w:rsidR="001B4E3C" w:rsidRPr="0033797E">
          <w:rPr>
            <w:rStyle w:val="Hyperlink"/>
            <w:smallCaps/>
            <w:noProof/>
          </w:rPr>
          <w:t>A.</w:t>
        </w:r>
        <w:r w:rsidR="001B4E3C">
          <w:rPr>
            <w:rFonts w:eastAsiaTheme="minorEastAsia"/>
            <w:noProof/>
            <w:sz w:val="22"/>
            <w:szCs w:val="22"/>
          </w:rPr>
          <w:tab/>
        </w:r>
        <w:r w:rsidR="001B4E3C" w:rsidRPr="0033797E">
          <w:rPr>
            <w:rStyle w:val="Hyperlink"/>
            <w:noProof/>
          </w:rPr>
          <w:t>Application Process</w:t>
        </w:r>
        <w:r w:rsidR="001B4E3C">
          <w:rPr>
            <w:noProof/>
            <w:webHidden/>
          </w:rPr>
          <w:tab/>
        </w:r>
        <w:r w:rsidR="001B4E3C">
          <w:rPr>
            <w:noProof/>
            <w:webHidden/>
          </w:rPr>
          <w:fldChar w:fldCharType="begin"/>
        </w:r>
        <w:r w:rsidR="001B4E3C">
          <w:rPr>
            <w:noProof/>
            <w:webHidden/>
          </w:rPr>
          <w:instrText xml:space="preserve"> PAGEREF _Toc109921683 \h </w:instrText>
        </w:r>
        <w:r w:rsidR="001B4E3C">
          <w:rPr>
            <w:noProof/>
            <w:webHidden/>
          </w:rPr>
        </w:r>
        <w:r w:rsidR="001B4E3C">
          <w:rPr>
            <w:noProof/>
            <w:webHidden/>
          </w:rPr>
          <w:fldChar w:fldCharType="separate"/>
        </w:r>
        <w:r w:rsidR="00F7481E">
          <w:rPr>
            <w:noProof/>
            <w:webHidden/>
          </w:rPr>
          <w:t>56</w:t>
        </w:r>
        <w:r w:rsidR="001B4E3C">
          <w:rPr>
            <w:noProof/>
            <w:webHidden/>
          </w:rPr>
          <w:fldChar w:fldCharType="end"/>
        </w:r>
      </w:hyperlink>
    </w:p>
    <w:p w14:paraId="0A89A15A" w14:textId="6A447215" w:rsidR="001B4E3C" w:rsidRDefault="00E63DDA">
      <w:pPr>
        <w:pStyle w:val="TOC3"/>
        <w:rPr>
          <w:rFonts w:asciiTheme="minorHAnsi" w:eastAsiaTheme="minorEastAsia" w:hAnsiTheme="minorHAnsi"/>
          <w:iCs w:val="0"/>
          <w:sz w:val="22"/>
          <w:szCs w:val="22"/>
        </w:rPr>
      </w:pPr>
      <w:hyperlink w:anchor="_Toc109921684" w:history="1">
        <w:r w:rsidR="001B4E3C" w:rsidRPr="0033797E">
          <w:rPr>
            <w:rStyle w:val="Hyperlink"/>
          </w:rPr>
          <w:t>i.</w:t>
        </w:r>
        <w:r w:rsidR="001B4E3C">
          <w:rPr>
            <w:rFonts w:asciiTheme="minorHAnsi" w:eastAsiaTheme="minorEastAsia" w:hAnsiTheme="minorHAnsi"/>
            <w:iCs w:val="0"/>
            <w:sz w:val="22"/>
            <w:szCs w:val="22"/>
          </w:rPr>
          <w:tab/>
        </w:r>
        <w:r w:rsidR="001B4E3C" w:rsidRPr="0033797E">
          <w:rPr>
            <w:rStyle w:val="Hyperlink"/>
          </w:rPr>
          <w:t>Additional Information on EERE Exchange</w:t>
        </w:r>
        <w:r w:rsidR="001B4E3C">
          <w:rPr>
            <w:webHidden/>
          </w:rPr>
          <w:tab/>
        </w:r>
        <w:r w:rsidR="001B4E3C">
          <w:rPr>
            <w:webHidden/>
          </w:rPr>
          <w:fldChar w:fldCharType="begin"/>
        </w:r>
        <w:r w:rsidR="001B4E3C">
          <w:rPr>
            <w:webHidden/>
          </w:rPr>
          <w:instrText xml:space="preserve"> PAGEREF _Toc109921684 \h </w:instrText>
        </w:r>
        <w:r w:rsidR="001B4E3C">
          <w:rPr>
            <w:webHidden/>
          </w:rPr>
        </w:r>
        <w:r w:rsidR="001B4E3C">
          <w:rPr>
            <w:webHidden/>
          </w:rPr>
          <w:fldChar w:fldCharType="separate"/>
        </w:r>
        <w:r w:rsidR="00F7481E">
          <w:rPr>
            <w:webHidden/>
          </w:rPr>
          <w:t>57</w:t>
        </w:r>
        <w:r w:rsidR="001B4E3C">
          <w:rPr>
            <w:webHidden/>
          </w:rPr>
          <w:fldChar w:fldCharType="end"/>
        </w:r>
      </w:hyperlink>
    </w:p>
    <w:p w14:paraId="5CFFC2E6" w14:textId="10E27D61" w:rsidR="001B4E3C" w:rsidRDefault="00E63DDA">
      <w:pPr>
        <w:pStyle w:val="TOC2"/>
        <w:rPr>
          <w:rFonts w:eastAsiaTheme="minorEastAsia"/>
          <w:noProof/>
          <w:sz w:val="22"/>
          <w:szCs w:val="22"/>
        </w:rPr>
      </w:pPr>
      <w:hyperlink w:anchor="_Toc109921685" w:history="1">
        <w:r w:rsidR="001B4E3C" w:rsidRPr="0033797E">
          <w:rPr>
            <w:rStyle w:val="Hyperlink"/>
            <w:smallCaps/>
            <w:noProof/>
          </w:rPr>
          <w:t>B.</w:t>
        </w:r>
        <w:r w:rsidR="001B4E3C">
          <w:rPr>
            <w:rFonts w:eastAsiaTheme="minorEastAsia"/>
            <w:noProof/>
            <w:sz w:val="22"/>
            <w:szCs w:val="22"/>
          </w:rPr>
          <w:tab/>
        </w:r>
        <w:r w:rsidR="001B4E3C" w:rsidRPr="0033797E">
          <w:rPr>
            <w:rStyle w:val="Hyperlink"/>
            <w:noProof/>
          </w:rPr>
          <w:t>Application Forms</w:t>
        </w:r>
        <w:r w:rsidR="001B4E3C">
          <w:rPr>
            <w:noProof/>
            <w:webHidden/>
          </w:rPr>
          <w:tab/>
        </w:r>
        <w:r w:rsidR="001B4E3C">
          <w:rPr>
            <w:noProof/>
            <w:webHidden/>
          </w:rPr>
          <w:fldChar w:fldCharType="begin"/>
        </w:r>
        <w:r w:rsidR="001B4E3C">
          <w:rPr>
            <w:noProof/>
            <w:webHidden/>
          </w:rPr>
          <w:instrText xml:space="preserve"> PAGEREF _Toc109921685 \h </w:instrText>
        </w:r>
        <w:r w:rsidR="001B4E3C">
          <w:rPr>
            <w:noProof/>
            <w:webHidden/>
          </w:rPr>
        </w:r>
        <w:r w:rsidR="001B4E3C">
          <w:rPr>
            <w:noProof/>
            <w:webHidden/>
          </w:rPr>
          <w:fldChar w:fldCharType="separate"/>
        </w:r>
        <w:r w:rsidR="00F7481E">
          <w:rPr>
            <w:noProof/>
            <w:webHidden/>
          </w:rPr>
          <w:t>58</w:t>
        </w:r>
        <w:r w:rsidR="001B4E3C">
          <w:rPr>
            <w:noProof/>
            <w:webHidden/>
          </w:rPr>
          <w:fldChar w:fldCharType="end"/>
        </w:r>
      </w:hyperlink>
    </w:p>
    <w:p w14:paraId="5AE4DD27" w14:textId="34CC55EE" w:rsidR="001B4E3C" w:rsidRDefault="00E63DDA">
      <w:pPr>
        <w:pStyle w:val="TOC2"/>
        <w:rPr>
          <w:rFonts w:eastAsiaTheme="minorEastAsia"/>
          <w:noProof/>
          <w:sz w:val="22"/>
          <w:szCs w:val="22"/>
        </w:rPr>
      </w:pPr>
      <w:hyperlink w:anchor="_Toc109921686" w:history="1">
        <w:r w:rsidR="001B4E3C" w:rsidRPr="0033797E">
          <w:rPr>
            <w:rStyle w:val="Hyperlink"/>
            <w:smallCaps/>
            <w:noProof/>
          </w:rPr>
          <w:t>C.</w:t>
        </w:r>
        <w:r w:rsidR="001B4E3C">
          <w:rPr>
            <w:rFonts w:eastAsiaTheme="minorEastAsia"/>
            <w:noProof/>
            <w:sz w:val="22"/>
            <w:szCs w:val="22"/>
          </w:rPr>
          <w:tab/>
        </w:r>
        <w:r w:rsidR="001B4E3C" w:rsidRPr="0033797E">
          <w:rPr>
            <w:rStyle w:val="Hyperlink"/>
            <w:noProof/>
          </w:rPr>
          <w:t>Content and Form of the Concept Paper</w:t>
        </w:r>
        <w:r w:rsidR="001B4E3C">
          <w:rPr>
            <w:noProof/>
            <w:webHidden/>
          </w:rPr>
          <w:tab/>
        </w:r>
        <w:r w:rsidR="001B4E3C">
          <w:rPr>
            <w:noProof/>
            <w:webHidden/>
          </w:rPr>
          <w:fldChar w:fldCharType="begin"/>
        </w:r>
        <w:r w:rsidR="001B4E3C">
          <w:rPr>
            <w:noProof/>
            <w:webHidden/>
          </w:rPr>
          <w:instrText xml:space="preserve"> PAGEREF _Toc109921686 \h </w:instrText>
        </w:r>
        <w:r w:rsidR="001B4E3C">
          <w:rPr>
            <w:noProof/>
            <w:webHidden/>
          </w:rPr>
        </w:r>
        <w:r w:rsidR="001B4E3C">
          <w:rPr>
            <w:noProof/>
            <w:webHidden/>
          </w:rPr>
          <w:fldChar w:fldCharType="separate"/>
        </w:r>
        <w:r w:rsidR="00F7481E">
          <w:rPr>
            <w:noProof/>
            <w:webHidden/>
          </w:rPr>
          <w:t>58</w:t>
        </w:r>
        <w:r w:rsidR="001B4E3C">
          <w:rPr>
            <w:noProof/>
            <w:webHidden/>
          </w:rPr>
          <w:fldChar w:fldCharType="end"/>
        </w:r>
      </w:hyperlink>
    </w:p>
    <w:p w14:paraId="1904F4B7" w14:textId="0C0B5115" w:rsidR="001B4E3C" w:rsidRDefault="00E63DDA">
      <w:pPr>
        <w:pStyle w:val="TOC2"/>
        <w:rPr>
          <w:rFonts w:eastAsiaTheme="minorEastAsia"/>
          <w:noProof/>
          <w:sz w:val="22"/>
          <w:szCs w:val="22"/>
        </w:rPr>
      </w:pPr>
      <w:hyperlink w:anchor="_Toc109921687" w:history="1">
        <w:r w:rsidR="001B4E3C" w:rsidRPr="0033797E">
          <w:rPr>
            <w:rStyle w:val="Hyperlink"/>
            <w:smallCaps/>
            <w:noProof/>
          </w:rPr>
          <w:t>D.</w:t>
        </w:r>
        <w:r w:rsidR="001B4E3C">
          <w:rPr>
            <w:rFonts w:eastAsiaTheme="minorEastAsia"/>
            <w:noProof/>
            <w:sz w:val="22"/>
            <w:szCs w:val="22"/>
          </w:rPr>
          <w:tab/>
        </w:r>
        <w:r w:rsidR="001B4E3C" w:rsidRPr="0033797E">
          <w:rPr>
            <w:rStyle w:val="Hyperlink"/>
            <w:noProof/>
          </w:rPr>
          <w:t>Content and Form of the Full Application</w:t>
        </w:r>
        <w:r w:rsidR="001B4E3C">
          <w:rPr>
            <w:noProof/>
            <w:webHidden/>
          </w:rPr>
          <w:tab/>
        </w:r>
        <w:r w:rsidR="001B4E3C">
          <w:rPr>
            <w:noProof/>
            <w:webHidden/>
          </w:rPr>
          <w:fldChar w:fldCharType="begin"/>
        </w:r>
        <w:r w:rsidR="001B4E3C">
          <w:rPr>
            <w:noProof/>
            <w:webHidden/>
          </w:rPr>
          <w:instrText xml:space="preserve"> PAGEREF _Toc109921687 \h </w:instrText>
        </w:r>
        <w:r w:rsidR="001B4E3C">
          <w:rPr>
            <w:noProof/>
            <w:webHidden/>
          </w:rPr>
        </w:r>
        <w:r w:rsidR="001B4E3C">
          <w:rPr>
            <w:noProof/>
            <w:webHidden/>
          </w:rPr>
          <w:fldChar w:fldCharType="separate"/>
        </w:r>
        <w:r w:rsidR="00F7481E">
          <w:rPr>
            <w:noProof/>
            <w:webHidden/>
          </w:rPr>
          <w:t>59</w:t>
        </w:r>
        <w:r w:rsidR="001B4E3C">
          <w:rPr>
            <w:noProof/>
            <w:webHidden/>
          </w:rPr>
          <w:fldChar w:fldCharType="end"/>
        </w:r>
      </w:hyperlink>
    </w:p>
    <w:p w14:paraId="6E2CD842" w14:textId="73651AC9" w:rsidR="001B4E3C" w:rsidRDefault="00E63DDA">
      <w:pPr>
        <w:pStyle w:val="TOC3"/>
        <w:rPr>
          <w:rFonts w:asciiTheme="minorHAnsi" w:eastAsiaTheme="minorEastAsia" w:hAnsiTheme="minorHAnsi"/>
          <w:iCs w:val="0"/>
          <w:sz w:val="22"/>
          <w:szCs w:val="22"/>
        </w:rPr>
      </w:pPr>
      <w:hyperlink w:anchor="_Toc109921688" w:history="1">
        <w:r w:rsidR="001B4E3C" w:rsidRPr="0033797E">
          <w:rPr>
            <w:rStyle w:val="Hyperlink"/>
          </w:rPr>
          <w:t>i.</w:t>
        </w:r>
        <w:r w:rsidR="001B4E3C">
          <w:rPr>
            <w:rFonts w:asciiTheme="minorHAnsi" w:eastAsiaTheme="minorEastAsia" w:hAnsiTheme="minorHAnsi"/>
            <w:iCs w:val="0"/>
            <w:sz w:val="22"/>
            <w:szCs w:val="22"/>
          </w:rPr>
          <w:tab/>
        </w:r>
        <w:r w:rsidR="001B4E3C" w:rsidRPr="0033797E">
          <w:rPr>
            <w:rStyle w:val="Hyperlink"/>
          </w:rPr>
          <w:t>Full Application Content Requirements</w:t>
        </w:r>
        <w:r w:rsidR="001B4E3C">
          <w:rPr>
            <w:webHidden/>
          </w:rPr>
          <w:tab/>
        </w:r>
        <w:r w:rsidR="001B4E3C">
          <w:rPr>
            <w:webHidden/>
          </w:rPr>
          <w:fldChar w:fldCharType="begin"/>
        </w:r>
        <w:r w:rsidR="001B4E3C">
          <w:rPr>
            <w:webHidden/>
          </w:rPr>
          <w:instrText xml:space="preserve"> PAGEREF _Toc109921688 \h </w:instrText>
        </w:r>
        <w:r w:rsidR="001B4E3C">
          <w:rPr>
            <w:webHidden/>
          </w:rPr>
        </w:r>
        <w:r w:rsidR="001B4E3C">
          <w:rPr>
            <w:webHidden/>
          </w:rPr>
          <w:fldChar w:fldCharType="separate"/>
        </w:r>
        <w:r w:rsidR="00F7481E">
          <w:rPr>
            <w:webHidden/>
          </w:rPr>
          <w:t>60</w:t>
        </w:r>
        <w:r w:rsidR="001B4E3C">
          <w:rPr>
            <w:webHidden/>
          </w:rPr>
          <w:fldChar w:fldCharType="end"/>
        </w:r>
      </w:hyperlink>
    </w:p>
    <w:p w14:paraId="49715CA1" w14:textId="4465F4F5" w:rsidR="001B4E3C" w:rsidRDefault="00E63DDA">
      <w:pPr>
        <w:pStyle w:val="TOC3"/>
        <w:rPr>
          <w:rFonts w:asciiTheme="minorHAnsi" w:eastAsiaTheme="minorEastAsia" w:hAnsiTheme="minorHAnsi"/>
          <w:iCs w:val="0"/>
          <w:sz w:val="22"/>
          <w:szCs w:val="22"/>
        </w:rPr>
      </w:pPr>
      <w:hyperlink w:anchor="_Toc109921689" w:history="1">
        <w:r w:rsidR="001B4E3C" w:rsidRPr="0033797E">
          <w:rPr>
            <w:rStyle w:val="Hyperlink"/>
          </w:rPr>
          <w:t>ii.</w:t>
        </w:r>
        <w:r w:rsidR="001B4E3C">
          <w:rPr>
            <w:rFonts w:asciiTheme="minorHAnsi" w:eastAsiaTheme="minorEastAsia" w:hAnsiTheme="minorHAnsi"/>
            <w:iCs w:val="0"/>
            <w:sz w:val="22"/>
            <w:szCs w:val="22"/>
          </w:rPr>
          <w:tab/>
        </w:r>
        <w:r w:rsidR="001B4E3C" w:rsidRPr="0033797E">
          <w:rPr>
            <w:rStyle w:val="Hyperlink"/>
          </w:rPr>
          <w:t>Technical Volume</w:t>
        </w:r>
        <w:r w:rsidR="001B4E3C">
          <w:rPr>
            <w:webHidden/>
          </w:rPr>
          <w:tab/>
        </w:r>
        <w:r w:rsidR="001B4E3C">
          <w:rPr>
            <w:webHidden/>
          </w:rPr>
          <w:fldChar w:fldCharType="begin"/>
        </w:r>
        <w:r w:rsidR="001B4E3C">
          <w:rPr>
            <w:webHidden/>
          </w:rPr>
          <w:instrText xml:space="preserve"> PAGEREF _Toc109921689 \h </w:instrText>
        </w:r>
        <w:r w:rsidR="001B4E3C">
          <w:rPr>
            <w:webHidden/>
          </w:rPr>
        </w:r>
        <w:r w:rsidR="001B4E3C">
          <w:rPr>
            <w:webHidden/>
          </w:rPr>
          <w:fldChar w:fldCharType="separate"/>
        </w:r>
        <w:r w:rsidR="00F7481E">
          <w:rPr>
            <w:webHidden/>
          </w:rPr>
          <w:t>61</w:t>
        </w:r>
        <w:r w:rsidR="001B4E3C">
          <w:rPr>
            <w:webHidden/>
          </w:rPr>
          <w:fldChar w:fldCharType="end"/>
        </w:r>
      </w:hyperlink>
    </w:p>
    <w:p w14:paraId="1CFB61AF" w14:textId="4B0FECFC" w:rsidR="001B4E3C" w:rsidRDefault="00E63DDA">
      <w:pPr>
        <w:pStyle w:val="TOC3"/>
        <w:rPr>
          <w:rFonts w:asciiTheme="minorHAnsi" w:eastAsiaTheme="minorEastAsia" w:hAnsiTheme="minorHAnsi"/>
          <w:iCs w:val="0"/>
          <w:sz w:val="22"/>
          <w:szCs w:val="22"/>
        </w:rPr>
      </w:pPr>
      <w:hyperlink w:anchor="_Toc109921690" w:history="1">
        <w:r w:rsidR="001B4E3C" w:rsidRPr="0033797E">
          <w:rPr>
            <w:rStyle w:val="Hyperlink"/>
          </w:rPr>
          <w:t>iii.</w:t>
        </w:r>
        <w:r w:rsidR="001B4E3C">
          <w:rPr>
            <w:rFonts w:asciiTheme="minorHAnsi" w:eastAsiaTheme="minorEastAsia" w:hAnsiTheme="minorHAnsi"/>
            <w:iCs w:val="0"/>
            <w:sz w:val="22"/>
            <w:szCs w:val="22"/>
          </w:rPr>
          <w:tab/>
        </w:r>
        <w:r w:rsidR="001B4E3C" w:rsidRPr="0033797E">
          <w:rPr>
            <w:rStyle w:val="Hyperlink"/>
          </w:rPr>
          <w:t>Resumes</w:t>
        </w:r>
        <w:r w:rsidR="001B4E3C">
          <w:rPr>
            <w:webHidden/>
          </w:rPr>
          <w:tab/>
        </w:r>
        <w:r w:rsidR="001B4E3C">
          <w:rPr>
            <w:webHidden/>
          </w:rPr>
          <w:fldChar w:fldCharType="begin"/>
        </w:r>
        <w:r w:rsidR="001B4E3C">
          <w:rPr>
            <w:webHidden/>
          </w:rPr>
          <w:instrText xml:space="preserve"> PAGEREF _Toc109921690 \h </w:instrText>
        </w:r>
        <w:r w:rsidR="001B4E3C">
          <w:rPr>
            <w:webHidden/>
          </w:rPr>
        </w:r>
        <w:r w:rsidR="001B4E3C">
          <w:rPr>
            <w:webHidden/>
          </w:rPr>
          <w:fldChar w:fldCharType="separate"/>
        </w:r>
        <w:r w:rsidR="00F7481E">
          <w:rPr>
            <w:webHidden/>
          </w:rPr>
          <w:t>68</w:t>
        </w:r>
        <w:r w:rsidR="001B4E3C">
          <w:rPr>
            <w:webHidden/>
          </w:rPr>
          <w:fldChar w:fldCharType="end"/>
        </w:r>
      </w:hyperlink>
    </w:p>
    <w:p w14:paraId="72DF3E34" w14:textId="4845E784" w:rsidR="001B4E3C" w:rsidRDefault="00E63DDA">
      <w:pPr>
        <w:pStyle w:val="TOC3"/>
        <w:rPr>
          <w:rFonts w:asciiTheme="minorHAnsi" w:eastAsiaTheme="minorEastAsia" w:hAnsiTheme="minorHAnsi"/>
          <w:iCs w:val="0"/>
          <w:sz w:val="22"/>
          <w:szCs w:val="22"/>
        </w:rPr>
      </w:pPr>
      <w:hyperlink w:anchor="_Toc109921691" w:history="1">
        <w:r w:rsidR="001B4E3C" w:rsidRPr="0033797E">
          <w:rPr>
            <w:rStyle w:val="Hyperlink"/>
          </w:rPr>
          <w:t>iv.</w:t>
        </w:r>
        <w:r w:rsidR="001B4E3C">
          <w:rPr>
            <w:rFonts w:asciiTheme="minorHAnsi" w:eastAsiaTheme="minorEastAsia" w:hAnsiTheme="minorHAnsi"/>
            <w:iCs w:val="0"/>
            <w:sz w:val="22"/>
            <w:szCs w:val="22"/>
          </w:rPr>
          <w:tab/>
        </w:r>
        <w:r w:rsidR="001B4E3C" w:rsidRPr="0033797E">
          <w:rPr>
            <w:rStyle w:val="Hyperlink"/>
          </w:rPr>
          <w:t>Letters of Commitment</w:t>
        </w:r>
        <w:r w:rsidR="001B4E3C">
          <w:rPr>
            <w:webHidden/>
          </w:rPr>
          <w:tab/>
        </w:r>
        <w:r w:rsidR="001B4E3C">
          <w:rPr>
            <w:webHidden/>
          </w:rPr>
          <w:fldChar w:fldCharType="begin"/>
        </w:r>
        <w:r w:rsidR="001B4E3C">
          <w:rPr>
            <w:webHidden/>
          </w:rPr>
          <w:instrText xml:space="preserve"> PAGEREF _Toc109921691 \h </w:instrText>
        </w:r>
        <w:r w:rsidR="001B4E3C">
          <w:rPr>
            <w:webHidden/>
          </w:rPr>
        </w:r>
        <w:r w:rsidR="001B4E3C">
          <w:rPr>
            <w:webHidden/>
          </w:rPr>
          <w:fldChar w:fldCharType="separate"/>
        </w:r>
        <w:r w:rsidR="00F7481E">
          <w:rPr>
            <w:webHidden/>
          </w:rPr>
          <w:t>69</w:t>
        </w:r>
        <w:r w:rsidR="001B4E3C">
          <w:rPr>
            <w:webHidden/>
          </w:rPr>
          <w:fldChar w:fldCharType="end"/>
        </w:r>
      </w:hyperlink>
    </w:p>
    <w:p w14:paraId="7962439A" w14:textId="3A847ABF" w:rsidR="001B4E3C" w:rsidRDefault="00E63DDA">
      <w:pPr>
        <w:pStyle w:val="TOC3"/>
        <w:rPr>
          <w:rFonts w:asciiTheme="minorHAnsi" w:eastAsiaTheme="minorEastAsia" w:hAnsiTheme="minorHAnsi"/>
          <w:iCs w:val="0"/>
          <w:sz w:val="22"/>
          <w:szCs w:val="22"/>
        </w:rPr>
      </w:pPr>
      <w:hyperlink w:anchor="_Toc109921692" w:history="1">
        <w:r w:rsidR="001B4E3C" w:rsidRPr="0033797E">
          <w:rPr>
            <w:rStyle w:val="Hyperlink"/>
          </w:rPr>
          <w:t>v.</w:t>
        </w:r>
        <w:r w:rsidR="001B4E3C">
          <w:rPr>
            <w:rFonts w:asciiTheme="minorHAnsi" w:eastAsiaTheme="minorEastAsia" w:hAnsiTheme="minorHAnsi"/>
            <w:iCs w:val="0"/>
            <w:sz w:val="22"/>
            <w:szCs w:val="22"/>
          </w:rPr>
          <w:tab/>
        </w:r>
        <w:r w:rsidR="001B4E3C" w:rsidRPr="0033797E">
          <w:rPr>
            <w:rStyle w:val="Hyperlink"/>
          </w:rPr>
          <w:t>Statement of Project Objectives (SOPO)</w:t>
        </w:r>
        <w:r w:rsidR="001B4E3C">
          <w:rPr>
            <w:webHidden/>
          </w:rPr>
          <w:tab/>
        </w:r>
        <w:r w:rsidR="001B4E3C">
          <w:rPr>
            <w:webHidden/>
          </w:rPr>
          <w:fldChar w:fldCharType="begin"/>
        </w:r>
        <w:r w:rsidR="001B4E3C">
          <w:rPr>
            <w:webHidden/>
          </w:rPr>
          <w:instrText xml:space="preserve"> PAGEREF _Toc109921692 \h </w:instrText>
        </w:r>
        <w:r w:rsidR="001B4E3C">
          <w:rPr>
            <w:webHidden/>
          </w:rPr>
        </w:r>
        <w:r w:rsidR="001B4E3C">
          <w:rPr>
            <w:webHidden/>
          </w:rPr>
          <w:fldChar w:fldCharType="separate"/>
        </w:r>
        <w:r w:rsidR="00F7481E">
          <w:rPr>
            <w:webHidden/>
          </w:rPr>
          <w:t>69</w:t>
        </w:r>
        <w:r w:rsidR="001B4E3C">
          <w:rPr>
            <w:webHidden/>
          </w:rPr>
          <w:fldChar w:fldCharType="end"/>
        </w:r>
      </w:hyperlink>
    </w:p>
    <w:p w14:paraId="49C86EBE" w14:textId="54C83000" w:rsidR="001B4E3C" w:rsidRDefault="00E63DDA">
      <w:pPr>
        <w:pStyle w:val="TOC3"/>
        <w:rPr>
          <w:rFonts w:asciiTheme="minorHAnsi" w:eastAsiaTheme="minorEastAsia" w:hAnsiTheme="minorHAnsi"/>
          <w:iCs w:val="0"/>
          <w:sz w:val="22"/>
          <w:szCs w:val="22"/>
        </w:rPr>
      </w:pPr>
      <w:hyperlink w:anchor="_Toc109921693" w:history="1">
        <w:r w:rsidR="001B4E3C" w:rsidRPr="0033797E">
          <w:rPr>
            <w:rStyle w:val="Hyperlink"/>
          </w:rPr>
          <w:t>vi.</w:t>
        </w:r>
        <w:r w:rsidR="001B4E3C">
          <w:rPr>
            <w:rFonts w:asciiTheme="minorHAnsi" w:eastAsiaTheme="minorEastAsia" w:hAnsiTheme="minorHAnsi"/>
            <w:iCs w:val="0"/>
            <w:sz w:val="22"/>
            <w:szCs w:val="22"/>
          </w:rPr>
          <w:tab/>
        </w:r>
        <w:r w:rsidR="001B4E3C" w:rsidRPr="0033797E">
          <w:rPr>
            <w:rStyle w:val="Hyperlink"/>
          </w:rPr>
          <w:t>SF-424: Application for Federal Assistance</w:t>
        </w:r>
        <w:r w:rsidR="001B4E3C">
          <w:rPr>
            <w:webHidden/>
          </w:rPr>
          <w:tab/>
        </w:r>
        <w:r w:rsidR="001B4E3C">
          <w:rPr>
            <w:webHidden/>
          </w:rPr>
          <w:fldChar w:fldCharType="begin"/>
        </w:r>
        <w:r w:rsidR="001B4E3C">
          <w:rPr>
            <w:webHidden/>
          </w:rPr>
          <w:instrText xml:space="preserve"> PAGEREF _Toc109921693 \h </w:instrText>
        </w:r>
        <w:r w:rsidR="001B4E3C">
          <w:rPr>
            <w:webHidden/>
          </w:rPr>
        </w:r>
        <w:r w:rsidR="001B4E3C">
          <w:rPr>
            <w:webHidden/>
          </w:rPr>
          <w:fldChar w:fldCharType="separate"/>
        </w:r>
        <w:r w:rsidR="00F7481E">
          <w:rPr>
            <w:webHidden/>
          </w:rPr>
          <w:t>69</w:t>
        </w:r>
        <w:r w:rsidR="001B4E3C">
          <w:rPr>
            <w:webHidden/>
          </w:rPr>
          <w:fldChar w:fldCharType="end"/>
        </w:r>
      </w:hyperlink>
    </w:p>
    <w:p w14:paraId="294D5C58" w14:textId="7969F4E5" w:rsidR="001B4E3C" w:rsidRDefault="00E63DDA">
      <w:pPr>
        <w:pStyle w:val="TOC3"/>
        <w:rPr>
          <w:rFonts w:asciiTheme="minorHAnsi" w:eastAsiaTheme="minorEastAsia" w:hAnsiTheme="minorHAnsi"/>
          <w:iCs w:val="0"/>
          <w:sz w:val="22"/>
          <w:szCs w:val="22"/>
        </w:rPr>
      </w:pPr>
      <w:hyperlink w:anchor="_Toc109921694" w:history="1">
        <w:r w:rsidR="001B4E3C" w:rsidRPr="0033797E">
          <w:rPr>
            <w:rStyle w:val="Hyperlink"/>
          </w:rPr>
          <w:t>vii.</w:t>
        </w:r>
        <w:r w:rsidR="001B4E3C">
          <w:rPr>
            <w:rFonts w:asciiTheme="minorHAnsi" w:eastAsiaTheme="minorEastAsia" w:hAnsiTheme="minorHAnsi"/>
            <w:iCs w:val="0"/>
            <w:sz w:val="22"/>
            <w:szCs w:val="22"/>
          </w:rPr>
          <w:tab/>
        </w:r>
        <w:r w:rsidR="001B4E3C" w:rsidRPr="0033797E">
          <w:rPr>
            <w:rStyle w:val="Hyperlink"/>
          </w:rPr>
          <w:t>Budget Justification Workbook</w:t>
        </w:r>
        <w:r w:rsidR="001B4E3C">
          <w:rPr>
            <w:webHidden/>
          </w:rPr>
          <w:tab/>
        </w:r>
        <w:r w:rsidR="001B4E3C">
          <w:rPr>
            <w:webHidden/>
          </w:rPr>
          <w:fldChar w:fldCharType="begin"/>
        </w:r>
        <w:r w:rsidR="001B4E3C">
          <w:rPr>
            <w:webHidden/>
          </w:rPr>
          <w:instrText xml:space="preserve"> PAGEREF _Toc109921694 \h </w:instrText>
        </w:r>
        <w:r w:rsidR="001B4E3C">
          <w:rPr>
            <w:webHidden/>
          </w:rPr>
        </w:r>
        <w:r w:rsidR="001B4E3C">
          <w:rPr>
            <w:webHidden/>
          </w:rPr>
          <w:fldChar w:fldCharType="separate"/>
        </w:r>
        <w:r w:rsidR="00F7481E">
          <w:rPr>
            <w:webHidden/>
          </w:rPr>
          <w:t>70</w:t>
        </w:r>
        <w:r w:rsidR="001B4E3C">
          <w:rPr>
            <w:webHidden/>
          </w:rPr>
          <w:fldChar w:fldCharType="end"/>
        </w:r>
      </w:hyperlink>
    </w:p>
    <w:p w14:paraId="17DC7656" w14:textId="37024D77" w:rsidR="001B4E3C" w:rsidRDefault="00E63DDA">
      <w:pPr>
        <w:pStyle w:val="TOC3"/>
        <w:rPr>
          <w:rFonts w:asciiTheme="minorHAnsi" w:eastAsiaTheme="minorEastAsia" w:hAnsiTheme="minorHAnsi"/>
          <w:iCs w:val="0"/>
          <w:sz w:val="22"/>
          <w:szCs w:val="22"/>
        </w:rPr>
      </w:pPr>
      <w:hyperlink w:anchor="_Toc109921695" w:history="1">
        <w:r w:rsidR="001B4E3C" w:rsidRPr="0033797E">
          <w:rPr>
            <w:rStyle w:val="Hyperlink"/>
          </w:rPr>
          <w:t>viii.</w:t>
        </w:r>
        <w:r w:rsidR="001B4E3C">
          <w:rPr>
            <w:rFonts w:asciiTheme="minorHAnsi" w:eastAsiaTheme="minorEastAsia" w:hAnsiTheme="minorHAnsi"/>
            <w:iCs w:val="0"/>
            <w:sz w:val="22"/>
            <w:szCs w:val="22"/>
          </w:rPr>
          <w:tab/>
        </w:r>
        <w:r w:rsidR="001B4E3C" w:rsidRPr="0033797E">
          <w:rPr>
            <w:rStyle w:val="Hyperlink"/>
          </w:rPr>
          <w:t>Summary/Abstract for Public Release</w:t>
        </w:r>
        <w:r w:rsidR="001B4E3C">
          <w:rPr>
            <w:webHidden/>
          </w:rPr>
          <w:tab/>
        </w:r>
        <w:r w:rsidR="001B4E3C">
          <w:rPr>
            <w:webHidden/>
          </w:rPr>
          <w:fldChar w:fldCharType="begin"/>
        </w:r>
        <w:r w:rsidR="001B4E3C">
          <w:rPr>
            <w:webHidden/>
          </w:rPr>
          <w:instrText xml:space="preserve"> PAGEREF _Toc109921695 \h </w:instrText>
        </w:r>
        <w:r w:rsidR="001B4E3C">
          <w:rPr>
            <w:webHidden/>
          </w:rPr>
        </w:r>
        <w:r w:rsidR="001B4E3C">
          <w:rPr>
            <w:webHidden/>
          </w:rPr>
          <w:fldChar w:fldCharType="separate"/>
        </w:r>
        <w:r w:rsidR="00F7481E">
          <w:rPr>
            <w:webHidden/>
          </w:rPr>
          <w:t>70</w:t>
        </w:r>
        <w:r w:rsidR="001B4E3C">
          <w:rPr>
            <w:webHidden/>
          </w:rPr>
          <w:fldChar w:fldCharType="end"/>
        </w:r>
      </w:hyperlink>
    </w:p>
    <w:p w14:paraId="7FB476F6" w14:textId="14C7CBEA" w:rsidR="001B4E3C" w:rsidRDefault="00E63DDA">
      <w:pPr>
        <w:pStyle w:val="TOC3"/>
        <w:rPr>
          <w:rFonts w:asciiTheme="minorHAnsi" w:eastAsiaTheme="minorEastAsia" w:hAnsiTheme="minorHAnsi"/>
          <w:iCs w:val="0"/>
          <w:sz w:val="22"/>
          <w:szCs w:val="22"/>
        </w:rPr>
      </w:pPr>
      <w:hyperlink w:anchor="_Toc109921696" w:history="1">
        <w:r w:rsidR="001B4E3C" w:rsidRPr="0033797E">
          <w:rPr>
            <w:rStyle w:val="Hyperlink"/>
          </w:rPr>
          <w:t>ix.</w:t>
        </w:r>
        <w:r w:rsidR="001B4E3C">
          <w:rPr>
            <w:rFonts w:asciiTheme="minorHAnsi" w:eastAsiaTheme="minorEastAsia" w:hAnsiTheme="minorHAnsi"/>
            <w:iCs w:val="0"/>
            <w:sz w:val="22"/>
            <w:szCs w:val="22"/>
          </w:rPr>
          <w:tab/>
        </w:r>
        <w:r w:rsidR="001B4E3C" w:rsidRPr="0033797E">
          <w:rPr>
            <w:rStyle w:val="Hyperlink"/>
          </w:rPr>
          <w:t>Summary Slide</w:t>
        </w:r>
        <w:r w:rsidR="001B4E3C">
          <w:rPr>
            <w:webHidden/>
          </w:rPr>
          <w:tab/>
        </w:r>
        <w:r w:rsidR="001B4E3C">
          <w:rPr>
            <w:webHidden/>
          </w:rPr>
          <w:fldChar w:fldCharType="begin"/>
        </w:r>
        <w:r w:rsidR="001B4E3C">
          <w:rPr>
            <w:webHidden/>
          </w:rPr>
          <w:instrText xml:space="preserve"> PAGEREF _Toc109921696 \h </w:instrText>
        </w:r>
        <w:r w:rsidR="001B4E3C">
          <w:rPr>
            <w:webHidden/>
          </w:rPr>
        </w:r>
        <w:r w:rsidR="001B4E3C">
          <w:rPr>
            <w:webHidden/>
          </w:rPr>
          <w:fldChar w:fldCharType="separate"/>
        </w:r>
        <w:r w:rsidR="00F7481E">
          <w:rPr>
            <w:webHidden/>
          </w:rPr>
          <w:t>70</w:t>
        </w:r>
        <w:r w:rsidR="001B4E3C">
          <w:rPr>
            <w:webHidden/>
          </w:rPr>
          <w:fldChar w:fldCharType="end"/>
        </w:r>
      </w:hyperlink>
    </w:p>
    <w:p w14:paraId="4944C4A3" w14:textId="073CAA29" w:rsidR="001B4E3C" w:rsidRDefault="00E63DDA">
      <w:pPr>
        <w:pStyle w:val="TOC3"/>
        <w:rPr>
          <w:rFonts w:asciiTheme="minorHAnsi" w:eastAsiaTheme="minorEastAsia" w:hAnsiTheme="minorHAnsi"/>
          <w:iCs w:val="0"/>
          <w:sz w:val="22"/>
          <w:szCs w:val="22"/>
        </w:rPr>
      </w:pPr>
      <w:hyperlink w:anchor="_Toc109921697" w:history="1">
        <w:r w:rsidR="001B4E3C" w:rsidRPr="0033797E">
          <w:rPr>
            <w:rStyle w:val="Hyperlink"/>
          </w:rPr>
          <w:t>x.</w:t>
        </w:r>
        <w:r w:rsidR="001B4E3C">
          <w:rPr>
            <w:rFonts w:asciiTheme="minorHAnsi" w:eastAsiaTheme="minorEastAsia" w:hAnsiTheme="minorHAnsi"/>
            <w:iCs w:val="0"/>
            <w:sz w:val="22"/>
            <w:szCs w:val="22"/>
          </w:rPr>
          <w:tab/>
        </w:r>
        <w:r w:rsidR="001B4E3C" w:rsidRPr="0033797E">
          <w:rPr>
            <w:rStyle w:val="Hyperlink"/>
          </w:rPr>
          <w:t>Subrecipient Budget Justification (if applicable)</w:t>
        </w:r>
        <w:r w:rsidR="001B4E3C">
          <w:rPr>
            <w:webHidden/>
          </w:rPr>
          <w:tab/>
        </w:r>
        <w:r w:rsidR="001B4E3C">
          <w:rPr>
            <w:webHidden/>
          </w:rPr>
          <w:fldChar w:fldCharType="begin"/>
        </w:r>
        <w:r w:rsidR="001B4E3C">
          <w:rPr>
            <w:webHidden/>
          </w:rPr>
          <w:instrText xml:space="preserve"> PAGEREF _Toc109921697 \h </w:instrText>
        </w:r>
        <w:r w:rsidR="001B4E3C">
          <w:rPr>
            <w:webHidden/>
          </w:rPr>
        </w:r>
        <w:r w:rsidR="001B4E3C">
          <w:rPr>
            <w:webHidden/>
          </w:rPr>
          <w:fldChar w:fldCharType="separate"/>
        </w:r>
        <w:r w:rsidR="00F7481E">
          <w:rPr>
            <w:webHidden/>
          </w:rPr>
          <w:t>71</w:t>
        </w:r>
        <w:r w:rsidR="001B4E3C">
          <w:rPr>
            <w:webHidden/>
          </w:rPr>
          <w:fldChar w:fldCharType="end"/>
        </w:r>
      </w:hyperlink>
    </w:p>
    <w:p w14:paraId="6E38720F" w14:textId="71C27009" w:rsidR="001B4E3C" w:rsidRDefault="00E63DDA">
      <w:pPr>
        <w:pStyle w:val="TOC3"/>
        <w:rPr>
          <w:rFonts w:asciiTheme="minorHAnsi" w:eastAsiaTheme="minorEastAsia" w:hAnsiTheme="minorHAnsi"/>
          <w:iCs w:val="0"/>
          <w:sz w:val="22"/>
          <w:szCs w:val="22"/>
        </w:rPr>
      </w:pPr>
      <w:hyperlink w:anchor="_Toc109921698" w:history="1">
        <w:r w:rsidR="001B4E3C" w:rsidRPr="0033797E">
          <w:rPr>
            <w:rStyle w:val="Hyperlink"/>
          </w:rPr>
          <w:t>xi.</w:t>
        </w:r>
        <w:r w:rsidR="001B4E3C">
          <w:rPr>
            <w:rFonts w:asciiTheme="minorHAnsi" w:eastAsiaTheme="minorEastAsia" w:hAnsiTheme="minorHAnsi"/>
            <w:iCs w:val="0"/>
            <w:sz w:val="22"/>
            <w:szCs w:val="22"/>
          </w:rPr>
          <w:tab/>
        </w:r>
        <w:r w:rsidR="001B4E3C" w:rsidRPr="0033797E">
          <w:rPr>
            <w:rStyle w:val="Hyperlink"/>
          </w:rPr>
          <w:t>Budget for DOE/NNSA FFRDC (if applicable)</w:t>
        </w:r>
        <w:r w:rsidR="001B4E3C">
          <w:rPr>
            <w:webHidden/>
          </w:rPr>
          <w:tab/>
        </w:r>
        <w:r w:rsidR="001B4E3C">
          <w:rPr>
            <w:webHidden/>
          </w:rPr>
          <w:fldChar w:fldCharType="begin"/>
        </w:r>
        <w:r w:rsidR="001B4E3C">
          <w:rPr>
            <w:webHidden/>
          </w:rPr>
          <w:instrText xml:space="preserve"> PAGEREF _Toc109921698 \h </w:instrText>
        </w:r>
        <w:r w:rsidR="001B4E3C">
          <w:rPr>
            <w:webHidden/>
          </w:rPr>
        </w:r>
        <w:r w:rsidR="001B4E3C">
          <w:rPr>
            <w:webHidden/>
          </w:rPr>
          <w:fldChar w:fldCharType="separate"/>
        </w:r>
        <w:r w:rsidR="00F7481E">
          <w:rPr>
            <w:webHidden/>
          </w:rPr>
          <w:t>71</w:t>
        </w:r>
        <w:r w:rsidR="001B4E3C">
          <w:rPr>
            <w:webHidden/>
          </w:rPr>
          <w:fldChar w:fldCharType="end"/>
        </w:r>
      </w:hyperlink>
    </w:p>
    <w:p w14:paraId="067CA948" w14:textId="4D2E96A1" w:rsidR="001B4E3C" w:rsidRDefault="00E63DDA">
      <w:pPr>
        <w:pStyle w:val="TOC3"/>
        <w:rPr>
          <w:rFonts w:asciiTheme="minorHAnsi" w:eastAsiaTheme="minorEastAsia" w:hAnsiTheme="minorHAnsi"/>
          <w:iCs w:val="0"/>
          <w:sz w:val="22"/>
          <w:szCs w:val="22"/>
        </w:rPr>
      </w:pPr>
      <w:hyperlink w:anchor="_Toc109921699" w:history="1">
        <w:r w:rsidR="001B4E3C" w:rsidRPr="0033797E">
          <w:rPr>
            <w:rStyle w:val="Hyperlink"/>
          </w:rPr>
          <w:t>xii.</w:t>
        </w:r>
        <w:r w:rsidR="001B4E3C">
          <w:rPr>
            <w:rFonts w:asciiTheme="minorHAnsi" w:eastAsiaTheme="minorEastAsia" w:hAnsiTheme="minorHAnsi"/>
            <w:iCs w:val="0"/>
            <w:sz w:val="22"/>
            <w:szCs w:val="22"/>
          </w:rPr>
          <w:tab/>
        </w:r>
        <w:r w:rsidR="001B4E3C" w:rsidRPr="0033797E">
          <w:rPr>
            <w:rStyle w:val="Hyperlink"/>
          </w:rPr>
          <w:t>Authorization for non-DOE/NNSA or DOE/NNSA FFRDCs (if applicable)</w:t>
        </w:r>
        <w:r w:rsidR="001B4E3C">
          <w:rPr>
            <w:webHidden/>
          </w:rPr>
          <w:tab/>
        </w:r>
        <w:r w:rsidR="001B4E3C">
          <w:rPr>
            <w:webHidden/>
          </w:rPr>
          <w:fldChar w:fldCharType="begin"/>
        </w:r>
        <w:r w:rsidR="001B4E3C">
          <w:rPr>
            <w:webHidden/>
          </w:rPr>
          <w:instrText xml:space="preserve"> PAGEREF _Toc109921699 \h </w:instrText>
        </w:r>
        <w:r w:rsidR="001B4E3C">
          <w:rPr>
            <w:webHidden/>
          </w:rPr>
        </w:r>
        <w:r w:rsidR="001B4E3C">
          <w:rPr>
            <w:webHidden/>
          </w:rPr>
          <w:fldChar w:fldCharType="separate"/>
        </w:r>
        <w:r w:rsidR="00F7481E">
          <w:rPr>
            <w:webHidden/>
          </w:rPr>
          <w:t>71</w:t>
        </w:r>
        <w:r w:rsidR="001B4E3C">
          <w:rPr>
            <w:webHidden/>
          </w:rPr>
          <w:fldChar w:fldCharType="end"/>
        </w:r>
      </w:hyperlink>
    </w:p>
    <w:p w14:paraId="7776DE22" w14:textId="0BF13964" w:rsidR="001B4E3C" w:rsidRDefault="00E63DDA">
      <w:pPr>
        <w:pStyle w:val="TOC3"/>
        <w:rPr>
          <w:rFonts w:asciiTheme="minorHAnsi" w:eastAsiaTheme="minorEastAsia" w:hAnsiTheme="minorHAnsi"/>
          <w:iCs w:val="0"/>
          <w:sz w:val="22"/>
          <w:szCs w:val="22"/>
        </w:rPr>
      </w:pPr>
      <w:hyperlink w:anchor="_Toc109921700" w:history="1">
        <w:r w:rsidR="001B4E3C" w:rsidRPr="0033797E">
          <w:rPr>
            <w:rStyle w:val="Hyperlink"/>
          </w:rPr>
          <w:t>xiii.</w:t>
        </w:r>
        <w:r w:rsidR="001B4E3C">
          <w:rPr>
            <w:rFonts w:asciiTheme="minorHAnsi" w:eastAsiaTheme="minorEastAsia" w:hAnsiTheme="minorHAnsi"/>
            <w:iCs w:val="0"/>
            <w:sz w:val="22"/>
            <w:szCs w:val="22"/>
          </w:rPr>
          <w:tab/>
        </w:r>
        <w:r w:rsidR="001B4E3C" w:rsidRPr="0033797E">
          <w:rPr>
            <w:rStyle w:val="Hyperlink"/>
          </w:rPr>
          <w:t>SF-LLL: Disclosure of Lobbying Activities (required)</w:t>
        </w:r>
        <w:r w:rsidR="001B4E3C">
          <w:rPr>
            <w:webHidden/>
          </w:rPr>
          <w:tab/>
        </w:r>
        <w:r w:rsidR="001B4E3C">
          <w:rPr>
            <w:webHidden/>
          </w:rPr>
          <w:fldChar w:fldCharType="begin"/>
        </w:r>
        <w:r w:rsidR="001B4E3C">
          <w:rPr>
            <w:webHidden/>
          </w:rPr>
          <w:instrText xml:space="preserve"> PAGEREF _Toc109921700 \h </w:instrText>
        </w:r>
        <w:r w:rsidR="001B4E3C">
          <w:rPr>
            <w:webHidden/>
          </w:rPr>
        </w:r>
        <w:r w:rsidR="001B4E3C">
          <w:rPr>
            <w:webHidden/>
          </w:rPr>
          <w:fldChar w:fldCharType="separate"/>
        </w:r>
        <w:r w:rsidR="00F7481E">
          <w:rPr>
            <w:webHidden/>
          </w:rPr>
          <w:t>72</w:t>
        </w:r>
        <w:r w:rsidR="001B4E3C">
          <w:rPr>
            <w:webHidden/>
          </w:rPr>
          <w:fldChar w:fldCharType="end"/>
        </w:r>
      </w:hyperlink>
    </w:p>
    <w:p w14:paraId="2634BA49" w14:textId="78FA5C61" w:rsidR="001B4E3C" w:rsidRDefault="00E63DDA">
      <w:pPr>
        <w:pStyle w:val="TOC3"/>
        <w:rPr>
          <w:rFonts w:asciiTheme="minorHAnsi" w:eastAsiaTheme="minorEastAsia" w:hAnsiTheme="minorHAnsi"/>
          <w:iCs w:val="0"/>
          <w:sz w:val="22"/>
          <w:szCs w:val="22"/>
        </w:rPr>
      </w:pPr>
      <w:hyperlink w:anchor="_Toc109921701" w:history="1">
        <w:r w:rsidR="001B4E3C" w:rsidRPr="0033797E">
          <w:rPr>
            <w:rStyle w:val="Hyperlink"/>
          </w:rPr>
          <w:t>xiv.</w:t>
        </w:r>
        <w:r w:rsidR="001B4E3C">
          <w:rPr>
            <w:rFonts w:asciiTheme="minorHAnsi" w:eastAsiaTheme="minorEastAsia" w:hAnsiTheme="minorHAnsi"/>
            <w:iCs w:val="0"/>
            <w:sz w:val="22"/>
            <w:szCs w:val="22"/>
          </w:rPr>
          <w:tab/>
        </w:r>
        <w:r w:rsidR="001B4E3C" w:rsidRPr="0033797E">
          <w:rPr>
            <w:rStyle w:val="Hyperlink"/>
          </w:rPr>
          <w:t>Foreign Entity Participation</w:t>
        </w:r>
        <w:r w:rsidR="001B4E3C">
          <w:rPr>
            <w:webHidden/>
          </w:rPr>
          <w:tab/>
        </w:r>
        <w:r w:rsidR="001B4E3C">
          <w:rPr>
            <w:webHidden/>
          </w:rPr>
          <w:fldChar w:fldCharType="begin"/>
        </w:r>
        <w:r w:rsidR="001B4E3C">
          <w:rPr>
            <w:webHidden/>
          </w:rPr>
          <w:instrText xml:space="preserve"> PAGEREF _Toc109921701 \h </w:instrText>
        </w:r>
        <w:r w:rsidR="001B4E3C">
          <w:rPr>
            <w:webHidden/>
          </w:rPr>
        </w:r>
        <w:r w:rsidR="001B4E3C">
          <w:rPr>
            <w:webHidden/>
          </w:rPr>
          <w:fldChar w:fldCharType="separate"/>
        </w:r>
        <w:r w:rsidR="00F7481E">
          <w:rPr>
            <w:webHidden/>
          </w:rPr>
          <w:t>72</w:t>
        </w:r>
        <w:r w:rsidR="001B4E3C">
          <w:rPr>
            <w:webHidden/>
          </w:rPr>
          <w:fldChar w:fldCharType="end"/>
        </w:r>
      </w:hyperlink>
    </w:p>
    <w:p w14:paraId="4FDB46C7" w14:textId="7BC35540" w:rsidR="001B4E3C" w:rsidRDefault="00E63DDA">
      <w:pPr>
        <w:pStyle w:val="TOC3"/>
        <w:rPr>
          <w:rFonts w:asciiTheme="minorHAnsi" w:eastAsiaTheme="minorEastAsia" w:hAnsiTheme="minorHAnsi"/>
          <w:iCs w:val="0"/>
          <w:sz w:val="22"/>
          <w:szCs w:val="22"/>
        </w:rPr>
      </w:pPr>
      <w:hyperlink w:anchor="_Toc109921702" w:history="1">
        <w:r w:rsidR="001B4E3C" w:rsidRPr="0033797E">
          <w:rPr>
            <w:rStyle w:val="Hyperlink"/>
          </w:rPr>
          <w:t>xv.</w:t>
        </w:r>
        <w:r w:rsidR="001B4E3C">
          <w:rPr>
            <w:rFonts w:asciiTheme="minorHAnsi" w:eastAsiaTheme="minorEastAsia" w:hAnsiTheme="minorHAnsi"/>
            <w:iCs w:val="0"/>
            <w:sz w:val="22"/>
            <w:szCs w:val="22"/>
          </w:rPr>
          <w:tab/>
        </w:r>
        <w:r w:rsidR="001B4E3C" w:rsidRPr="0033797E">
          <w:rPr>
            <w:rStyle w:val="Hyperlink"/>
          </w:rPr>
          <w:t>Foreign Work Waiver Request</w:t>
        </w:r>
        <w:r w:rsidR="001B4E3C">
          <w:rPr>
            <w:webHidden/>
          </w:rPr>
          <w:tab/>
        </w:r>
        <w:r w:rsidR="001B4E3C">
          <w:rPr>
            <w:webHidden/>
          </w:rPr>
          <w:fldChar w:fldCharType="begin"/>
        </w:r>
        <w:r w:rsidR="001B4E3C">
          <w:rPr>
            <w:webHidden/>
          </w:rPr>
          <w:instrText xml:space="preserve"> PAGEREF _Toc109921702 \h </w:instrText>
        </w:r>
        <w:r w:rsidR="001B4E3C">
          <w:rPr>
            <w:webHidden/>
          </w:rPr>
        </w:r>
        <w:r w:rsidR="001B4E3C">
          <w:rPr>
            <w:webHidden/>
          </w:rPr>
          <w:fldChar w:fldCharType="separate"/>
        </w:r>
        <w:r w:rsidR="00F7481E">
          <w:rPr>
            <w:webHidden/>
          </w:rPr>
          <w:t>72</w:t>
        </w:r>
        <w:r w:rsidR="001B4E3C">
          <w:rPr>
            <w:webHidden/>
          </w:rPr>
          <w:fldChar w:fldCharType="end"/>
        </w:r>
      </w:hyperlink>
    </w:p>
    <w:p w14:paraId="2A372C57" w14:textId="1FCB7420" w:rsidR="001B4E3C" w:rsidRDefault="00E63DDA">
      <w:pPr>
        <w:pStyle w:val="TOC3"/>
        <w:rPr>
          <w:rFonts w:asciiTheme="minorHAnsi" w:eastAsiaTheme="minorEastAsia" w:hAnsiTheme="minorHAnsi"/>
          <w:iCs w:val="0"/>
          <w:sz w:val="22"/>
          <w:szCs w:val="22"/>
        </w:rPr>
      </w:pPr>
      <w:hyperlink w:anchor="_Toc109921703" w:history="1">
        <w:r w:rsidR="001B4E3C" w:rsidRPr="0033797E">
          <w:rPr>
            <w:rStyle w:val="Hyperlink"/>
          </w:rPr>
          <w:t>xvi.</w:t>
        </w:r>
        <w:r w:rsidR="001B4E3C">
          <w:rPr>
            <w:rFonts w:asciiTheme="minorHAnsi" w:eastAsiaTheme="minorEastAsia" w:hAnsiTheme="minorHAnsi"/>
            <w:iCs w:val="0"/>
            <w:sz w:val="22"/>
            <w:szCs w:val="22"/>
          </w:rPr>
          <w:tab/>
        </w:r>
        <w:r w:rsidR="001B4E3C" w:rsidRPr="0033797E">
          <w:rPr>
            <w:rStyle w:val="Hyperlink"/>
          </w:rPr>
          <w:t>Waiver of the Build America, Buy America Requirement for Infrastructure Projects</w:t>
        </w:r>
        <w:r w:rsidR="001B4E3C">
          <w:rPr>
            <w:webHidden/>
          </w:rPr>
          <w:tab/>
        </w:r>
        <w:r w:rsidR="001B4E3C">
          <w:rPr>
            <w:webHidden/>
          </w:rPr>
          <w:fldChar w:fldCharType="begin"/>
        </w:r>
        <w:r w:rsidR="001B4E3C">
          <w:rPr>
            <w:webHidden/>
          </w:rPr>
          <w:instrText xml:space="preserve"> PAGEREF _Toc109921703 \h </w:instrText>
        </w:r>
        <w:r w:rsidR="001B4E3C">
          <w:rPr>
            <w:webHidden/>
          </w:rPr>
        </w:r>
        <w:r w:rsidR="001B4E3C">
          <w:rPr>
            <w:webHidden/>
          </w:rPr>
          <w:fldChar w:fldCharType="separate"/>
        </w:r>
        <w:r w:rsidR="00F7481E">
          <w:rPr>
            <w:webHidden/>
          </w:rPr>
          <w:t>73</w:t>
        </w:r>
        <w:r w:rsidR="001B4E3C">
          <w:rPr>
            <w:webHidden/>
          </w:rPr>
          <w:fldChar w:fldCharType="end"/>
        </w:r>
      </w:hyperlink>
    </w:p>
    <w:p w14:paraId="21ACDC99" w14:textId="779A1D69" w:rsidR="001B4E3C" w:rsidRDefault="00E63DDA">
      <w:pPr>
        <w:pStyle w:val="TOC3"/>
        <w:rPr>
          <w:rFonts w:asciiTheme="minorHAnsi" w:eastAsiaTheme="minorEastAsia" w:hAnsiTheme="minorHAnsi"/>
          <w:iCs w:val="0"/>
          <w:sz w:val="22"/>
          <w:szCs w:val="22"/>
        </w:rPr>
      </w:pPr>
      <w:hyperlink w:anchor="_Toc109921704" w:history="1">
        <w:r w:rsidR="001B4E3C" w:rsidRPr="0033797E">
          <w:rPr>
            <w:rStyle w:val="Hyperlink"/>
          </w:rPr>
          <w:t>xviii.</w:t>
        </w:r>
        <w:r w:rsidR="001B4E3C">
          <w:rPr>
            <w:rFonts w:asciiTheme="minorHAnsi" w:eastAsiaTheme="minorEastAsia" w:hAnsiTheme="minorHAnsi"/>
            <w:iCs w:val="0"/>
            <w:sz w:val="22"/>
            <w:szCs w:val="22"/>
          </w:rPr>
          <w:tab/>
        </w:r>
        <w:r w:rsidR="001B4E3C" w:rsidRPr="0033797E">
          <w:rPr>
            <w:rStyle w:val="Hyperlink"/>
          </w:rPr>
          <w:t>Current and Pending Support</w:t>
        </w:r>
        <w:r w:rsidR="001B4E3C">
          <w:rPr>
            <w:webHidden/>
          </w:rPr>
          <w:tab/>
        </w:r>
        <w:r w:rsidR="001B4E3C">
          <w:rPr>
            <w:webHidden/>
          </w:rPr>
          <w:fldChar w:fldCharType="begin"/>
        </w:r>
        <w:r w:rsidR="001B4E3C">
          <w:rPr>
            <w:webHidden/>
          </w:rPr>
          <w:instrText xml:space="preserve"> PAGEREF _Toc109921704 \h </w:instrText>
        </w:r>
        <w:r w:rsidR="001B4E3C">
          <w:rPr>
            <w:webHidden/>
          </w:rPr>
        </w:r>
        <w:r w:rsidR="001B4E3C">
          <w:rPr>
            <w:webHidden/>
          </w:rPr>
          <w:fldChar w:fldCharType="separate"/>
        </w:r>
        <w:r w:rsidR="00F7481E">
          <w:rPr>
            <w:webHidden/>
          </w:rPr>
          <w:t>79</w:t>
        </w:r>
        <w:r w:rsidR="001B4E3C">
          <w:rPr>
            <w:webHidden/>
          </w:rPr>
          <w:fldChar w:fldCharType="end"/>
        </w:r>
      </w:hyperlink>
    </w:p>
    <w:p w14:paraId="7F97AEFF" w14:textId="33E22367" w:rsidR="001B4E3C" w:rsidRDefault="00E63DDA">
      <w:pPr>
        <w:pStyle w:val="TOC3"/>
        <w:rPr>
          <w:rFonts w:asciiTheme="minorHAnsi" w:eastAsiaTheme="minorEastAsia" w:hAnsiTheme="minorHAnsi"/>
          <w:iCs w:val="0"/>
          <w:sz w:val="22"/>
          <w:szCs w:val="22"/>
        </w:rPr>
      </w:pPr>
      <w:hyperlink w:anchor="_Toc109921705" w:history="1">
        <w:r w:rsidR="001B4E3C" w:rsidRPr="0033797E">
          <w:rPr>
            <w:rStyle w:val="Hyperlink"/>
          </w:rPr>
          <w:t>xix.</w:t>
        </w:r>
        <w:r w:rsidR="001B4E3C">
          <w:rPr>
            <w:rFonts w:asciiTheme="minorHAnsi" w:eastAsiaTheme="minorEastAsia" w:hAnsiTheme="minorHAnsi"/>
            <w:iCs w:val="0"/>
            <w:sz w:val="22"/>
            <w:szCs w:val="22"/>
          </w:rPr>
          <w:tab/>
        </w:r>
        <w:r w:rsidR="001B4E3C" w:rsidRPr="0033797E">
          <w:rPr>
            <w:rStyle w:val="Hyperlink"/>
          </w:rPr>
          <w:t>Locations of Work</w:t>
        </w:r>
        <w:r w:rsidR="001B4E3C">
          <w:rPr>
            <w:webHidden/>
          </w:rPr>
          <w:tab/>
        </w:r>
        <w:r w:rsidR="001B4E3C">
          <w:rPr>
            <w:webHidden/>
          </w:rPr>
          <w:fldChar w:fldCharType="begin"/>
        </w:r>
        <w:r w:rsidR="001B4E3C">
          <w:rPr>
            <w:webHidden/>
          </w:rPr>
          <w:instrText xml:space="preserve"> PAGEREF _Toc109921705 \h </w:instrText>
        </w:r>
        <w:r w:rsidR="001B4E3C">
          <w:rPr>
            <w:webHidden/>
          </w:rPr>
        </w:r>
        <w:r w:rsidR="001B4E3C">
          <w:rPr>
            <w:webHidden/>
          </w:rPr>
          <w:fldChar w:fldCharType="separate"/>
        </w:r>
        <w:r w:rsidR="00F7481E">
          <w:rPr>
            <w:webHidden/>
          </w:rPr>
          <w:t>82</w:t>
        </w:r>
        <w:r w:rsidR="001B4E3C">
          <w:rPr>
            <w:webHidden/>
          </w:rPr>
          <w:fldChar w:fldCharType="end"/>
        </w:r>
      </w:hyperlink>
    </w:p>
    <w:p w14:paraId="79216F89" w14:textId="22BEC65D" w:rsidR="001B4E3C" w:rsidRDefault="00E63DDA">
      <w:pPr>
        <w:pStyle w:val="TOC3"/>
        <w:rPr>
          <w:rFonts w:asciiTheme="minorHAnsi" w:eastAsiaTheme="minorEastAsia" w:hAnsiTheme="minorHAnsi"/>
          <w:iCs w:val="0"/>
          <w:sz w:val="22"/>
          <w:szCs w:val="22"/>
        </w:rPr>
      </w:pPr>
      <w:hyperlink w:anchor="_Toc109921706" w:history="1">
        <w:r w:rsidR="001B4E3C" w:rsidRPr="0033797E">
          <w:rPr>
            <w:rStyle w:val="Hyperlink"/>
          </w:rPr>
          <w:t>xx.</w:t>
        </w:r>
        <w:r w:rsidR="001B4E3C">
          <w:rPr>
            <w:rFonts w:asciiTheme="minorHAnsi" w:eastAsiaTheme="minorEastAsia" w:hAnsiTheme="minorHAnsi"/>
            <w:iCs w:val="0"/>
            <w:sz w:val="22"/>
            <w:szCs w:val="22"/>
          </w:rPr>
          <w:tab/>
        </w:r>
        <w:r w:rsidR="001B4E3C" w:rsidRPr="0033797E">
          <w:rPr>
            <w:rStyle w:val="Hyperlink"/>
          </w:rPr>
          <w:t>Environmental Questionnaire (EQ)</w:t>
        </w:r>
        <w:r w:rsidR="001B4E3C">
          <w:rPr>
            <w:webHidden/>
          </w:rPr>
          <w:tab/>
        </w:r>
        <w:r w:rsidR="001B4E3C">
          <w:rPr>
            <w:webHidden/>
          </w:rPr>
          <w:fldChar w:fldCharType="begin"/>
        </w:r>
        <w:r w:rsidR="001B4E3C">
          <w:rPr>
            <w:webHidden/>
          </w:rPr>
          <w:instrText xml:space="preserve"> PAGEREF _Toc109921706 \h </w:instrText>
        </w:r>
        <w:r w:rsidR="001B4E3C">
          <w:rPr>
            <w:webHidden/>
          </w:rPr>
        </w:r>
        <w:r w:rsidR="001B4E3C">
          <w:rPr>
            <w:webHidden/>
          </w:rPr>
          <w:fldChar w:fldCharType="separate"/>
        </w:r>
        <w:r w:rsidR="00F7481E">
          <w:rPr>
            <w:webHidden/>
          </w:rPr>
          <w:t>82</w:t>
        </w:r>
        <w:r w:rsidR="001B4E3C">
          <w:rPr>
            <w:webHidden/>
          </w:rPr>
          <w:fldChar w:fldCharType="end"/>
        </w:r>
      </w:hyperlink>
    </w:p>
    <w:p w14:paraId="12C0C133" w14:textId="6BCAFECC" w:rsidR="001B4E3C" w:rsidRDefault="00E63DDA">
      <w:pPr>
        <w:pStyle w:val="TOC2"/>
        <w:rPr>
          <w:rFonts w:eastAsiaTheme="minorEastAsia"/>
          <w:noProof/>
          <w:sz w:val="22"/>
          <w:szCs w:val="22"/>
        </w:rPr>
      </w:pPr>
      <w:hyperlink w:anchor="_Toc109921707" w:history="1">
        <w:r w:rsidR="001B4E3C" w:rsidRPr="0033797E">
          <w:rPr>
            <w:rStyle w:val="Hyperlink"/>
            <w:smallCaps/>
            <w:noProof/>
          </w:rPr>
          <w:t>E.</w:t>
        </w:r>
        <w:r w:rsidR="001B4E3C">
          <w:rPr>
            <w:rFonts w:eastAsiaTheme="minorEastAsia"/>
            <w:noProof/>
            <w:sz w:val="22"/>
            <w:szCs w:val="22"/>
          </w:rPr>
          <w:tab/>
        </w:r>
        <w:r w:rsidR="001B4E3C" w:rsidRPr="0033797E">
          <w:rPr>
            <w:rStyle w:val="Hyperlink"/>
            <w:noProof/>
          </w:rPr>
          <w:t>Content and Form of Replies to Reviewer Comments</w:t>
        </w:r>
        <w:r w:rsidR="001B4E3C">
          <w:rPr>
            <w:noProof/>
            <w:webHidden/>
          </w:rPr>
          <w:tab/>
        </w:r>
        <w:r w:rsidR="001B4E3C">
          <w:rPr>
            <w:noProof/>
            <w:webHidden/>
          </w:rPr>
          <w:fldChar w:fldCharType="begin"/>
        </w:r>
        <w:r w:rsidR="001B4E3C">
          <w:rPr>
            <w:noProof/>
            <w:webHidden/>
          </w:rPr>
          <w:instrText xml:space="preserve"> PAGEREF _Toc109921707 \h </w:instrText>
        </w:r>
        <w:r w:rsidR="001B4E3C">
          <w:rPr>
            <w:noProof/>
            <w:webHidden/>
          </w:rPr>
        </w:r>
        <w:r w:rsidR="001B4E3C">
          <w:rPr>
            <w:noProof/>
            <w:webHidden/>
          </w:rPr>
          <w:fldChar w:fldCharType="separate"/>
        </w:r>
        <w:r w:rsidR="00F7481E">
          <w:rPr>
            <w:noProof/>
            <w:webHidden/>
          </w:rPr>
          <w:t>82</w:t>
        </w:r>
        <w:r w:rsidR="001B4E3C">
          <w:rPr>
            <w:noProof/>
            <w:webHidden/>
          </w:rPr>
          <w:fldChar w:fldCharType="end"/>
        </w:r>
      </w:hyperlink>
    </w:p>
    <w:p w14:paraId="07C080B2" w14:textId="446D6934" w:rsidR="001B4E3C" w:rsidRDefault="00E63DDA">
      <w:pPr>
        <w:pStyle w:val="TOC2"/>
        <w:rPr>
          <w:rFonts w:eastAsiaTheme="minorEastAsia"/>
          <w:noProof/>
          <w:sz w:val="22"/>
          <w:szCs w:val="22"/>
        </w:rPr>
      </w:pPr>
      <w:hyperlink w:anchor="_Toc109921708" w:history="1">
        <w:r w:rsidR="001B4E3C" w:rsidRPr="0033797E">
          <w:rPr>
            <w:rStyle w:val="Hyperlink"/>
            <w:smallCaps/>
            <w:noProof/>
          </w:rPr>
          <w:t>F.</w:t>
        </w:r>
        <w:r w:rsidR="001B4E3C">
          <w:rPr>
            <w:rFonts w:eastAsiaTheme="minorEastAsia"/>
            <w:noProof/>
            <w:sz w:val="22"/>
            <w:szCs w:val="22"/>
          </w:rPr>
          <w:tab/>
        </w:r>
        <w:r w:rsidR="001B4E3C" w:rsidRPr="0033797E">
          <w:rPr>
            <w:rStyle w:val="Hyperlink"/>
            <w:noProof/>
          </w:rPr>
          <w:t>Post Selection Information Requests</w:t>
        </w:r>
        <w:r w:rsidR="001B4E3C">
          <w:rPr>
            <w:noProof/>
            <w:webHidden/>
          </w:rPr>
          <w:tab/>
        </w:r>
        <w:r w:rsidR="001B4E3C">
          <w:rPr>
            <w:noProof/>
            <w:webHidden/>
          </w:rPr>
          <w:fldChar w:fldCharType="begin"/>
        </w:r>
        <w:r w:rsidR="001B4E3C">
          <w:rPr>
            <w:noProof/>
            <w:webHidden/>
          </w:rPr>
          <w:instrText xml:space="preserve"> PAGEREF _Toc109921708 \h </w:instrText>
        </w:r>
        <w:r w:rsidR="001B4E3C">
          <w:rPr>
            <w:noProof/>
            <w:webHidden/>
          </w:rPr>
        </w:r>
        <w:r w:rsidR="001B4E3C">
          <w:rPr>
            <w:noProof/>
            <w:webHidden/>
          </w:rPr>
          <w:fldChar w:fldCharType="separate"/>
        </w:r>
        <w:r w:rsidR="00F7481E">
          <w:rPr>
            <w:noProof/>
            <w:webHidden/>
          </w:rPr>
          <w:t>83</w:t>
        </w:r>
        <w:r w:rsidR="001B4E3C">
          <w:rPr>
            <w:noProof/>
            <w:webHidden/>
          </w:rPr>
          <w:fldChar w:fldCharType="end"/>
        </w:r>
      </w:hyperlink>
    </w:p>
    <w:p w14:paraId="7F15E4DB" w14:textId="26A58204" w:rsidR="001B4E3C" w:rsidRDefault="00E63DDA">
      <w:pPr>
        <w:pStyle w:val="TOC2"/>
        <w:rPr>
          <w:rFonts w:eastAsiaTheme="minorEastAsia"/>
          <w:noProof/>
          <w:sz w:val="22"/>
          <w:szCs w:val="22"/>
        </w:rPr>
      </w:pPr>
      <w:hyperlink w:anchor="_Toc109921709" w:history="1">
        <w:r w:rsidR="001B4E3C" w:rsidRPr="0033797E">
          <w:rPr>
            <w:rStyle w:val="Hyperlink"/>
            <w:smallCaps/>
            <w:noProof/>
          </w:rPr>
          <w:t>G.</w:t>
        </w:r>
        <w:r w:rsidR="001B4E3C">
          <w:rPr>
            <w:rFonts w:eastAsiaTheme="minorEastAsia"/>
            <w:noProof/>
            <w:sz w:val="22"/>
            <w:szCs w:val="22"/>
          </w:rPr>
          <w:tab/>
        </w:r>
        <w:r w:rsidR="001B4E3C" w:rsidRPr="0033797E">
          <w:rPr>
            <w:rStyle w:val="Hyperlink"/>
            <w:noProof/>
          </w:rPr>
          <w:t>Unique Entity Identifier (UEI) and System for Award Management (SAM)</w:t>
        </w:r>
        <w:r w:rsidR="001B4E3C">
          <w:rPr>
            <w:noProof/>
            <w:webHidden/>
          </w:rPr>
          <w:tab/>
        </w:r>
        <w:r w:rsidR="001B4E3C">
          <w:rPr>
            <w:noProof/>
            <w:webHidden/>
          </w:rPr>
          <w:fldChar w:fldCharType="begin"/>
        </w:r>
        <w:r w:rsidR="001B4E3C">
          <w:rPr>
            <w:noProof/>
            <w:webHidden/>
          </w:rPr>
          <w:instrText xml:space="preserve"> PAGEREF _Toc109921709 \h </w:instrText>
        </w:r>
        <w:r w:rsidR="001B4E3C">
          <w:rPr>
            <w:noProof/>
            <w:webHidden/>
          </w:rPr>
        </w:r>
        <w:r w:rsidR="001B4E3C">
          <w:rPr>
            <w:noProof/>
            <w:webHidden/>
          </w:rPr>
          <w:fldChar w:fldCharType="separate"/>
        </w:r>
        <w:r w:rsidR="00F7481E">
          <w:rPr>
            <w:noProof/>
            <w:webHidden/>
          </w:rPr>
          <w:t>83</w:t>
        </w:r>
        <w:r w:rsidR="001B4E3C">
          <w:rPr>
            <w:noProof/>
            <w:webHidden/>
          </w:rPr>
          <w:fldChar w:fldCharType="end"/>
        </w:r>
      </w:hyperlink>
    </w:p>
    <w:p w14:paraId="05F9AE9B" w14:textId="6050A242" w:rsidR="001B4E3C" w:rsidRDefault="00E63DDA">
      <w:pPr>
        <w:pStyle w:val="TOC2"/>
        <w:rPr>
          <w:rFonts w:eastAsiaTheme="minorEastAsia"/>
          <w:noProof/>
          <w:sz w:val="22"/>
          <w:szCs w:val="22"/>
        </w:rPr>
      </w:pPr>
      <w:hyperlink w:anchor="_Toc109921710" w:history="1">
        <w:r w:rsidR="001B4E3C" w:rsidRPr="0033797E">
          <w:rPr>
            <w:rStyle w:val="Hyperlink"/>
            <w:smallCaps/>
            <w:noProof/>
          </w:rPr>
          <w:t>H.</w:t>
        </w:r>
        <w:r w:rsidR="001B4E3C">
          <w:rPr>
            <w:rFonts w:eastAsiaTheme="minorEastAsia"/>
            <w:noProof/>
            <w:sz w:val="22"/>
            <w:szCs w:val="22"/>
          </w:rPr>
          <w:tab/>
        </w:r>
        <w:r w:rsidR="001B4E3C" w:rsidRPr="0033797E">
          <w:rPr>
            <w:rStyle w:val="Hyperlink"/>
            <w:noProof/>
          </w:rPr>
          <w:t>Submission Dates and Times</w:t>
        </w:r>
        <w:r w:rsidR="001B4E3C">
          <w:rPr>
            <w:noProof/>
            <w:webHidden/>
          </w:rPr>
          <w:tab/>
        </w:r>
        <w:r w:rsidR="001B4E3C">
          <w:rPr>
            <w:noProof/>
            <w:webHidden/>
          </w:rPr>
          <w:fldChar w:fldCharType="begin"/>
        </w:r>
        <w:r w:rsidR="001B4E3C">
          <w:rPr>
            <w:noProof/>
            <w:webHidden/>
          </w:rPr>
          <w:instrText xml:space="preserve"> PAGEREF _Toc109921710 \h </w:instrText>
        </w:r>
        <w:r w:rsidR="001B4E3C">
          <w:rPr>
            <w:noProof/>
            <w:webHidden/>
          </w:rPr>
        </w:r>
        <w:r w:rsidR="001B4E3C">
          <w:rPr>
            <w:noProof/>
            <w:webHidden/>
          </w:rPr>
          <w:fldChar w:fldCharType="separate"/>
        </w:r>
        <w:r w:rsidR="00F7481E">
          <w:rPr>
            <w:noProof/>
            <w:webHidden/>
          </w:rPr>
          <w:t>84</w:t>
        </w:r>
        <w:r w:rsidR="001B4E3C">
          <w:rPr>
            <w:noProof/>
            <w:webHidden/>
          </w:rPr>
          <w:fldChar w:fldCharType="end"/>
        </w:r>
      </w:hyperlink>
    </w:p>
    <w:p w14:paraId="56AC2C53" w14:textId="3D36EC4C" w:rsidR="001B4E3C" w:rsidRDefault="00E63DDA">
      <w:pPr>
        <w:pStyle w:val="TOC2"/>
        <w:rPr>
          <w:rFonts w:eastAsiaTheme="minorEastAsia"/>
          <w:noProof/>
          <w:sz w:val="22"/>
          <w:szCs w:val="22"/>
        </w:rPr>
      </w:pPr>
      <w:hyperlink w:anchor="_Toc109921711" w:history="1">
        <w:r w:rsidR="001B4E3C" w:rsidRPr="0033797E">
          <w:rPr>
            <w:rStyle w:val="Hyperlink"/>
            <w:smallCaps/>
            <w:noProof/>
          </w:rPr>
          <w:t>I.</w:t>
        </w:r>
        <w:r w:rsidR="001B4E3C">
          <w:rPr>
            <w:rFonts w:eastAsiaTheme="minorEastAsia"/>
            <w:noProof/>
            <w:sz w:val="22"/>
            <w:szCs w:val="22"/>
          </w:rPr>
          <w:tab/>
        </w:r>
        <w:r w:rsidR="001B4E3C" w:rsidRPr="0033797E">
          <w:rPr>
            <w:rStyle w:val="Hyperlink"/>
            <w:noProof/>
          </w:rPr>
          <w:t>Intergovernmental Review</w:t>
        </w:r>
        <w:r w:rsidR="001B4E3C">
          <w:rPr>
            <w:noProof/>
            <w:webHidden/>
          </w:rPr>
          <w:tab/>
        </w:r>
        <w:r w:rsidR="001B4E3C">
          <w:rPr>
            <w:noProof/>
            <w:webHidden/>
          </w:rPr>
          <w:fldChar w:fldCharType="begin"/>
        </w:r>
        <w:r w:rsidR="001B4E3C">
          <w:rPr>
            <w:noProof/>
            <w:webHidden/>
          </w:rPr>
          <w:instrText xml:space="preserve"> PAGEREF _Toc109921711 \h </w:instrText>
        </w:r>
        <w:r w:rsidR="001B4E3C">
          <w:rPr>
            <w:noProof/>
            <w:webHidden/>
          </w:rPr>
        </w:r>
        <w:r w:rsidR="001B4E3C">
          <w:rPr>
            <w:noProof/>
            <w:webHidden/>
          </w:rPr>
          <w:fldChar w:fldCharType="separate"/>
        </w:r>
        <w:r w:rsidR="00F7481E">
          <w:rPr>
            <w:noProof/>
            <w:webHidden/>
          </w:rPr>
          <w:t>84</w:t>
        </w:r>
        <w:r w:rsidR="001B4E3C">
          <w:rPr>
            <w:noProof/>
            <w:webHidden/>
          </w:rPr>
          <w:fldChar w:fldCharType="end"/>
        </w:r>
      </w:hyperlink>
    </w:p>
    <w:p w14:paraId="262D58F3" w14:textId="03F636C5" w:rsidR="001B4E3C" w:rsidRDefault="00E63DDA">
      <w:pPr>
        <w:pStyle w:val="TOC2"/>
        <w:rPr>
          <w:rFonts w:eastAsiaTheme="minorEastAsia"/>
          <w:noProof/>
          <w:sz w:val="22"/>
          <w:szCs w:val="22"/>
        </w:rPr>
      </w:pPr>
      <w:hyperlink w:anchor="_Toc109921712" w:history="1">
        <w:r w:rsidR="001B4E3C" w:rsidRPr="0033797E">
          <w:rPr>
            <w:rStyle w:val="Hyperlink"/>
            <w:smallCaps/>
            <w:noProof/>
          </w:rPr>
          <w:t>J.</w:t>
        </w:r>
        <w:r w:rsidR="001B4E3C">
          <w:rPr>
            <w:rFonts w:eastAsiaTheme="minorEastAsia"/>
            <w:noProof/>
            <w:sz w:val="22"/>
            <w:szCs w:val="22"/>
          </w:rPr>
          <w:tab/>
        </w:r>
        <w:r w:rsidR="001B4E3C" w:rsidRPr="0033797E">
          <w:rPr>
            <w:rStyle w:val="Hyperlink"/>
            <w:noProof/>
          </w:rPr>
          <w:t>Funding Restrictions</w:t>
        </w:r>
        <w:r w:rsidR="001B4E3C">
          <w:rPr>
            <w:noProof/>
            <w:webHidden/>
          </w:rPr>
          <w:tab/>
        </w:r>
        <w:r w:rsidR="001B4E3C">
          <w:rPr>
            <w:noProof/>
            <w:webHidden/>
          </w:rPr>
          <w:fldChar w:fldCharType="begin"/>
        </w:r>
        <w:r w:rsidR="001B4E3C">
          <w:rPr>
            <w:noProof/>
            <w:webHidden/>
          </w:rPr>
          <w:instrText xml:space="preserve"> PAGEREF _Toc109921712 \h </w:instrText>
        </w:r>
        <w:r w:rsidR="001B4E3C">
          <w:rPr>
            <w:noProof/>
            <w:webHidden/>
          </w:rPr>
        </w:r>
        <w:r w:rsidR="001B4E3C">
          <w:rPr>
            <w:noProof/>
            <w:webHidden/>
          </w:rPr>
          <w:fldChar w:fldCharType="separate"/>
        </w:r>
        <w:r w:rsidR="00F7481E">
          <w:rPr>
            <w:noProof/>
            <w:webHidden/>
          </w:rPr>
          <w:t>84</w:t>
        </w:r>
        <w:r w:rsidR="001B4E3C">
          <w:rPr>
            <w:noProof/>
            <w:webHidden/>
          </w:rPr>
          <w:fldChar w:fldCharType="end"/>
        </w:r>
      </w:hyperlink>
    </w:p>
    <w:p w14:paraId="34BA323A" w14:textId="3C02D3DC" w:rsidR="001B4E3C" w:rsidRDefault="00E63DDA">
      <w:pPr>
        <w:pStyle w:val="TOC3"/>
        <w:rPr>
          <w:rFonts w:asciiTheme="minorHAnsi" w:eastAsiaTheme="minorEastAsia" w:hAnsiTheme="minorHAnsi"/>
          <w:iCs w:val="0"/>
          <w:sz w:val="22"/>
          <w:szCs w:val="22"/>
        </w:rPr>
      </w:pPr>
      <w:hyperlink w:anchor="_Toc109921713" w:history="1">
        <w:r w:rsidR="001B4E3C" w:rsidRPr="0033797E">
          <w:rPr>
            <w:rStyle w:val="Hyperlink"/>
          </w:rPr>
          <w:t>i.</w:t>
        </w:r>
        <w:r w:rsidR="001B4E3C">
          <w:rPr>
            <w:rFonts w:asciiTheme="minorHAnsi" w:eastAsiaTheme="minorEastAsia" w:hAnsiTheme="minorHAnsi"/>
            <w:iCs w:val="0"/>
            <w:sz w:val="22"/>
            <w:szCs w:val="22"/>
          </w:rPr>
          <w:tab/>
        </w:r>
        <w:r w:rsidR="001B4E3C" w:rsidRPr="0033797E">
          <w:rPr>
            <w:rStyle w:val="Hyperlink"/>
          </w:rPr>
          <w:t>Allowable Costs</w:t>
        </w:r>
        <w:r w:rsidR="001B4E3C">
          <w:rPr>
            <w:webHidden/>
          </w:rPr>
          <w:tab/>
        </w:r>
        <w:r w:rsidR="001B4E3C">
          <w:rPr>
            <w:webHidden/>
          </w:rPr>
          <w:fldChar w:fldCharType="begin"/>
        </w:r>
        <w:r w:rsidR="001B4E3C">
          <w:rPr>
            <w:webHidden/>
          </w:rPr>
          <w:instrText xml:space="preserve"> PAGEREF _Toc109921713 \h </w:instrText>
        </w:r>
        <w:r w:rsidR="001B4E3C">
          <w:rPr>
            <w:webHidden/>
          </w:rPr>
        </w:r>
        <w:r w:rsidR="001B4E3C">
          <w:rPr>
            <w:webHidden/>
          </w:rPr>
          <w:fldChar w:fldCharType="separate"/>
        </w:r>
        <w:r w:rsidR="00F7481E">
          <w:rPr>
            <w:webHidden/>
          </w:rPr>
          <w:t>84</w:t>
        </w:r>
        <w:r w:rsidR="001B4E3C">
          <w:rPr>
            <w:webHidden/>
          </w:rPr>
          <w:fldChar w:fldCharType="end"/>
        </w:r>
      </w:hyperlink>
    </w:p>
    <w:p w14:paraId="6625ADA4" w14:textId="6A7721BC" w:rsidR="001B4E3C" w:rsidRDefault="00E63DDA">
      <w:pPr>
        <w:pStyle w:val="TOC3"/>
        <w:rPr>
          <w:rFonts w:asciiTheme="minorHAnsi" w:eastAsiaTheme="minorEastAsia" w:hAnsiTheme="minorHAnsi"/>
          <w:iCs w:val="0"/>
          <w:sz w:val="22"/>
          <w:szCs w:val="22"/>
        </w:rPr>
      </w:pPr>
      <w:hyperlink w:anchor="_Toc109921714" w:history="1">
        <w:r w:rsidR="001B4E3C" w:rsidRPr="0033797E">
          <w:rPr>
            <w:rStyle w:val="Hyperlink"/>
          </w:rPr>
          <w:t>ii.</w:t>
        </w:r>
        <w:r w:rsidR="001B4E3C">
          <w:rPr>
            <w:rFonts w:asciiTheme="minorHAnsi" w:eastAsiaTheme="minorEastAsia" w:hAnsiTheme="minorHAnsi"/>
            <w:iCs w:val="0"/>
            <w:sz w:val="22"/>
            <w:szCs w:val="22"/>
          </w:rPr>
          <w:tab/>
        </w:r>
        <w:r w:rsidR="001B4E3C" w:rsidRPr="0033797E">
          <w:rPr>
            <w:rStyle w:val="Hyperlink"/>
          </w:rPr>
          <w:t>Pre-Award Costs</w:t>
        </w:r>
        <w:r w:rsidR="001B4E3C">
          <w:rPr>
            <w:webHidden/>
          </w:rPr>
          <w:tab/>
        </w:r>
        <w:r w:rsidR="001B4E3C">
          <w:rPr>
            <w:webHidden/>
          </w:rPr>
          <w:fldChar w:fldCharType="begin"/>
        </w:r>
        <w:r w:rsidR="001B4E3C">
          <w:rPr>
            <w:webHidden/>
          </w:rPr>
          <w:instrText xml:space="preserve"> PAGEREF _Toc109921714 \h </w:instrText>
        </w:r>
        <w:r w:rsidR="001B4E3C">
          <w:rPr>
            <w:webHidden/>
          </w:rPr>
        </w:r>
        <w:r w:rsidR="001B4E3C">
          <w:rPr>
            <w:webHidden/>
          </w:rPr>
          <w:fldChar w:fldCharType="separate"/>
        </w:r>
        <w:r w:rsidR="00F7481E">
          <w:rPr>
            <w:webHidden/>
          </w:rPr>
          <w:t>84</w:t>
        </w:r>
        <w:r w:rsidR="001B4E3C">
          <w:rPr>
            <w:webHidden/>
          </w:rPr>
          <w:fldChar w:fldCharType="end"/>
        </w:r>
      </w:hyperlink>
    </w:p>
    <w:p w14:paraId="4E834CDC" w14:textId="3DA75EF5" w:rsidR="001B4E3C" w:rsidRDefault="00E63DDA">
      <w:pPr>
        <w:pStyle w:val="TOC3"/>
        <w:rPr>
          <w:rFonts w:asciiTheme="minorHAnsi" w:eastAsiaTheme="minorEastAsia" w:hAnsiTheme="minorHAnsi"/>
          <w:iCs w:val="0"/>
          <w:sz w:val="22"/>
          <w:szCs w:val="22"/>
        </w:rPr>
      </w:pPr>
      <w:hyperlink w:anchor="_Toc109921715" w:history="1">
        <w:r w:rsidR="001B4E3C" w:rsidRPr="0033797E">
          <w:rPr>
            <w:rStyle w:val="Hyperlink"/>
          </w:rPr>
          <w:t>iii.</w:t>
        </w:r>
        <w:r w:rsidR="001B4E3C">
          <w:rPr>
            <w:rFonts w:asciiTheme="minorHAnsi" w:eastAsiaTheme="minorEastAsia" w:hAnsiTheme="minorHAnsi"/>
            <w:iCs w:val="0"/>
            <w:sz w:val="22"/>
            <w:szCs w:val="22"/>
          </w:rPr>
          <w:tab/>
        </w:r>
        <w:r w:rsidR="001B4E3C" w:rsidRPr="0033797E">
          <w:rPr>
            <w:rStyle w:val="Hyperlink"/>
          </w:rPr>
          <w:t>Performance of Work in the United States (Foreign Work Waiver)</w:t>
        </w:r>
        <w:r w:rsidR="001B4E3C">
          <w:rPr>
            <w:webHidden/>
          </w:rPr>
          <w:tab/>
        </w:r>
        <w:r w:rsidR="001B4E3C">
          <w:rPr>
            <w:webHidden/>
          </w:rPr>
          <w:fldChar w:fldCharType="begin"/>
        </w:r>
        <w:r w:rsidR="001B4E3C">
          <w:rPr>
            <w:webHidden/>
          </w:rPr>
          <w:instrText xml:space="preserve"> PAGEREF _Toc109921715 \h </w:instrText>
        </w:r>
        <w:r w:rsidR="001B4E3C">
          <w:rPr>
            <w:webHidden/>
          </w:rPr>
        </w:r>
        <w:r w:rsidR="001B4E3C">
          <w:rPr>
            <w:webHidden/>
          </w:rPr>
          <w:fldChar w:fldCharType="separate"/>
        </w:r>
        <w:r w:rsidR="00F7481E">
          <w:rPr>
            <w:webHidden/>
          </w:rPr>
          <w:t>85</w:t>
        </w:r>
        <w:r w:rsidR="001B4E3C">
          <w:rPr>
            <w:webHidden/>
          </w:rPr>
          <w:fldChar w:fldCharType="end"/>
        </w:r>
      </w:hyperlink>
    </w:p>
    <w:p w14:paraId="1E287D6C" w14:textId="0C907E64" w:rsidR="001B4E3C" w:rsidRDefault="00E63DDA">
      <w:pPr>
        <w:pStyle w:val="TOC3"/>
        <w:rPr>
          <w:rFonts w:asciiTheme="minorHAnsi" w:eastAsiaTheme="minorEastAsia" w:hAnsiTheme="minorHAnsi"/>
          <w:iCs w:val="0"/>
          <w:sz w:val="22"/>
          <w:szCs w:val="22"/>
        </w:rPr>
      </w:pPr>
      <w:hyperlink w:anchor="_Toc109921716" w:history="1">
        <w:r w:rsidR="001B4E3C" w:rsidRPr="0033797E">
          <w:rPr>
            <w:rStyle w:val="Hyperlink"/>
          </w:rPr>
          <w:t>iv.</w:t>
        </w:r>
        <w:r w:rsidR="001B4E3C">
          <w:rPr>
            <w:rFonts w:asciiTheme="minorHAnsi" w:eastAsiaTheme="minorEastAsia" w:hAnsiTheme="minorHAnsi"/>
            <w:iCs w:val="0"/>
            <w:sz w:val="22"/>
            <w:szCs w:val="22"/>
          </w:rPr>
          <w:tab/>
        </w:r>
        <w:r w:rsidR="001B4E3C" w:rsidRPr="0033797E">
          <w:rPr>
            <w:rStyle w:val="Hyperlink"/>
          </w:rPr>
          <w:t>Construction</w:t>
        </w:r>
        <w:r w:rsidR="001B4E3C">
          <w:rPr>
            <w:webHidden/>
          </w:rPr>
          <w:tab/>
        </w:r>
        <w:r w:rsidR="001B4E3C">
          <w:rPr>
            <w:webHidden/>
          </w:rPr>
          <w:fldChar w:fldCharType="begin"/>
        </w:r>
        <w:r w:rsidR="001B4E3C">
          <w:rPr>
            <w:webHidden/>
          </w:rPr>
          <w:instrText xml:space="preserve"> PAGEREF _Toc109921716 \h </w:instrText>
        </w:r>
        <w:r w:rsidR="001B4E3C">
          <w:rPr>
            <w:webHidden/>
          </w:rPr>
        </w:r>
        <w:r w:rsidR="001B4E3C">
          <w:rPr>
            <w:webHidden/>
          </w:rPr>
          <w:fldChar w:fldCharType="separate"/>
        </w:r>
        <w:r w:rsidR="00F7481E">
          <w:rPr>
            <w:webHidden/>
          </w:rPr>
          <w:t>86</w:t>
        </w:r>
        <w:r w:rsidR="001B4E3C">
          <w:rPr>
            <w:webHidden/>
          </w:rPr>
          <w:fldChar w:fldCharType="end"/>
        </w:r>
      </w:hyperlink>
    </w:p>
    <w:p w14:paraId="1260687C" w14:textId="3F9B5E2C" w:rsidR="001B4E3C" w:rsidRDefault="00E63DDA">
      <w:pPr>
        <w:pStyle w:val="TOC3"/>
        <w:rPr>
          <w:rFonts w:asciiTheme="minorHAnsi" w:eastAsiaTheme="minorEastAsia" w:hAnsiTheme="minorHAnsi"/>
          <w:iCs w:val="0"/>
          <w:sz w:val="22"/>
          <w:szCs w:val="22"/>
        </w:rPr>
      </w:pPr>
      <w:hyperlink w:anchor="_Toc109921717" w:history="1">
        <w:r w:rsidR="001B4E3C" w:rsidRPr="0033797E">
          <w:rPr>
            <w:rStyle w:val="Hyperlink"/>
          </w:rPr>
          <w:t>v.</w:t>
        </w:r>
        <w:r w:rsidR="001B4E3C">
          <w:rPr>
            <w:rFonts w:asciiTheme="minorHAnsi" w:eastAsiaTheme="minorEastAsia" w:hAnsiTheme="minorHAnsi"/>
            <w:iCs w:val="0"/>
            <w:sz w:val="22"/>
            <w:szCs w:val="22"/>
          </w:rPr>
          <w:tab/>
        </w:r>
        <w:r w:rsidR="001B4E3C" w:rsidRPr="0033797E">
          <w:rPr>
            <w:rStyle w:val="Hyperlink"/>
          </w:rPr>
          <w:t>Foreign Travel</w:t>
        </w:r>
        <w:r w:rsidR="001B4E3C">
          <w:rPr>
            <w:webHidden/>
          </w:rPr>
          <w:tab/>
        </w:r>
        <w:r w:rsidR="001B4E3C">
          <w:rPr>
            <w:webHidden/>
          </w:rPr>
          <w:fldChar w:fldCharType="begin"/>
        </w:r>
        <w:r w:rsidR="001B4E3C">
          <w:rPr>
            <w:webHidden/>
          </w:rPr>
          <w:instrText xml:space="preserve"> PAGEREF _Toc109921717 \h </w:instrText>
        </w:r>
        <w:r w:rsidR="001B4E3C">
          <w:rPr>
            <w:webHidden/>
          </w:rPr>
        </w:r>
        <w:r w:rsidR="001B4E3C">
          <w:rPr>
            <w:webHidden/>
          </w:rPr>
          <w:fldChar w:fldCharType="separate"/>
        </w:r>
        <w:r w:rsidR="00F7481E">
          <w:rPr>
            <w:webHidden/>
          </w:rPr>
          <w:t>86</w:t>
        </w:r>
        <w:r w:rsidR="001B4E3C">
          <w:rPr>
            <w:webHidden/>
          </w:rPr>
          <w:fldChar w:fldCharType="end"/>
        </w:r>
      </w:hyperlink>
    </w:p>
    <w:p w14:paraId="17952521" w14:textId="02802A4F" w:rsidR="001B4E3C" w:rsidRDefault="00E63DDA">
      <w:pPr>
        <w:pStyle w:val="TOC3"/>
        <w:rPr>
          <w:rFonts w:asciiTheme="minorHAnsi" w:eastAsiaTheme="minorEastAsia" w:hAnsiTheme="minorHAnsi"/>
          <w:iCs w:val="0"/>
          <w:sz w:val="22"/>
          <w:szCs w:val="22"/>
        </w:rPr>
      </w:pPr>
      <w:hyperlink w:anchor="_Toc109921718" w:history="1">
        <w:r w:rsidR="001B4E3C" w:rsidRPr="0033797E">
          <w:rPr>
            <w:rStyle w:val="Hyperlink"/>
          </w:rPr>
          <w:t>vi.</w:t>
        </w:r>
        <w:r w:rsidR="001B4E3C">
          <w:rPr>
            <w:rFonts w:asciiTheme="minorHAnsi" w:eastAsiaTheme="minorEastAsia" w:hAnsiTheme="minorHAnsi"/>
            <w:iCs w:val="0"/>
            <w:sz w:val="22"/>
            <w:szCs w:val="22"/>
          </w:rPr>
          <w:tab/>
        </w:r>
        <w:r w:rsidR="001B4E3C" w:rsidRPr="0033797E">
          <w:rPr>
            <w:rStyle w:val="Hyperlink"/>
          </w:rPr>
          <w:t>Equipment and Supplies</w:t>
        </w:r>
        <w:r w:rsidR="001B4E3C">
          <w:rPr>
            <w:webHidden/>
          </w:rPr>
          <w:tab/>
        </w:r>
        <w:r w:rsidR="001B4E3C">
          <w:rPr>
            <w:webHidden/>
          </w:rPr>
          <w:fldChar w:fldCharType="begin"/>
        </w:r>
        <w:r w:rsidR="001B4E3C">
          <w:rPr>
            <w:webHidden/>
          </w:rPr>
          <w:instrText xml:space="preserve"> PAGEREF _Toc109921718 \h </w:instrText>
        </w:r>
        <w:r w:rsidR="001B4E3C">
          <w:rPr>
            <w:webHidden/>
          </w:rPr>
        </w:r>
        <w:r w:rsidR="001B4E3C">
          <w:rPr>
            <w:webHidden/>
          </w:rPr>
          <w:fldChar w:fldCharType="separate"/>
        </w:r>
        <w:r w:rsidR="00F7481E">
          <w:rPr>
            <w:webHidden/>
          </w:rPr>
          <w:t>87</w:t>
        </w:r>
        <w:r w:rsidR="001B4E3C">
          <w:rPr>
            <w:webHidden/>
          </w:rPr>
          <w:fldChar w:fldCharType="end"/>
        </w:r>
      </w:hyperlink>
    </w:p>
    <w:p w14:paraId="4FBE32C9" w14:textId="5A8CFFFB" w:rsidR="001B4E3C" w:rsidRDefault="00E63DDA">
      <w:pPr>
        <w:pStyle w:val="TOC3"/>
        <w:rPr>
          <w:rFonts w:asciiTheme="minorHAnsi" w:eastAsiaTheme="minorEastAsia" w:hAnsiTheme="minorHAnsi"/>
          <w:iCs w:val="0"/>
          <w:sz w:val="22"/>
          <w:szCs w:val="22"/>
        </w:rPr>
      </w:pPr>
      <w:hyperlink w:anchor="_Toc109921719" w:history="1">
        <w:r w:rsidR="001B4E3C" w:rsidRPr="0033797E">
          <w:rPr>
            <w:rStyle w:val="Hyperlink"/>
          </w:rPr>
          <w:t>vii.</w:t>
        </w:r>
        <w:r w:rsidR="001B4E3C">
          <w:rPr>
            <w:rFonts w:asciiTheme="minorHAnsi" w:eastAsiaTheme="minorEastAsia" w:hAnsiTheme="minorHAnsi"/>
            <w:iCs w:val="0"/>
            <w:sz w:val="22"/>
            <w:szCs w:val="22"/>
          </w:rPr>
          <w:tab/>
        </w:r>
        <w:r w:rsidR="001B4E3C" w:rsidRPr="0033797E">
          <w:rPr>
            <w:rStyle w:val="Hyperlink"/>
          </w:rPr>
          <w:t>Buy America Requirements for Infrastructure Projects</w:t>
        </w:r>
        <w:r w:rsidR="001B4E3C">
          <w:rPr>
            <w:webHidden/>
          </w:rPr>
          <w:tab/>
        </w:r>
        <w:r w:rsidR="001B4E3C">
          <w:rPr>
            <w:webHidden/>
          </w:rPr>
          <w:fldChar w:fldCharType="begin"/>
        </w:r>
        <w:r w:rsidR="001B4E3C">
          <w:rPr>
            <w:webHidden/>
          </w:rPr>
          <w:instrText xml:space="preserve"> PAGEREF _Toc109921719 \h </w:instrText>
        </w:r>
        <w:r w:rsidR="001B4E3C">
          <w:rPr>
            <w:webHidden/>
          </w:rPr>
        </w:r>
        <w:r w:rsidR="001B4E3C">
          <w:rPr>
            <w:webHidden/>
          </w:rPr>
          <w:fldChar w:fldCharType="separate"/>
        </w:r>
        <w:r w:rsidR="00F7481E">
          <w:rPr>
            <w:webHidden/>
          </w:rPr>
          <w:t>87</w:t>
        </w:r>
        <w:r w:rsidR="001B4E3C">
          <w:rPr>
            <w:webHidden/>
          </w:rPr>
          <w:fldChar w:fldCharType="end"/>
        </w:r>
      </w:hyperlink>
    </w:p>
    <w:p w14:paraId="4EAF3404" w14:textId="3B210522" w:rsidR="001B4E3C" w:rsidRDefault="00E63DDA">
      <w:pPr>
        <w:pStyle w:val="TOC3"/>
        <w:rPr>
          <w:rFonts w:asciiTheme="minorHAnsi" w:eastAsiaTheme="minorEastAsia" w:hAnsiTheme="minorHAnsi"/>
          <w:iCs w:val="0"/>
          <w:sz w:val="22"/>
          <w:szCs w:val="22"/>
        </w:rPr>
      </w:pPr>
      <w:hyperlink w:anchor="_Toc109921720" w:history="1">
        <w:r w:rsidR="001B4E3C" w:rsidRPr="0033797E">
          <w:rPr>
            <w:rStyle w:val="Hyperlink"/>
          </w:rPr>
          <w:t>viii.</w:t>
        </w:r>
        <w:r w:rsidR="001B4E3C">
          <w:rPr>
            <w:rFonts w:asciiTheme="minorHAnsi" w:eastAsiaTheme="minorEastAsia" w:hAnsiTheme="minorHAnsi"/>
            <w:iCs w:val="0"/>
            <w:sz w:val="22"/>
            <w:szCs w:val="22"/>
          </w:rPr>
          <w:tab/>
        </w:r>
        <w:r w:rsidR="001B4E3C" w:rsidRPr="0033797E">
          <w:rPr>
            <w:rStyle w:val="Hyperlink"/>
          </w:rPr>
          <w:t>Davis-Bacon Act Requirements</w:t>
        </w:r>
        <w:r w:rsidR="001B4E3C">
          <w:rPr>
            <w:webHidden/>
          </w:rPr>
          <w:tab/>
        </w:r>
        <w:r w:rsidR="001B4E3C">
          <w:rPr>
            <w:webHidden/>
          </w:rPr>
          <w:fldChar w:fldCharType="begin"/>
        </w:r>
        <w:r w:rsidR="001B4E3C">
          <w:rPr>
            <w:webHidden/>
          </w:rPr>
          <w:instrText xml:space="preserve"> PAGEREF _Toc109921720 \h </w:instrText>
        </w:r>
        <w:r w:rsidR="001B4E3C">
          <w:rPr>
            <w:webHidden/>
          </w:rPr>
        </w:r>
        <w:r w:rsidR="001B4E3C">
          <w:rPr>
            <w:webHidden/>
          </w:rPr>
          <w:fldChar w:fldCharType="separate"/>
        </w:r>
        <w:r w:rsidR="00F7481E">
          <w:rPr>
            <w:webHidden/>
          </w:rPr>
          <w:t>87</w:t>
        </w:r>
        <w:r w:rsidR="001B4E3C">
          <w:rPr>
            <w:webHidden/>
          </w:rPr>
          <w:fldChar w:fldCharType="end"/>
        </w:r>
      </w:hyperlink>
    </w:p>
    <w:p w14:paraId="326B65FB" w14:textId="0D08335F" w:rsidR="001B4E3C" w:rsidRDefault="00E63DDA">
      <w:pPr>
        <w:pStyle w:val="TOC3"/>
        <w:rPr>
          <w:rFonts w:asciiTheme="minorHAnsi" w:eastAsiaTheme="minorEastAsia" w:hAnsiTheme="minorHAnsi"/>
          <w:iCs w:val="0"/>
          <w:sz w:val="22"/>
          <w:szCs w:val="22"/>
        </w:rPr>
      </w:pPr>
      <w:hyperlink w:anchor="_Toc109921721" w:history="1">
        <w:r w:rsidR="001B4E3C" w:rsidRPr="0033797E">
          <w:rPr>
            <w:rStyle w:val="Hyperlink"/>
          </w:rPr>
          <w:t>ix.</w:t>
        </w:r>
        <w:r w:rsidR="001B4E3C">
          <w:rPr>
            <w:rFonts w:asciiTheme="minorHAnsi" w:eastAsiaTheme="minorEastAsia" w:hAnsiTheme="minorHAnsi"/>
            <w:iCs w:val="0"/>
            <w:sz w:val="22"/>
            <w:szCs w:val="22"/>
          </w:rPr>
          <w:tab/>
        </w:r>
        <w:r w:rsidR="001B4E3C" w:rsidRPr="0033797E">
          <w:rPr>
            <w:rStyle w:val="Hyperlink"/>
          </w:rPr>
          <w:t>Lobbying</w:t>
        </w:r>
        <w:r w:rsidR="001B4E3C">
          <w:rPr>
            <w:webHidden/>
          </w:rPr>
          <w:tab/>
        </w:r>
        <w:r w:rsidR="001B4E3C">
          <w:rPr>
            <w:webHidden/>
          </w:rPr>
          <w:fldChar w:fldCharType="begin"/>
        </w:r>
        <w:r w:rsidR="001B4E3C">
          <w:rPr>
            <w:webHidden/>
          </w:rPr>
          <w:instrText xml:space="preserve"> PAGEREF _Toc109921721 \h </w:instrText>
        </w:r>
        <w:r w:rsidR="001B4E3C">
          <w:rPr>
            <w:webHidden/>
          </w:rPr>
        </w:r>
        <w:r w:rsidR="001B4E3C">
          <w:rPr>
            <w:webHidden/>
          </w:rPr>
          <w:fldChar w:fldCharType="separate"/>
        </w:r>
        <w:r w:rsidR="00F7481E">
          <w:rPr>
            <w:webHidden/>
          </w:rPr>
          <w:t>89</w:t>
        </w:r>
        <w:r w:rsidR="001B4E3C">
          <w:rPr>
            <w:webHidden/>
          </w:rPr>
          <w:fldChar w:fldCharType="end"/>
        </w:r>
      </w:hyperlink>
    </w:p>
    <w:p w14:paraId="5D341092" w14:textId="06427483" w:rsidR="001B4E3C" w:rsidRDefault="00E63DDA">
      <w:pPr>
        <w:pStyle w:val="TOC3"/>
        <w:rPr>
          <w:rFonts w:asciiTheme="minorHAnsi" w:eastAsiaTheme="minorEastAsia" w:hAnsiTheme="minorHAnsi"/>
          <w:iCs w:val="0"/>
          <w:sz w:val="22"/>
          <w:szCs w:val="22"/>
        </w:rPr>
      </w:pPr>
      <w:hyperlink w:anchor="_Toc109921722" w:history="1">
        <w:r w:rsidR="001B4E3C" w:rsidRPr="0033797E">
          <w:rPr>
            <w:rStyle w:val="Hyperlink"/>
          </w:rPr>
          <w:t>x.</w:t>
        </w:r>
        <w:r w:rsidR="001B4E3C">
          <w:rPr>
            <w:rFonts w:asciiTheme="minorHAnsi" w:eastAsiaTheme="minorEastAsia" w:hAnsiTheme="minorHAnsi"/>
            <w:iCs w:val="0"/>
            <w:sz w:val="22"/>
            <w:szCs w:val="22"/>
          </w:rPr>
          <w:tab/>
        </w:r>
        <w:r w:rsidR="001B4E3C" w:rsidRPr="0033797E">
          <w:rPr>
            <w:rStyle w:val="Hyperlink"/>
          </w:rPr>
          <w:t>Risk Assessment</w:t>
        </w:r>
        <w:r w:rsidR="001B4E3C">
          <w:rPr>
            <w:webHidden/>
          </w:rPr>
          <w:tab/>
        </w:r>
        <w:r w:rsidR="001B4E3C">
          <w:rPr>
            <w:webHidden/>
          </w:rPr>
          <w:fldChar w:fldCharType="begin"/>
        </w:r>
        <w:r w:rsidR="001B4E3C">
          <w:rPr>
            <w:webHidden/>
          </w:rPr>
          <w:instrText xml:space="preserve"> PAGEREF _Toc109921722 \h </w:instrText>
        </w:r>
        <w:r w:rsidR="001B4E3C">
          <w:rPr>
            <w:webHidden/>
          </w:rPr>
        </w:r>
        <w:r w:rsidR="001B4E3C">
          <w:rPr>
            <w:webHidden/>
          </w:rPr>
          <w:fldChar w:fldCharType="separate"/>
        </w:r>
        <w:r w:rsidR="00F7481E">
          <w:rPr>
            <w:webHidden/>
          </w:rPr>
          <w:t>90</w:t>
        </w:r>
        <w:r w:rsidR="001B4E3C">
          <w:rPr>
            <w:webHidden/>
          </w:rPr>
          <w:fldChar w:fldCharType="end"/>
        </w:r>
      </w:hyperlink>
    </w:p>
    <w:p w14:paraId="316C8855" w14:textId="47D6BD1B" w:rsidR="001B4E3C" w:rsidRDefault="00E63DDA">
      <w:pPr>
        <w:pStyle w:val="TOC3"/>
        <w:rPr>
          <w:rFonts w:asciiTheme="minorHAnsi" w:eastAsiaTheme="minorEastAsia" w:hAnsiTheme="minorHAnsi"/>
          <w:iCs w:val="0"/>
          <w:sz w:val="22"/>
          <w:szCs w:val="22"/>
        </w:rPr>
      </w:pPr>
      <w:hyperlink w:anchor="_Toc109921723" w:history="1">
        <w:r w:rsidR="001B4E3C" w:rsidRPr="0033797E">
          <w:rPr>
            <w:rStyle w:val="Hyperlink"/>
          </w:rPr>
          <w:t>xi.</w:t>
        </w:r>
        <w:r w:rsidR="001B4E3C">
          <w:rPr>
            <w:rFonts w:asciiTheme="minorHAnsi" w:eastAsiaTheme="minorEastAsia" w:hAnsiTheme="minorHAnsi"/>
            <w:iCs w:val="0"/>
            <w:sz w:val="22"/>
            <w:szCs w:val="22"/>
          </w:rPr>
          <w:tab/>
        </w:r>
        <w:r w:rsidR="001B4E3C" w:rsidRPr="0033797E">
          <w:rPr>
            <w:rStyle w:val="Hyperlink"/>
          </w:rPr>
          <w:t>Invoice Review and Approval</w:t>
        </w:r>
        <w:r w:rsidR="001B4E3C">
          <w:rPr>
            <w:webHidden/>
          </w:rPr>
          <w:tab/>
        </w:r>
        <w:r w:rsidR="001B4E3C">
          <w:rPr>
            <w:webHidden/>
          </w:rPr>
          <w:fldChar w:fldCharType="begin"/>
        </w:r>
        <w:r w:rsidR="001B4E3C">
          <w:rPr>
            <w:webHidden/>
          </w:rPr>
          <w:instrText xml:space="preserve"> PAGEREF _Toc109921723 \h </w:instrText>
        </w:r>
        <w:r w:rsidR="001B4E3C">
          <w:rPr>
            <w:webHidden/>
          </w:rPr>
        </w:r>
        <w:r w:rsidR="001B4E3C">
          <w:rPr>
            <w:webHidden/>
          </w:rPr>
          <w:fldChar w:fldCharType="separate"/>
        </w:r>
        <w:r w:rsidR="00F7481E">
          <w:rPr>
            <w:webHidden/>
          </w:rPr>
          <w:t>90</w:t>
        </w:r>
        <w:r w:rsidR="001B4E3C">
          <w:rPr>
            <w:webHidden/>
          </w:rPr>
          <w:fldChar w:fldCharType="end"/>
        </w:r>
      </w:hyperlink>
    </w:p>
    <w:p w14:paraId="2BB6EFCF" w14:textId="5D1F568A" w:rsidR="001B4E3C" w:rsidRDefault="00E63DDA">
      <w:pPr>
        <w:pStyle w:val="TOC3"/>
        <w:rPr>
          <w:rFonts w:asciiTheme="minorHAnsi" w:eastAsiaTheme="minorEastAsia" w:hAnsiTheme="minorHAnsi"/>
          <w:iCs w:val="0"/>
          <w:sz w:val="22"/>
          <w:szCs w:val="22"/>
        </w:rPr>
      </w:pPr>
      <w:hyperlink w:anchor="_Toc109921724" w:history="1">
        <w:r w:rsidR="001B4E3C" w:rsidRPr="0033797E">
          <w:rPr>
            <w:rStyle w:val="Hyperlink"/>
            <w:rFonts w:eastAsia="Calibri"/>
          </w:rPr>
          <w:t>xiii.</w:t>
        </w:r>
        <w:r w:rsidR="001B4E3C">
          <w:rPr>
            <w:rFonts w:asciiTheme="minorHAnsi" w:eastAsiaTheme="minorEastAsia" w:hAnsiTheme="minorHAnsi"/>
            <w:iCs w:val="0"/>
            <w:sz w:val="22"/>
            <w:szCs w:val="22"/>
          </w:rPr>
          <w:tab/>
        </w:r>
        <w:r w:rsidR="001B4E3C" w:rsidRPr="0033797E">
          <w:rPr>
            <w:rStyle w:val="Hyperlink"/>
            <w:rFonts w:eastAsia="Calibri"/>
          </w:rPr>
          <w:t>Affirmative Action and Pay Transparency Requirements</w:t>
        </w:r>
        <w:r w:rsidR="001B4E3C">
          <w:rPr>
            <w:webHidden/>
          </w:rPr>
          <w:tab/>
        </w:r>
        <w:r w:rsidR="001B4E3C">
          <w:rPr>
            <w:webHidden/>
          </w:rPr>
          <w:fldChar w:fldCharType="begin"/>
        </w:r>
        <w:r w:rsidR="001B4E3C">
          <w:rPr>
            <w:webHidden/>
          </w:rPr>
          <w:instrText xml:space="preserve"> PAGEREF _Toc109921724 \h </w:instrText>
        </w:r>
        <w:r w:rsidR="001B4E3C">
          <w:rPr>
            <w:webHidden/>
          </w:rPr>
        </w:r>
        <w:r w:rsidR="001B4E3C">
          <w:rPr>
            <w:webHidden/>
          </w:rPr>
          <w:fldChar w:fldCharType="separate"/>
        </w:r>
        <w:r w:rsidR="00F7481E">
          <w:rPr>
            <w:webHidden/>
          </w:rPr>
          <w:t>92</w:t>
        </w:r>
        <w:r w:rsidR="001B4E3C">
          <w:rPr>
            <w:webHidden/>
          </w:rPr>
          <w:fldChar w:fldCharType="end"/>
        </w:r>
      </w:hyperlink>
    </w:p>
    <w:p w14:paraId="241AA441" w14:textId="0060DDFB" w:rsidR="001B4E3C" w:rsidRDefault="00E63DDA">
      <w:pPr>
        <w:pStyle w:val="TOC1"/>
        <w:rPr>
          <w:rFonts w:eastAsiaTheme="minorEastAsia"/>
          <w:b w:val="0"/>
          <w:bCs w:val="0"/>
          <w:noProof/>
          <w:sz w:val="22"/>
          <w:szCs w:val="22"/>
        </w:rPr>
      </w:pPr>
      <w:hyperlink w:anchor="_Toc109921725" w:history="1">
        <w:r w:rsidR="001B4E3C" w:rsidRPr="0033797E">
          <w:rPr>
            <w:rStyle w:val="Hyperlink"/>
            <w:smallCaps/>
            <w:noProof/>
          </w:rPr>
          <w:t>V.</w:t>
        </w:r>
        <w:r w:rsidR="001B4E3C">
          <w:rPr>
            <w:rFonts w:eastAsiaTheme="minorEastAsia"/>
            <w:b w:val="0"/>
            <w:bCs w:val="0"/>
            <w:noProof/>
            <w:sz w:val="22"/>
            <w:szCs w:val="22"/>
          </w:rPr>
          <w:tab/>
        </w:r>
        <w:r w:rsidR="001B4E3C" w:rsidRPr="0033797E">
          <w:rPr>
            <w:rStyle w:val="Hyperlink"/>
            <w:noProof/>
          </w:rPr>
          <w:t>Application Review Information</w:t>
        </w:r>
        <w:r w:rsidR="001B4E3C">
          <w:rPr>
            <w:noProof/>
            <w:webHidden/>
          </w:rPr>
          <w:tab/>
        </w:r>
        <w:r w:rsidR="001B4E3C">
          <w:rPr>
            <w:noProof/>
            <w:webHidden/>
          </w:rPr>
          <w:fldChar w:fldCharType="begin"/>
        </w:r>
        <w:r w:rsidR="001B4E3C">
          <w:rPr>
            <w:noProof/>
            <w:webHidden/>
          </w:rPr>
          <w:instrText xml:space="preserve"> PAGEREF _Toc109921725 \h </w:instrText>
        </w:r>
        <w:r w:rsidR="001B4E3C">
          <w:rPr>
            <w:noProof/>
            <w:webHidden/>
          </w:rPr>
        </w:r>
        <w:r w:rsidR="001B4E3C">
          <w:rPr>
            <w:noProof/>
            <w:webHidden/>
          </w:rPr>
          <w:fldChar w:fldCharType="separate"/>
        </w:r>
        <w:r w:rsidR="00F7481E">
          <w:rPr>
            <w:noProof/>
            <w:webHidden/>
          </w:rPr>
          <w:t>93</w:t>
        </w:r>
        <w:r w:rsidR="001B4E3C">
          <w:rPr>
            <w:noProof/>
            <w:webHidden/>
          </w:rPr>
          <w:fldChar w:fldCharType="end"/>
        </w:r>
      </w:hyperlink>
    </w:p>
    <w:p w14:paraId="2D1C131A" w14:textId="675A5AE0" w:rsidR="001B4E3C" w:rsidRDefault="00E63DDA">
      <w:pPr>
        <w:pStyle w:val="TOC2"/>
        <w:rPr>
          <w:rFonts w:eastAsiaTheme="minorEastAsia"/>
          <w:noProof/>
          <w:sz w:val="22"/>
          <w:szCs w:val="22"/>
        </w:rPr>
      </w:pPr>
      <w:hyperlink w:anchor="_Toc109921726" w:history="1">
        <w:r w:rsidR="001B4E3C" w:rsidRPr="0033797E">
          <w:rPr>
            <w:rStyle w:val="Hyperlink"/>
            <w:smallCaps/>
            <w:noProof/>
          </w:rPr>
          <w:t>A.</w:t>
        </w:r>
        <w:r w:rsidR="001B4E3C">
          <w:rPr>
            <w:rFonts w:eastAsiaTheme="minorEastAsia"/>
            <w:noProof/>
            <w:sz w:val="22"/>
            <w:szCs w:val="22"/>
          </w:rPr>
          <w:tab/>
        </w:r>
        <w:r w:rsidR="001B4E3C" w:rsidRPr="0033797E">
          <w:rPr>
            <w:rStyle w:val="Hyperlink"/>
            <w:noProof/>
          </w:rPr>
          <w:t>Technical Review Criteria</w:t>
        </w:r>
        <w:r w:rsidR="001B4E3C">
          <w:rPr>
            <w:noProof/>
            <w:webHidden/>
          </w:rPr>
          <w:tab/>
        </w:r>
        <w:r w:rsidR="001B4E3C">
          <w:rPr>
            <w:noProof/>
            <w:webHidden/>
          </w:rPr>
          <w:fldChar w:fldCharType="begin"/>
        </w:r>
        <w:r w:rsidR="001B4E3C">
          <w:rPr>
            <w:noProof/>
            <w:webHidden/>
          </w:rPr>
          <w:instrText xml:space="preserve"> PAGEREF _Toc109921726 \h </w:instrText>
        </w:r>
        <w:r w:rsidR="001B4E3C">
          <w:rPr>
            <w:noProof/>
            <w:webHidden/>
          </w:rPr>
        </w:r>
        <w:r w:rsidR="001B4E3C">
          <w:rPr>
            <w:noProof/>
            <w:webHidden/>
          </w:rPr>
          <w:fldChar w:fldCharType="separate"/>
        </w:r>
        <w:r w:rsidR="00F7481E">
          <w:rPr>
            <w:noProof/>
            <w:webHidden/>
          </w:rPr>
          <w:t>93</w:t>
        </w:r>
        <w:r w:rsidR="001B4E3C">
          <w:rPr>
            <w:noProof/>
            <w:webHidden/>
          </w:rPr>
          <w:fldChar w:fldCharType="end"/>
        </w:r>
      </w:hyperlink>
    </w:p>
    <w:p w14:paraId="29159CD8" w14:textId="3A742AA1" w:rsidR="001B4E3C" w:rsidRDefault="00E63DDA">
      <w:pPr>
        <w:pStyle w:val="TOC3"/>
        <w:rPr>
          <w:rFonts w:asciiTheme="minorHAnsi" w:eastAsiaTheme="minorEastAsia" w:hAnsiTheme="minorHAnsi"/>
          <w:iCs w:val="0"/>
          <w:sz w:val="22"/>
          <w:szCs w:val="22"/>
        </w:rPr>
      </w:pPr>
      <w:hyperlink w:anchor="_Toc109921727" w:history="1">
        <w:r w:rsidR="001B4E3C" w:rsidRPr="0033797E">
          <w:rPr>
            <w:rStyle w:val="Hyperlink"/>
          </w:rPr>
          <w:t>i.</w:t>
        </w:r>
        <w:r w:rsidR="001B4E3C">
          <w:rPr>
            <w:rFonts w:asciiTheme="minorHAnsi" w:eastAsiaTheme="minorEastAsia" w:hAnsiTheme="minorHAnsi"/>
            <w:iCs w:val="0"/>
            <w:sz w:val="22"/>
            <w:szCs w:val="22"/>
          </w:rPr>
          <w:tab/>
        </w:r>
        <w:r w:rsidR="001B4E3C" w:rsidRPr="0033797E">
          <w:rPr>
            <w:rStyle w:val="Hyperlink"/>
          </w:rPr>
          <w:t>Concept Papers</w:t>
        </w:r>
        <w:r w:rsidR="001B4E3C">
          <w:rPr>
            <w:webHidden/>
          </w:rPr>
          <w:tab/>
        </w:r>
        <w:r w:rsidR="001B4E3C">
          <w:rPr>
            <w:webHidden/>
          </w:rPr>
          <w:fldChar w:fldCharType="begin"/>
        </w:r>
        <w:r w:rsidR="001B4E3C">
          <w:rPr>
            <w:webHidden/>
          </w:rPr>
          <w:instrText xml:space="preserve"> PAGEREF _Toc109921727 \h </w:instrText>
        </w:r>
        <w:r w:rsidR="001B4E3C">
          <w:rPr>
            <w:webHidden/>
          </w:rPr>
        </w:r>
        <w:r w:rsidR="001B4E3C">
          <w:rPr>
            <w:webHidden/>
          </w:rPr>
          <w:fldChar w:fldCharType="separate"/>
        </w:r>
        <w:r w:rsidR="00F7481E">
          <w:rPr>
            <w:webHidden/>
          </w:rPr>
          <w:t>93</w:t>
        </w:r>
        <w:r w:rsidR="001B4E3C">
          <w:rPr>
            <w:webHidden/>
          </w:rPr>
          <w:fldChar w:fldCharType="end"/>
        </w:r>
      </w:hyperlink>
    </w:p>
    <w:p w14:paraId="3D2EE07D" w14:textId="25B19E96" w:rsidR="001B4E3C" w:rsidRDefault="00E63DDA">
      <w:pPr>
        <w:pStyle w:val="TOC3"/>
        <w:rPr>
          <w:rFonts w:asciiTheme="minorHAnsi" w:eastAsiaTheme="minorEastAsia" w:hAnsiTheme="minorHAnsi"/>
          <w:iCs w:val="0"/>
          <w:sz w:val="22"/>
          <w:szCs w:val="22"/>
        </w:rPr>
      </w:pPr>
      <w:hyperlink w:anchor="_Toc109921728" w:history="1">
        <w:r w:rsidR="001B4E3C" w:rsidRPr="0033797E">
          <w:rPr>
            <w:rStyle w:val="Hyperlink"/>
          </w:rPr>
          <w:t>ii.</w:t>
        </w:r>
        <w:r w:rsidR="001B4E3C">
          <w:rPr>
            <w:rFonts w:asciiTheme="minorHAnsi" w:eastAsiaTheme="minorEastAsia" w:hAnsiTheme="minorHAnsi"/>
            <w:iCs w:val="0"/>
            <w:sz w:val="22"/>
            <w:szCs w:val="22"/>
          </w:rPr>
          <w:tab/>
        </w:r>
        <w:r w:rsidR="001B4E3C" w:rsidRPr="0033797E">
          <w:rPr>
            <w:rStyle w:val="Hyperlink"/>
          </w:rPr>
          <w:t>Full Applications</w:t>
        </w:r>
        <w:r w:rsidR="001B4E3C">
          <w:rPr>
            <w:webHidden/>
          </w:rPr>
          <w:tab/>
        </w:r>
        <w:r w:rsidR="001B4E3C">
          <w:rPr>
            <w:webHidden/>
          </w:rPr>
          <w:fldChar w:fldCharType="begin"/>
        </w:r>
        <w:r w:rsidR="001B4E3C">
          <w:rPr>
            <w:webHidden/>
          </w:rPr>
          <w:instrText xml:space="preserve"> PAGEREF _Toc109921728 \h </w:instrText>
        </w:r>
        <w:r w:rsidR="001B4E3C">
          <w:rPr>
            <w:webHidden/>
          </w:rPr>
        </w:r>
        <w:r w:rsidR="001B4E3C">
          <w:rPr>
            <w:webHidden/>
          </w:rPr>
          <w:fldChar w:fldCharType="separate"/>
        </w:r>
        <w:r w:rsidR="00F7481E">
          <w:rPr>
            <w:webHidden/>
          </w:rPr>
          <w:t>93</w:t>
        </w:r>
        <w:r w:rsidR="001B4E3C">
          <w:rPr>
            <w:webHidden/>
          </w:rPr>
          <w:fldChar w:fldCharType="end"/>
        </w:r>
      </w:hyperlink>
    </w:p>
    <w:p w14:paraId="4A66E2F7" w14:textId="1E0C502C" w:rsidR="001B4E3C" w:rsidRDefault="00E63DDA">
      <w:pPr>
        <w:pStyle w:val="TOC3"/>
        <w:rPr>
          <w:rFonts w:asciiTheme="minorHAnsi" w:eastAsiaTheme="minorEastAsia" w:hAnsiTheme="minorHAnsi"/>
          <w:iCs w:val="0"/>
          <w:sz w:val="22"/>
          <w:szCs w:val="22"/>
        </w:rPr>
      </w:pPr>
      <w:hyperlink w:anchor="_Toc109921729" w:history="1">
        <w:r w:rsidR="001B4E3C" w:rsidRPr="0033797E">
          <w:rPr>
            <w:rStyle w:val="Hyperlink"/>
          </w:rPr>
          <w:t>iii.</w:t>
        </w:r>
        <w:r w:rsidR="001B4E3C">
          <w:rPr>
            <w:rFonts w:asciiTheme="minorHAnsi" w:eastAsiaTheme="minorEastAsia" w:hAnsiTheme="minorHAnsi"/>
            <w:iCs w:val="0"/>
            <w:sz w:val="22"/>
            <w:szCs w:val="22"/>
          </w:rPr>
          <w:tab/>
        </w:r>
        <w:r w:rsidR="001B4E3C" w:rsidRPr="0033797E">
          <w:rPr>
            <w:rStyle w:val="Hyperlink"/>
          </w:rPr>
          <w:t>Criteria for Replies to Reviewer Comments</w:t>
        </w:r>
        <w:r w:rsidR="001B4E3C">
          <w:rPr>
            <w:webHidden/>
          </w:rPr>
          <w:tab/>
        </w:r>
        <w:r w:rsidR="001B4E3C">
          <w:rPr>
            <w:webHidden/>
          </w:rPr>
          <w:fldChar w:fldCharType="begin"/>
        </w:r>
        <w:r w:rsidR="001B4E3C">
          <w:rPr>
            <w:webHidden/>
          </w:rPr>
          <w:instrText xml:space="preserve"> PAGEREF _Toc109921729 \h </w:instrText>
        </w:r>
        <w:r w:rsidR="001B4E3C">
          <w:rPr>
            <w:webHidden/>
          </w:rPr>
        </w:r>
        <w:r w:rsidR="001B4E3C">
          <w:rPr>
            <w:webHidden/>
          </w:rPr>
          <w:fldChar w:fldCharType="separate"/>
        </w:r>
        <w:r w:rsidR="00F7481E">
          <w:rPr>
            <w:webHidden/>
          </w:rPr>
          <w:t>96</w:t>
        </w:r>
        <w:r w:rsidR="001B4E3C">
          <w:rPr>
            <w:webHidden/>
          </w:rPr>
          <w:fldChar w:fldCharType="end"/>
        </w:r>
      </w:hyperlink>
    </w:p>
    <w:p w14:paraId="681E097A" w14:textId="58F5794C" w:rsidR="001B4E3C" w:rsidRDefault="00E63DDA">
      <w:pPr>
        <w:pStyle w:val="TOC2"/>
        <w:rPr>
          <w:rFonts w:eastAsiaTheme="minorEastAsia"/>
          <w:noProof/>
          <w:sz w:val="22"/>
          <w:szCs w:val="22"/>
        </w:rPr>
      </w:pPr>
      <w:hyperlink w:anchor="_Toc109921730" w:history="1">
        <w:r w:rsidR="001B4E3C" w:rsidRPr="0033797E">
          <w:rPr>
            <w:rStyle w:val="Hyperlink"/>
            <w:smallCaps/>
            <w:noProof/>
          </w:rPr>
          <w:t>B.</w:t>
        </w:r>
        <w:r w:rsidR="001B4E3C">
          <w:rPr>
            <w:rFonts w:eastAsiaTheme="minorEastAsia"/>
            <w:noProof/>
            <w:sz w:val="22"/>
            <w:szCs w:val="22"/>
          </w:rPr>
          <w:tab/>
        </w:r>
        <w:r w:rsidR="001B4E3C" w:rsidRPr="0033797E">
          <w:rPr>
            <w:rStyle w:val="Hyperlink"/>
            <w:noProof/>
          </w:rPr>
          <w:t>Standards for Application Evaluation</w:t>
        </w:r>
        <w:r w:rsidR="001B4E3C">
          <w:rPr>
            <w:noProof/>
            <w:webHidden/>
          </w:rPr>
          <w:tab/>
        </w:r>
        <w:r w:rsidR="001B4E3C">
          <w:rPr>
            <w:noProof/>
            <w:webHidden/>
          </w:rPr>
          <w:fldChar w:fldCharType="begin"/>
        </w:r>
        <w:r w:rsidR="001B4E3C">
          <w:rPr>
            <w:noProof/>
            <w:webHidden/>
          </w:rPr>
          <w:instrText xml:space="preserve"> PAGEREF _Toc109921730 \h </w:instrText>
        </w:r>
        <w:r w:rsidR="001B4E3C">
          <w:rPr>
            <w:noProof/>
            <w:webHidden/>
          </w:rPr>
        </w:r>
        <w:r w:rsidR="001B4E3C">
          <w:rPr>
            <w:noProof/>
            <w:webHidden/>
          </w:rPr>
          <w:fldChar w:fldCharType="separate"/>
        </w:r>
        <w:r w:rsidR="00F7481E">
          <w:rPr>
            <w:noProof/>
            <w:webHidden/>
          </w:rPr>
          <w:t>96</w:t>
        </w:r>
        <w:r w:rsidR="001B4E3C">
          <w:rPr>
            <w:noProof/>
            <w:webHidden/>
          </w:rPr>
          <w:fldChar w:fldCharType="end"/>
        </w:r>
      </w:hyperlink>
    </w:p>
    <w:p w14:paraId="635E6ECD" w14:textId="45825CF3" w:rsidR="001B4E3C" w:rsidRDefault="00E63DDA">
      <w:pPr>
        <w:pStyle w:val="TOC2"/>
        <w:rPr>
          <w:rFonts w:eastAsiaTheme="minorEastAsia"/>
          <w:noProof/>
          <w:sz w:val="22"/>
          <w:szCs w:val="22"/>
        </w:rPr>
      </w:pPr>
      <w:hyperlink w:anchor="_Toc109921731" w:history="1">
        <w:r w:rsidR="001B4E3C" w:rsidRPr="0033797E">
          <w:rPr>
            <w:rStyle w:val="Hyperlink"/>
            <w:smallCaps/>
            <w:noProof/>
          </w:rPr>
          <w:t>C.</w:t>
        </w:r>
        <w:r w:rsidR="001B4E3C">
          <w:rPr>
            <w:rFonts w:eastAsiaTheme="minorEastAsia"/>
            <w:noProof/>
            <w:sz w:val="22"/>
            <w:szCs w:val="22"/>
          </w:rPr>
          <w:tab/>
        </w:r>
        <w:r w:rsidR="001B4E3C" w:rsidRPr="0033797E">
          <w:rPr>
            <w:rStyle w:val="Hyperlink"/>
            <w:noProof/>
          </w:rPr>
          <w:t>Other Selection Factors</w:t>
        </w:r>
        <w:r w:rsidR="001B4E3C">
          <w:rPr>
            <w:noProof/>
            <w:webHidden/>
          </w:rPr>
          <w:tab/>
        </w:r>
        <w:r w:rsidR="001B4E3C">
          <w:rPr>
            <w:noProof/>
            <w:webHidden/>
          </w:rPr>
          <w:fldChar w:fldCharType="begin"/>
        </w:r>
        <w:r w:rsidR="001B4E3C">
          <w:rPr>
            <w:noProof/>
            <w:webHidden/>
          </w:rPr>
          <w:instrText xml:space="preserve"> PAGEREF _Toc109921731 \h </w:instrText>
        </w:r>
        <w:r w:rsidR="001B4E3C">
          <w:rPr>
            <w:noProof/>
            <w:webHidden/>
          </w:rPr>
        </w:r>
        <w:r w:rsidR="001B4E3C">
          <w:rPr>
            <w:noProof/>
            <w:webHidden/>
          </w:rPr>
          <w:fldChar w:fldCharType="separate"/>
        </w:r>
        <w:r w:rsidR="00F7481E">
          <w:rPr>
            <w:noProof/>
            <w:webHidden/>
          </w:rPr>
          <w:t>96</w:t>
        </w:r>
        <w:r w:rsidR="001B4E3C">
          <w:rPr>
            <w:noProof/>
            <w:webHidden/>
          </w:rPr>
          <w:fldChar w:fldCharType="end"/>
        </w:r>
      </w:hyperlink>
    </w:p>
    <w:p w14:paraId="38CD9460" w14:textId="60BD5D4B" w:rsidR="001B4E3C" w:rsidRDefault="00E63DDA">
      <w:pPr>
        <w:pStyle w:val="TOC3"/>
        <w:rPr>
          <w:rFonts w:asciiTheme="minorHAnsi" w:eastAsiaTheme="minorEastAsia" w:hAnsiTheme="minorHAnsi"/>
          <w:iCs w:val="0"/>
          <w:sz w:val="22"/>
          <w:szCs w:val="22"/>
        </w:rPr>
      </w:pPr>
      <w:hyperlink w:anchor="_Toc109921732" w:history="1">
        <w:r w:rsidR="001B4E3C" w:rsidRPr="0033797E">
          <w:rPr>
            <w:rStyle w:val="Hyperlink"/>
          </w:rPr>
          <w:t>i.</w:t>
        </w:r>
        <w:r w:rsidR="001B4E3C">
          <w:rPr>
            <w:rFonts w:asciiTheme="minorHAnsi" w:eastAsiaTheme="minorEastAsia" w:hAnsiTheme="minorHAnsi"/>
            <w:iCs w:val="0"/>
            <w:sz w:val="22"/>
            <w:szCs w:val="22"/>
          </w:rPr>
          <w:tab/>
        </w:r>
        <w:r w:rsidR="001B4E3C" w:rsidRPr="0033797E">
          <w:rPr>
            <w:rStyle w:val="Hyperlink"/>
          </w:rPr>
          <w:t>Program Policy Factors</w:t>
        </w:r>
        <w:r w:rsidR="001B4E3C">
          <w:rPr>
            <w:webHidden/>
          </w:rPr>
          <w:tab/>
        </w:r>
        <w:r w:rsidR="001B4E3C">
          <w:rPr>
            <w:webHidden/>
          </w:rPr>
          <w:fldChar w:fldCharType="begin"/>
        </w:r>
        <w:r w:rsidR="001B4E3C">
          <w:rPr>
            <w:webHidden/>
          </w:rPr>
          <w:instrText xml:space="preserve"> PAGEREF _Toc109921732 \h </w:instrText>
        </w:r>
        <w:r w:rsidR="001B4E3C">
          <w:rPr>
            <w:webHidden/>
          </w:rPr>
        </w:r>
        <w:r w:rsidR="001B4E3C">
          <w:rPr>
            <w:webHidden/>
          </w:rPr>
          <w:fldChar w:fldCharType="separate"/>
        </w:r>
        <w:r w:rsidR="00F7481E">
          <w:rPr>
            <w:webHidden/>
          </w:rPr>
          <w:t>96</w:t>
        </w:r>
        <w:r w:rsidR="001B4E3C">
          <w:rPr>
            <w:webHidden/>
          </w:rPr>
          <w:fldChar w:fldCharType="end"/>
        </w:r>
      </w:hyperlink>
    </w:p>
    <w:p w14:paraId="41C201EA" w14:textId="20C4C568" w:rsidR="001B4E3C" w:rsidRDefault="00E63DDA">
      <w:pPr>
        <w:pStyle w:val="TOC2"/>
        <w:rPr>
          <w:rFonts w:eastAsiaTheme="minorEastAsia"/>
          <w:noProof/>
          <w:sz w:val="22"/>
          <w:szCs w:val="22"/>
        </w:rPr>
      </w:pPr>
      <w:hyperlink w:anchor="_Toc109921733" w:history="1">
        <w:r w:rsidR="001B4E3C" w:rsidRPr="0033797E">
          <w:rPr>
            <w:rStyle w:val="Hyperlink"/>
            <w:smallCaps/>
            <w:noProof/>
          </w:rPr>
          <w:t>D.</w:t>
        </w:r>
        <w:r w:rsidR="001B4E3C">
          <w:rPr>
            <w:rFonts w:eastAsiaTheme="minorEastAsia"/>
            <w:noProof/>
            <w:sz w:val="22"/>
            <w:szCs w:val="22"/>
          </w:rPr>
          <w:tab/>
        </w:r>
        <w:r w:rsidR="001B4E3C" w:rsidRPr="0033797E">
          <w:rPr>
            <w:rStyle w:val="Hyperlink"/>
            <w:noProof/>
          </w:rPr>
          <w:t>Evaluation and Selection Process</w:t>
        </w:r>
        <w:r w:rsidR="001B4E3C">
          <w:rPr>
            <w:noProof/>
            <w:webHidden/>
          </w:rPr>
          <w:tab/>
        </w:r>
        <w:r w:rsidR="001B4E3C">
          <w:rPr>
            <w:noProof/>
            <w:webHidden/>
          </w:rPr>
          <w:fldChar w:fldCharType="begin"/>
        </w:r>
        <w:r w:rsidR="001B4E3C">
          <w:rPr>
            <w:noProof/>
            <w:webHidden/>
          </w:rPr>
          <w:instrText xml:space="preserve"> PAGEREF _Toc109921733 \h </w:instrText>
        </w:r>
        <w:r w:rsidR="001B4E3C">
          <w:rPr>
            <w:noProof/>
            <w:webHidden/>
          </w:rPr>
        </w:r>
        <w:r w:rsidR="001B4E3C">
          <w:rPr>
            <w:noProof/>
            <w:webHidden/>
          </w:rPr>
          <w:fldChar w:fldCharType="separate"/>
        </w:r>
        <w:r w:rsidR="00F7481E">
          <w:rPr>
            <w:noProof/>
            <w:webHidden/>
          </w:rPr>
          <w:t>98</w:t>
        </w:r>
        <w:r w:rsidR="001B4E3C">
          <w:rPr>
            <w:noProof/>
            <w:webHidden/>
          </w:rPr>
          <w:fldChar w:fldCharType="end"/>
        </w:r>
      </w:hyperlink>
    </w:p>
    <w:p w14:paraId="4AD03C15" w14:textId="5CB5EDE9" w:rsidR="001B4E3C" w:rsidRDefault="00E63DDA">
      <w:pPr>
        <w:pStyle w:val="TOC3"/>
        <w:rPr>
          <w:rFonts w:asciiTheme="minorHAnsi" w:eastAsiaTheme="minorEastAsia" w:hAnsiTheme="minorHAnsi"/>
          <w:iCs w:val="0"/>
          <w:sz w:val="22"/>
          <w:szCs w:val="22"/>
        </w:rPr>
      </w:pPr>
      <w:hyperlink w:anchor="_Toc109921734" w:history="1">
        <w:r w:rsidR="001B4E3C" w:rsidRPr="0033797E">
          <w:rPr>
            <w:rStyle w:val="Hyperlink"/>
          </w:rPr>
          <w:t>i.</w:t>
        </w:r>
        <w:r w:rsidR="001B4E3C">
          <w:rPr>
            <w:rFonts w:asciiTheme="minorHAnsi" w:eastAsiaTheme="minorEastAsia" w:hAnsiTheme="minorHAnsi"/>
            <w:iCs w:val="0"/>
            <w:sz w:val="22"/>
            <w:szCs w:val="22"/>
          </w:rPr>
          <w:tab/>
        </w:r>
        <w:r w:rsidR="001B4E3C" w:rsidRPr="0033797E">
          <w:rPr>
            <w:rStyle w:val="Hyperlink"/>
          </w:rPr>
          <w:t>Overview</w:t>
        </w:r>
        <w:r w:rsidR="001B4E3C">
          <w:rPr>
            <w:webHidden/>
          </w:rPr>
          <w:tab/>
        </w:r>
        <w:r w:rsidR="001B4E3C">
          <w:rPr>
            <w:webHidden/>
          </w:rPr>
          <w:fldChar w:fldCharType="begin"/>
        </w:r>
        <w:r w:rsidR="001B4E3C">
          <w:rPr>
            <w:webHidden/>
          </w:rPr>
          <w:instrText xml:space="preserve"> PAGEREF _Toc109921734 \h </w:instrText>
        </w:r>
        <w:r w:rsidR="001B4E3C">
          <w:rPr>
            <w:webHidden/>
          </w:rPr>
        </w:r>
        <w:r w:rsidR="001B4E3C">
          <w:rPr>
            <w:webHidden/>
          </w:rPr>
          <w:fldChar w:fldCharType="separate"/>
        </w:r>
        <w:r w:rsidR="00F7481E">
          <w:rPr>
            <w:webHidden/>
          </w:rPr>
          <w:t>98</w:t>
        </w:r>
        <w:r w:rsidR="001B4E3C">
          <w:rPr>
            <w:webHidden/>
          </w:rPr>
          <w:fldChar w:fldCharType="end"/>
        </w:r>
      </w:hyperlink>
    </w:p>
    <w:p w14:paraId="319DD5CF" w14:textId="327AF836" w:rsidR="001B4E3C" w:rsidRDefault="00E63DDA">
      <w:pPr>
        <w:pStyle w:val="TOC3"/>
        <w:rPr>
          <w:rFonts w:asciiTheme="minorHAnsi" w:eastAsiaTheme="minorEastAsia" w:hAnsiTheme="minorHAnsi"/>
          <w:iCs w:val="0"/>
          <w:sz w:val="22"/>
          <w:szCs w:val="22"/>
        </w:rPr>
      </w:pPr>
      <w:hyperlink w:anchor="_Toc109921735" w:history="1">
        <w:r w:rsidR="001B4E3C" w:rsidRPr="0033797E">
          <w:rPr>
            <w:rStyle w:val="Hyperlink"/>
          </w:rPr>
          <w:t>ii.</w:t>
        </w:r>
        <w:r w:rsidR="001B4E3C">
          <w:rPr>
            <w:rFonts w:asciiTheme="minorHAnsi" w:eastAsiaTheme="minorEastAsia" w:hAnsiTheme="minorHAnsi"/>
            <w:iCs w:val="0"/>
            <w:sz w:val="22"/>
            <w:szCs w:val="22"/>
          </w:rPr>
          <w:tab/>
        </w:r>
        <w:r w:rsidR="001B4E3C" w:rsidRPr="0033797E">
          <w:rPr>
            <w:rStyle w:val="Hyperlink"/>
          </w:rPr>
          <w:t>Pre-Selection Interviews</w:t>
        </w:r>
        <w:r w:rsidR="001B4E3C">
          <w:rPr>
            <w:webHidden/>
          </w:rPr>
          <w:tab/>
        </w:r>
        <w:r w:rsidR="001B4E3C">
          <w:rPr>
            <w:webHidden/>
          </w:rPr>
          <w:fldChar w:fldCharType="begin"/>
        </w:r>
        <w:r w:rsidR="001B4E3C">
          <w:rPr>
            <w:webHidden/>
          </w:rPr>
          <w:instrText xml:space="preserve"> PAGEREF _Toc109921735 \h </w:instrText>
        </w:r>
        <w:r w:rsidR="001B4E3C">
          <w:rPr>
            <w:webHidden/>
          </w:rPr>
        </w:r>
        <w:r w:rsidR="001B4E3C">
          <w:rPr>
            <w:webHidden/>
          </w:rPr>
          <w:fldChar w:fldCharType="separate"/>
        </w:r>
        <w:r w:rsidR="00F7481E">
          <w:rPr>
            <w:webHidden/>
          </w:rPr>
          <w:t>98</w:t>
        </w:r>
        <w:r w:rsidR="001B4E3C">
          <w:rPr>
            <w:webHidden/>
          </w:rPr>
          <w:fldChar w:fldCharType="end"/>
        </w:r>
      </w:hyperlink>
    </w:p>
    <w:p w14:paraId="0F203A6C" w14:textId="5D7002D1" w:rsidR="001B4E3C" w:rsidRDefault="00E63DDA">
      <w:pPr>
        <w:pStyle w:val="TOC3"/>
        <w:rPr>
          <w:rFonts w:asciiTheme="minorHAnsi" w:eastAsiaTheme="minorEastAsia" w:hAnsiTheme="minorHAnsi"/>
          <w:iCs w:val="0"/>
          <w:sz w:val="22"/>
          <w:szCs w:val="22"/>
        </w:rPr>
      </w:pPr>
      <w:hyperlink w:anchor="_Toc109921736" w:history="1">
        <w:r w:rsidR="001B4E3C" w:rsidRPr="0033797E">
          <w:rPr>
            <w:rStyle w:val="Hyperlink"/>
          </w:rPr>
          <w:t>iii.</w:t>
        </w:r>
        <w:r w:rsidR="001B4E3C">
          <w:rPr>
            <w:rFonts w:asciiTheme="minorHAnsi" w:eastAsiaTheme="minorEastAsia" w:hAnsiTheme="minorHAnsi"/>
            <w:iCs w:val="0"/>
            <w:sz w:val="22"/>
            <w:szCs w:val="22"/>
          </w:rPr>
          <w:tab/>
        </w:r>
        <w:r w:rsidR="001B4E3C" w:rsidRPr="0033797E">
          <w:rPr>
            <w:rStyle w:val="Hyperlink"/>
          </w:rPr>
          <w:t>Pre-Selection Clarification</w:t>
        </w:r>
        <w:r w:rsidR="001B4E3C">
          <w:rPr>
            <w:webHidden/>
          </w:rPr>
          <w:tab/>
        </w:r>
        <w:r w:rsidR="001B4E3C">
          <w:rPr>
            <w:webHidden/>
          </w:rPr>
          <w:fldChar w:fldCharType="begin"/>
        </w:r>
        <w:r w:rsidR="001B4E3C">
          <w:rPr>
            <w:webHidden/>
          </w:rPr>
          <w:instrText xml:space="preserve"> PAGEREF _Toc109921736 \h </w:instrText>
        </w:r>
        <w:r w:rsidR="001B4E3C">
          <w:rPr>
            <w:webHidden/>
          </w:rPr>
        </w:r>
        <w:r w:rsidR="001B4E3C">
          <w:rPr>
            <w:webHidden/>
          </w:rPr>
          <w:fldChar w:fldCharType="separate"/>
        </w:r>
        <w:r w:rsidR="00F7481E">
          <w:rPr>
            <w:webHidden/>
          </w:rPr>
          <w:t>99</w:t>
        </w:r>
        <w:r w:rsidR="001B4E3C">
          <w:rPr>
            <w:webHidden/>
          </w:rPr>
          <w:fldChar w:fldCharType="end"/>
        </w:r>
      </w:hyperlink>
    </w:p>
    <w:p w14:paraId="626DFB01" w14:textId="50D39067" w:rsidR="001B4E3C" w:rsidRDefault="00E63DDA">
      <w:pPr>
        <w:pStyle w:val="TOC3"/>
        <w:rPr>
          <w:rFonts w:asciiTheme="minorHAnsi" w:eastAsiaTheme="minorEastAsia" w:hAnsiTheme="minorHAnsi"/>
          <w:iCs w:val="0"/>
          <w:sz w:val="22"/>
          <w:szCs w:val="22"/>
        </w:rPr>
      </w:pPr>
      <w:hyperlink w:anchor="_Toc109921737" w:history="1">
        <w:r w:rsidR="001B4E3C" w:rsidRPr="0033797E">
          <w:rPr>
            <w:rStyle w:val="Hyperlink"/>
          </w:rPr>
          <w:t>iv.</w:t>
        </w:r>
        <w:r w:rsidR="001B4E3C">
          <w:rPr>
            <w:rFonts w:asciiTheme="minorHAnsi" w:eastAsiaTheme="minorEastAsia" w:hAnsiTheme="minorHAnsi"/>
            <w:iCs w:val="0"/>
            <w:sz w:val="22"/>
            <w:szCs w:val="22"/>
          </w:rPr>
          <w:tab/>
        </w:r>
        <w:r w:rsidR="001B4E3C" w:rsidRPr="0033797E">
          <w:rPr>
            <w:rStyle w:val="Hyperlink"/>
          </w:rPr>
          <w:t>Recipient Integrity and Performance Matters</w:t>
        </w:r>
        <w:r w:rsidR="001B4E3C">
          <w:rPr>
            <w:webHidden/>
          </w:rPr>
          <w:tab/>
        </w:r>
        <w:r w:rsidR="001B4E3C">
          <w:rPr>
            <w:webHidden/>
          </w:rPr>
          <w:fldChar w:fldCharType="begin"/>
        </w:r>
        <w:r w:rsidR="001B4E3C">
          <w:rPr>
            <w:webHidden/>
          </w:rPr>
          <w:instrText xml:space="preserve"> PAGEREF _Toc109921737 \h </w:instrText>
        </w:r>
        <w:r w:rsidR="001B4E3C">
          <w:rPr>
            <w:webHidden/>
          </w:rPr>
        </w:r>
        <w:r w:rsidR="001B4E3C">
          <w:rPr>
            <w:webHidden/>
          </w:rPr>
          <w:fldChar w:fldCharType="separate"/>
        </w:r>
        <w:r w:rsidR="00F7481E">
          <w:rPr>
            <w:webHidden/>
          </w:rPr>
          <w:t>99</w:t>
        </w:r>
        <w:r w:rsidR="001B4E3C">
          <w:rPr>
            <w:webHidden/>
          </w:rPr>
          <w:fldChar w:fldCharType="end"/>
        </w:r>
      </w:hyperlink>
    </w:p>
    <w:p w14:paraId="304330ED" w14:textId="73FAB1C6" w:rsidR="001B4E3C" w:rsidRDefault="00E63DDA">
      <w:pPr>
        <w:pStyle w:val="TOC3"/>
        <w:rPr>
          <w:rFonts w:asciiTheme="minorHAnsi" w:eastAsiaTheme="minorEastAsia" w:hAnsiTheme="minorHAnsi"/>
          <w:iCs w:val="0"/>
          <w:sz w:val="22"/>
          <w:szCs w:val="22"/>
        </w:rPr>
      </w:pPr>
      <w:hyperlink w:anchor="_Toc109921738" w:history="1">
        <w:r w:rsidR="001B4E3C" w:rsidRPr="0033797E">
          <w:rPr>
            <w:rStyle w:val="Hyperlink"/>
          </w:rPr>
          <w:t>v.</w:t>
        </w:r>
        <w:r w:rsidR="001B4E3C">
          <w:rPr>
            <w:rFonts w:asciiTheme="minorHAnsi" w:eastAsiaTheme="minorEastAsia" w:hAnsiTheme="minorHAnsi"/>
            <w:iCs w:val="0"/>
            <w:sz w:val="22"/>
            <w:szCs w:val="22"/>
          </w:rPr>
          <w:tab/>
        </w:r>
        <w:r w:rsidR="001B4E3C" w:rsidRPr="0033797E">
          <w:rPr>
            <w:rStyle w:val="Hyperlink"/>
          </w:rPr>
          <w:t>Selection</w:t>
        </w:r>
        <w:r w:rsidR="001B4E3C">
          <w:rPr>
            <w:webHidden/>
          </w:rPr>
          <w:tab/>
        </w:r>
        <w:r w:rsidR="001B4E3C">
          <w:rPr>
            <w:webHidden/>
          </w:rPr>
          <w:fldChar w:fldCharType="begin"/>
        </w:r>
        <w:r w:rsidR="001B4E3C">
          <w:rPr>
            <w:webHidden/>
          </w:rPr>
          <w:instrText xml:space="preserve"> PAGEREF _Toc109921738 \h </w:instrText>
        </w:r>
        <w:r w:rsidR="001B4E3C">
          <w:rPr>
            <w:webHidden/>
          </w:rPr>
        </w:r>
        <w:r w:rsidR="001B4E3C">
          <w:rPr>
            <w:webHidden/>
          </w:rPr>
          <w:fldChar w:fldCharType="separate"/>
        </w:r>
        <w:r w:rsidR="00F7481E">
          <w:rPr>
            <w:webHidden/>
          </w:rPr>
          <w:t>100</w:t>
        </w:r>
        <w:r w:rsidR="001B4E3C">
          <w:rPr>
            <w:webHidden/>
          </w:rPr>
          <w:fldChar w:fldCharType="end"/>
        </w:r>
      </w:hyperlink>
    </w:p>
    <w:p w14:paraId="1CB8CC97" w14:textId="366AABDB" w:rsidR="001B4E3C" w:rsidRDefault="00E63DDA">
      <w:pPr>
        <w:pStyle w:val="TOC2"/>
        <w:rPr>
          <w:rFonts w:eastAsiaTheme="minorEastAsia"/>
          <w:noProof/>
          <w:sz w:val="22"/>
          <w:szCs w:val="22"/>
        </w:rPr>
      </w:pPr>
      <w:hyperlink w:anchor="_Toc109921739" w:history="1">
        <w:r w:rsidR="001B4E3C" w:rsidRPr="0033797E">
          <w:rPr>
            <w:rStyle w:val="Hyperlink"/>
            <w:smallCaps/>
            <w:noProof/>
          </w:rPr>
          <w:t>E.</w:t>
        </w:r>
        <w:r w:rsidR="001B4E3C">
          <w:rPr>
            <w:rFonts w:eastAsiaTheme="minorEastAsia"/>
            <w:noProof/>
            <w:sz w:val="22"/>
            <w:szCs w:val="22"/>
          </w:rPr>
          <w:tab/>
        </w:r>
        <w:r w:rsidR="001B4E3C" w:rsidRPr="0033797E">
          <w:rPr>
            <w:rStyle w:val="Hyperlink"/>
            <w:noProof/>
          </w:rPr>
          <w:t>Anticipated Notice of Selection and Award Negotiation Dates</w:t>
        </w:r>
        <w:r w:rsidR="001B4E3C">
          <w:rPr>
            <w:noProof/>
            <w:webHidden/>
          </w:rPr>
          <w:tab/>
        </w:r>
        <w:r w:rsidR="001B4E3C">
          <w:rPr>
            <w:noProof/>
            <w:webHidden/>
          </w:rPr>
          <w:fldChar w:fldCharType="begin"/>
        </w:r>
        <w:r w:rsidR="001B4E3C">
          <w:rPr>
            <w:noProof/>
            <w:webHidden/>
          </w:rPr>
          <w:instrText xml:space="preserve"> PAGEREF _Toc109921739 \h </w:instrText>
        </w:r>
        <w:r w:rsidR="001B4E3C">
          <w:rPr>
            <w:noProof/>
            <w:webHidden/>
          </w:rPr>
        </w:r>
        <w:r w:rsidR="001B4E3C">
          <w:rPr>
            <w:noProof/>
            <w:webHidden/>
          </w:rPr>
          <w:fldChar w:fldCharType="separate"/>
        </w:r>
        <w:r w:rsidR="00F7481E">
          <w:rPr>
            <w:noProof/>
            <w:webHidden/>
          </w:rPr>
          <w:t>100</w:t>
        </w:r>
        <w:r w:rsidR="001B4E3C">
          <w:rPr>
            <w:noProof/>
            <w:webHidden/>
          </w:rPr>
          <w:fldChar w:fldCharType="end"/>
        </w:r>
      </w:hyperlink>
    </w:p>
    <w:p w14:paraId="788D842F" w14:textId="7E96A2AD" w:rsidR="001B4E3C" w:rsidRDefault="00E63DDA">
      <w:pPr>
        <w:pStyle w:val="TOC1"/>
        <w:rPr>
          <w:rFonts w:eastAsiaTheme="minorEastAsia"/>
          <w:b w:val="0"/>
          <w:bCs w:val="0"/>
          <w:noProof/>
          <w:sz w:val="22"/>
          <w:szCs w:val="22"/>
        </w:rPr>
      </w:pPr>
      <w:hyperlink w:anchor="_Toc109921740" w:history="1">
        <w:r w:rsidR="001B4E3C" w:rsidRPr="0033797E">
          <w:rPr>
            <w:rStyle w:val="Hyperlink"/>
            <w:smallCaps/>
            <w:noProof/>
          </w:rPr>
          <w:t>VI.</w:t>
        </w:r>
        <w:r w:rsidR="001B4E3C">
          <w:rPr>
            <w:rFonts w:eastAsiaTheme="minorEastAsia"/>
            <w:b w:val="0"/>
            <w:bCs w:val="0"/>
            <w:noProof/>
            <w:sz w:val="22"/>
            <w:szCs w:val="22"/>
          </w:rPr>
          <w:tab/>
        </w:r>
        <w:r w:rsidR="001B4E3C" w:rsidRPr="0033797E">
          <w:rPr>
            <w:rStyle w:val="Hyperlink"/>
            <w:noProof/>
          </w:rPr>
          <w:t>Award Administration Information</w:t>
        </w:r>
        <w:r w:rsidR="001B4E3C">
          <w:rPr>
            <w:noProof/>
            <w:webHidden/>
          </w:rPr>
          <w:tab/>
        </w:r>
        <w:r w:rsidR="001B4E3C">
          <w:rPr>
            <w:noProof/>
            <w:webHidden/>
          </w:rPr>
          <w:fldChar w:fldCharType="begin"/>
        </w:r>
        <w:r w:rsidR="001B4E3C">
          <w:rPr>
            <w:noProof/>
            <w:webHidden/>
          </w:rPr>
          <w:instrText xml:space="preserve"> PAGEREF _Toc109921740 \h </w:instrText>
        </w:r>
        <w:r w:rsidR="001B4E3C">
          <w:rPr>
            <w:noProof/>
            <w:webHidden/>
          </w:rPr>
        </w:r>
        <w:r w:rsidR="001B4E3C">
          <w:rPr>
            <w:noProof/>
            <w:webHidden/>
          </w:rPr>
          <w:fldChar w:fldCharType="separate"/>
        </w:r>
        <w:r w:rsidR="00F7481E">
          <w:rPr>
            <w:noProof/>
            <w:webHidden/>
          </w:rPr>
          <w:t>100</w:t>
        </w:r>
        <w:r w:rsidR="001B4E3C">
          <w:rPr>
            <w:noProof/>
            <w:webHidden/>
          </w:rPr>
          <w:fldChar w:fldCharType="end"/>
        </w:r>
      </w:hyperlink>
    </w:p>
    <w:p w14:paraId="6814FC47" w14:textId="707583D2" w:rsidR="001B4E3C" w:rsidRDefault="00E63DDA">
      <w:pPr>
        <w:pStyle w:val="TOC2"/>
        <w:rPr>
          <w:rFonts w:eastAsiaTheme="minorEastAsia"/>
          <w:noProof/>
          <w:sz w:val="22"/>
          <w:szCs w:val="22"/>
        </w:rPr>
      </w:pPr>
      <w:hyperlink w:anchor="_Toc109921741" w:history="1">
        <w:r w:rsidR="001B4E3C" w:rsidRPr="0033797E">
          <w:rPr>
            <w:rStyle w:val="Hyperlink"/>
            <w:smallCaps/>
            <w:noProof/>
          </w:rPr>
          <w:t>A.</w:t>
        </w:r>
        <w:r w:rsidR="001B4E3C">
          <w:rPr>
            <w:rFonts w:eastAsiaTheme="minorEastAsia"/>
            <w:noProof/>
            <w:sz w:val="22"/>
            <w:szCs w:val="22"/>
          </w:rPr>
          <w:tab/>
        </w:r>
        <w:r w:rsidR="001B4E3C" w:rsidRPr="0033797E">
          <w:rPr>
            <w:rStyle w:val="Hyperlink"/>
            <w:noProof/>
          </w:rPr>
          <w:t>Award Notices</w:t>
        </w:r>
        <w:r w:rsidR="001B4E3C">
          <w:rPr>
            <w:noProof/>
            <w:webHidden/>
          </w:rPr>
          <w:tab/>
        </w:r>
        <w:r w:rsidR="001B4E3C">
          <w:rPr>
            <w:noProof/>
            <w:webHidden/>
          </w:rPr>
          <w:fldChar w:fldCharType="begin"/>
        </w:r>
        <w:r w:rsidR="001B4E3C">
          <w:rPr>
            <w:noProof/>
            <w:webHidden/>
          </w:rPr>
          <w:instrText xml:space="preserve"> PAGEREF _Toc109921741 \h </w:instrText>
        </w:r>
        <w:r w:rsidR="001B4E3C">
          <w:rPr>
            <w:noProof/>
            <w:webHidden/>
          </w:rPr>
        </w:r>
        <w:r w:rsidR="001B4E3C">
          <w:rPr>
            <w:noProof/>
            <w:webHidden/>
          </w:rPr>
          <w:fldChar w:fldCharType="separate"/>
        </w:r>
        <w:r w:rsidR="00F7481E">
          <w:rPr>
            <w:noProof/>
            <w:webHidden/>
          </w:rPr>
          <w:t>100</w:t>
        </w:r>
        <w:r w:rsidR="001B4E3C">
          <w:rPr>
            <w:noProof/>
            <w:webHidden/>
          </w:rPr>
          <w:fldChar w:fldCharType="end"/>
        </w:r>
      </w:hyperlink>
    </w:p>
    <w:p w14:paraId="081F1DB7" w14:textId="766237F4" w:rsidR="001B4E3C" w:rsidRDefault="00E63DDA">
      <w:pPr>
        <w:pStyle w:val="TOC3"/>
        <w:rPr>
          <w:rFonts w:asciiTheme="minorHAnsi" w:eastAsiaTheme="minorEastAsia" w:hAnsiTheme="minorHAnsi"/>
          <w:iCs w:val="0"/>
          <w:sz w:val="22"/>
          <w:szCs w:val="22"/>
        </w:rPr>
      </w:pPr>
      <w:hyperlink w:anchor="_Toc109921742" w:history="1">
        <w:r w:rsidR="001B4E3C" w:rsidRPr="0033797E">
          <w:rPr>
            <w:rStyle w:val="Hyperlink"/>
          </w:rPr>
          <w:t>i.</w:t>
        </w:r>
        <w:r w:rsidR="001B4E3C">
          <w:rPr>
            <w:rFonts w:asciiTheme="minorHAnsi" w:eastAsiaTheme="minorEastAsia" w:hAnsiTheme="minorHAnsi"/>
            <w:iCs w:val="0"/>
            <w:sz w:val="22"/>
            <w:szCs w:val="22"/>
          </w:rPr>
          <w:tab/>
        </w:r>
        <w:r w:rsidR="001B4E3C" w:rsidRPr="0033797E">
          <w:rPr>
            <w:rStyle w:val="Hyperlink"/>
          </w:rPr>
          <w:t>Ineligible Submissions</w:t>
        </w:r>
        <w:r w:rsidR="001B4E3C">
          <w:rPr>
            <w:webHidden/>
          </w:rPr>
          <w:tab/>
        </w:r>
        <w:r w:rsidR="001B4E3C">
          <w:rPr>
            <w:webHidden/>
          </w:rPr>
          <w:fldChar w:fldCharType="begin"/>
        </w:r>
        <w:r w:rsidR="001B4E3C">
          <w:rPr>
            <w:webHidden/>
          </w:rPr>
          <w:instrText xml:space="preserve"> PAGEREF _Toc109921742 \h </w:instrText>
        </w:r>
        <w:r w:rsidR="001B4E3C">
          <w:rPr>
            <w:webHidden/>
          </w:rPr>
        </w:r>
        <w:r w:rsidR="001B4E3C">
          <w:rPr>
            <w:webHidden/>
          </w:rPr>
          <w:fldChar w:fldCharType="separate"/>
        </w:r>
        <w:r w:rsidR="00F7481E">
          <w:rPr>
            <w:webHidden/>
          </w:rPr>
          <w:t>100</w:t>
        </w:r>
        <w:r w:rsidR="001B4E3C">
          <w:rPr>
            <w:webHidden/>
          </w:rPr>
          <w:fldChar w:fldCharType="end"/>
        </w:r>
      </w:hyperlink>
    </w:p>
    <w:p w14:paraId="2CC3BADE" w14:textId="1062156F" w:rsidR="001B4E3C" w:rsidRDefault="00E63DDA">
      <w:pPr>
        <w:pStyle w:val="TOC3"/>
        <w:rPr>
          <w:rFonts w:asciiTheme="minorHAnsi" w:eastAsiaTheme="minorEastAsia" w:hAnsiTheme="minorHAnsi"/>
          <w:iCs w:val="0"/>
          <w:sz w:val="22"/>
          <w:szCs w:val="22"/>
        </w:rPr>
      </w:pPr>
      <w:hyperlink w:anchor="_Toc109921743" w:history="1">
        <w:r w:rsidR="001B4E3C" w:rsidRPr="0033797E">
          <w:rPr>
            <w:rStyle w:val="Hyperlink"/>
          </w:rPr>
          <w:t>ii.</w:t>
        </w:r>
        <w:r w:rsidR="001B4E3C">
          <w:rPr>
            <w:rFonts w:asciiTheme="minorHAnsi" w:eastAsiaTheme="minorEastAsia" w:hAnsiTheme="minorHAnsi"/>
            <w:iCs w:val="0"/>
            <w:sz w:val="22"/>
            <w:szCs w:val="22"/>
          </w:rPr>
          <w:tab/>
        </w:r>
        <w:r w:rsidR="001B4E3C" w:rsidRPr="0033797E">
          <w:rPr>
            <w:rStyle w:val="Hyperlink"/>
          </w:rPr>
          <w:t>Concept Paper Notifications</w:t>
        </w:r>
        <w:r w:rsidR="001B4E3C">
          <w:rPr>
            <w:webHidden/>
          </w:rPr>
          <w:tab/>
        </w:r>
        <w:r w:rsidR="001B4E3C">
          <w:rPr>
            <w:webHidden/>
          </w:rPr>
          <w:fldChar w:fldCharType="begin"/>
        </w:r>
        <w:r w:rsidR="001B4E3C">
          <w:rPr>
            <w:webHidden/>
          </w:rPr>
          <w:instrText xml:space="preserve"> PAGEREF _Toc109921743 \h </w:instrText>
        </w:r>
        <w:r w:rsidR="001B4E3C">
          <w:rPr>
            <w:webHidden/>
          </w:rPr>
        </w:r>
        <w:r w:rsidR="001B4E3C">
          <w:rPr>
            <w:webHidden/>
          </w:rPr>
          <w:fldChar w:fldCharType="separate"/>
        </w:r>
        <w:r w:rsidR="00F7481E">
          <w:rPr>
            <w:webHidden/>
          </w:rPr>
          <w:t>100</w:t>
        </w:r>
        <w:r w:rsidR="001B4E3C">
          <w:rPr>
            <w:webHidden/>
          </w:rPr>
          <w:fldChar w:fldCharType="end"/>
        </w:r>
      </w:hyperlink>
    </w:p>
    <w:p w14:paraId="6BE491C4" w14:textId="43C68C44" w:rsidR="001B4E3C" w:rsidRDefault="00E63DDA">
      <w:pPr>
        <w:pStyle w:val="TOC3"/>
        <w:rPr>
          <w:rFonts w:asciiTheme="minorHAnsi" w:eastAsiaTheme="minorEastAsia" w:hAnsiTheme="minorHAnsi"/>
          <w:iCs w:val="0"/>
          <w:sz w:val="22"/>
          <w:szCs w:val="22"/>
        </w:rPr>
      </w:pPr>
      <w:hyperlink w:anchor="_Toc109921744" w:history="1">
        <w:r w:rsidR="001B4E3C" w:rsidRPr="0033797E">
          <w:rPr>
            <w:rStyle w:val="Hyperlink"/>
          </w:rPr>
          <w:t>iii.</w:t>
        </w:r>
        <w:r w:rsidR="001B4E3C">
          <w:rPr>
            <w:rFonts w:asciiTheme="minorHAnsi" w:eastAsiaTheme="minorEastAsia" w:hAnsiTheme="minorHAnsi"/>
            <w:iCs w:val="0"/>
            <w:sz w:val="22"/>
            <w:szCs w:val="22"/>
          </w:rPr>
          <w:tab/>
        </w:r>
        <w:r w:rsidR="001B4E3C" w:rsidRPr="0033797E">
          <w:rPr>
            <w:rStyle w:val="Hyperlink"/>
          </w:rPr>
          <w:t>Full Application Notifications</w:t>
        </w:r>
        <w:r w:rsidR="001B4E3C">
          <w:rPr>
            <w:webHidden/>
          </w:rPr>
          <w:tab/>
        </w:r>
        <w:r w:rsidR="001B4E3C">
          <w:rPr>
            <w:webHidden/>
          </w:rPr>
          <w:fldChar w:fldCharType="begin"/>
        </w:r>
        <w:r w:rsidR="001B4E3C">
          <w:rPr>
            <w:webHidden/>
          </w:rPr>
          <w:instrText xml:space="preserve"> PAGEREF _Toc109921744 \h </w:instrText>
        </w:r>
        <w:r w:rsidR="001B4E3C">
          <w:rPr>
            <w:webHidden/>
          </w:rPr>
        </w:r>
        <w:r w:rsidR="001B4E3C">
          <w:rPr>
            <w:webHidden/>
          </w:rPr>
          <w:fldChar w:fldCharType="separate"/>
        </w:r>
        <w:r w:rsidR="00F7481E">
          <w:rPr>
            <w:webHidden/>
          </w:rPr>
          <w:t>101</w:t>
        </w:r>
        <w:r w:rsidR="001B4E3C">
          <w:rPr>
            <w:webHidden/>
          </w:rPr>
          <w:fldChar w:fldCharType="end"/>
        </w:r>
      </w:hyperlink>
    </w:p>
    <w:p w14:paraId="3AB8F21B" w14:textId="59573727" w:rsidR="001B4E3C" w:rsidRDefault="00E63DDA">
      <w:pPr>
        <w:pStyle w:val="TOC3"/>
        <w:rPr>
          <w:rFonts w:asciiTheme="minorHAnsi" w:eastAsiaTheme="minorEastAsia" w:hAnsiTheme="minorHAnsi"/>
          <w:iCs w:val="0"/>
          <w:sz w:val="22"/>
          <w:szCs w:val="22"/>
        </w:rPr>
      </w:pPr>
      <w:hyperlink w:anchor="_Toc109921745" w:history="1">
        <w:r w:rsidR="001B4E3C" w:rsidRPr="0033797E">
          <w:rPr>
            <w:rStyle w:val="Hyperlink"/>
          </w:rPr>
          <w:t>iv.</w:t>
        </w:r>
        <w:r w:rsidR="001B4E3C">
          <w:rPr>
            <w:rFonts w:asciiTheme="minorHAnsi" w:eastAsiaTheme="minorEastAsia" w:hAnsiTheme="minorHAnsi"/>
            <w:iCs w:val="0"/>
            <w:sz w:val="22"/>
            <w:szCs w:val="22"/>
          </w:rPr>
          <w:tab/>
        </w:r>
        <w:r w:rsidR="001B4E3C" w:rsidRPr="0033797E">
          <w:rPr>
            <w:rStyle w:val="Hyperlink"/>
          </w:rPr>
          <w:t>Successful Applicants</w:t>
        </w:r>
        <w:r w:rsidR="001B4E3C">
          <w:rPr>
            <w:webHidden/>
          </w:rPr>
          <w:tab/>
        </w:r>
        <w:r w:rsidR="001B4E3C">
          <w:rPr>
            <w:webHidden/>
          </w:rPr>
          <w:fldChar w:fldCharType="begin"/>
        </w:r>
        <w:r w:rsidR="001B4E3C">
          <w:rPr>
            <w:webHidden/>
          </w:rPr>
          <w:instrText xml:space="preserve"> PAGEREF _Toc109921745 \h </w:instrText>
        </w:r>
        <w:r w:rsidR="001B4E3C">
          <w:rPr>
            <w:webHidden/>
          </w:rPr>
        </w:r>
        <w:r w:rsidR="001B4E3C">
          <w:rPr>
            <w:webHidden/>
          </w:rPr>
          <w:fldChar w:fldCharType="separate"/>
        </w:r>
        <w:r w:rsidR="00F7481E">
          <w:rPr>
            <w:webHidden/>
          </w:rPr>
          <w:t>101</w:t>
        </w:r>
        <w:r w:rsidR="001B4E3C">
          <w:rPr>
            <w:webHidden/>
          </w:rPr>
          <w:fldChar w:fldCharType="end"/>
        </w:r>
      </w:hyperlink>
    </w:p>
    <w:p w14:paraId="642CD0D8" w14:textId="4DD6E919" w:rsidR="001B4E3C" w:rsidRDefault="00E63DDA">
      <w:pPr>
        <w:pStyle w:val="TOC3"/>
        <w:rPr>
          <w:rFonts w:asciiTheme="minorHAnsi" w:eastAsiaTheme="minorEastAsia" w:hAnsiTheme="minorHAnsi"/>
          <w:iCs w:val="0"/>
          <w:sz w:val="22"/>
          <w:szCs w:val="22"/>
        </w:rPr>
      </w:pPr>
      <w:hyperlink w:anchor="_Toc109921746" w:history="1">
        <w:r w:rsidR="001B4E3C" w:rsidRPr="0033797E">
          <w:rPr>
            <w:rStyle w:val="Hyperlink"/>
          </w:rPr>
          <w:t>v.</w:t>
        </w:r>
        <w:r w:rsidR="001B4E3C">
          <w:rPr>
            <w:rFonts w:asciiTheme="minorHAnsi" w:eastAsiaTheme="minorEastAsia" w:hAnsiTheme="minorHAnsi"/>
            <w:iCs w:val="0"/>
            <w:sz w:val="22"/>
            <w:szCs w:val="22"/>
          </w:rPr>
          <w:tab/>
        </w:r>
        <w:r w:rsidR="001B4E3C" w:rsidRPr="0033797E">
          <w:rPr>
            <w:rStyle w:val="Hyperlink"/>
          </w:rPr>
          <w:t>Alternate Selection Determinations</w:t>
        </w:r>
        <w:r w:rsidR="001B4E3C">
          <w:rPr>
            <w:webHidden/>
          </w:rPr>
          <w:tab/>
        </w:r>
        <w:r w:rsidR="001B4E3C">
          <w:rPr>
            <w:webHidden/>
          </w:rPr>
          <w:fldChar w:fldCharType="begin"/>
        </w:r>
        <w:r w:rsidR="001B4E3C">
          <w:rPr>
            <w:webHidden/>
          </w:rPr>
          <w:instrText xml:space="preserve"> PAGEREF _Toc109921746 \h </w:instrText>
        </w:r>
        <w:r w:rsidR="001B4E3C">
          <w:rPr>
            <w:webHidden/>
          </w:rPr>
        </w:r>
        <w:r w:rsidR="001B4E3C">
          <w:rPr>
            <w:webHidden/>
          </w:rPr>
          <w:fldChar w:fldCharType="separate"/>
        </w:r>
        <w:r w:rsidR="00F7481E">
          <w:rPr>
            <w:webHidden/>
          </w:rPr>
          <w:t>101</w:t>
        </w:r>
        <w:r w:rsidR="001B4E3C">
          <w:rPr>
            <w:webHidden/>
          </w:rPr>
          <w:fldChar w:fldCharType="end"/>
        </w:r>
      </w:hyperlink>
    </w:p>
    <w:p w14:paraId="2654E2E9" w14:textId="436F48D7" w:rsidR="001B4E3C" w:rsidRDefault="00E63DDA">
      <w:pPr>
        <w:pStyle w:val="TOC3"/>
        <w:rPr>
          <w:rFonts w:asciiTheme="minorHAnsi" w:eastAsiaTheme="minorEastAsia" w:hAnsiTheme="minorHAnsi"/>
          <w:iCs w:val="0"/>
          <w:sz w:val="22"/>
          <w:szCs w:val="22"/>
        </w:rPr>
      </w:pPr>
      <w:hyperlink w:anchor="_Toc109921747" w:history="1">
        <w:r w:rsidR="001B4E3C" w:rsidRPr="0033797E">
          <w:rPr>
            <w:rStyle w:val="Hyperlink"/>
          </w:rPr>
          <w:t>vi.</w:t>
        </w:r>
        <w:r w:rsidR="001B4E3C">
          <w:rPr>
            <w:rFonts w:asciiTheme="minorHAnsi" w:eastAsiaTheme="minorEastAsia" w:hAnsiTheme="minorHAnsi"/>
            <w:iCs w:val="0"/>
            <w:sz w:val="22"/>
            <w:szCs w:val="22"/>
          </w:rPr>
          <w:tab/>
        </w:r>
        <w:r w:rsidR="001B4E3C" w:rsidRPr="0033797E">
          <w:rPr>
            <w:rStyle w:val="Hyperlink"/>
          </w:rPr>
          <w:t>Unsuccessful Applicants</w:t>
        </w:r>
        <w:r w:rsidR="001B4E3C">
          <w:rPr>
            <w:webHidden/>
          </w:rPr>
          <w:tab/>
        </w:r>
        <w:r w:rsidR="001B4E3C">
          <w:rPr>
            <w:webHidden/>
          </w:rPr>
          <w:fldChar w:fldCharType="begin"/>
        </w:r>
        <w:r w:rsidR="001B4E3C">
          <w:rPr>
            <w:webHidden/>
          </w:rPr>
          <w:instrText xml:space="preserve"> PAGEREF _Toc109921747 \h </w:instrText>
        </w:r>
        <w:r w:rsidR="001B4E3C">
          <w:rPr>
            <w:webHidden/>
          </w:rPr>
        </w:r>
        <w:r w:rsidR="001B4E3C">
          <w:rPr>
            <w:webHidden/>
          </w:rPr>
          <w:fldChar w:fldCharType="separate"/>
        </w:r>
        <w:r w:rsidR="00F7481E">
          <w:rPr>
            <w:webHidden/>
          </w:rPr>
          <w:t>102</w:t>
        </w:r>
        <w:r w:rsidR="001B4E3C">
          <w:rPr>
            <w:webHidden/>
          </w:rPr>
          <w:fldChar w:fldCharType="end"/>
        </w:r>
      </w:hyperlink>
    </w:p>
    <w:p w14:paraId="2191C276" w14:textId="0A29A91D" w:rsidR="001B4E3C" w:rsidRDefault="00E63DDA">
      <w:pPr>
        <w:pStyle w:val="TOC2"/>
        <w:rPr>
          <w:rFonts w:eastAsiaTheme="minorEastAsia"/>
          <w:noProof/>
          <w:sz w:val="22"/>
          <w:szCs w:val="22"/>
        </w:rPr>
      </w:pPr>
      <w:hyperlink w:anchor="_Toc109921748" w:history="1">
        <w:r w:rsidR="001B4E3C" w:rsidRPr="0033797E">
          <w:rPr>
            <w:rStyle w:val="Hyperlink"/>
            <w:smallCaps/>
            <w:noProof/>
          </w:rPr>
          <w:t>B.</w:t>
        </w:r>
        <w:r w:rsidR="001B4E3C">
          <w:rPr>
            <w:rFonts w:eastAsiaTheme="minorEastAsia"/>
            <w:noProof/>
            <w:sz w:val="22"/>
            <w:szCs w:val="22"/>
          </w:rPr>
          <w:tab/>
        </w:r>
        <w:r w:rsidR="001B4E3C" w:rsidRPr="0033797E">
          <w:rPr>
            <w:rStyle w:val="Hyperlink"/>
            <w:noProof/>
          </w:rPr>
          <w:t>Administrative and National Policy Requirements</w:t>
        </w:r>
        <w:r w:rsidR="001B4E3C">
          <w:rPr>
            <w:noProof/>
            <w:webHidden/>
          </w:rPr>
          <w:tab/>
        </w:r>
        <w:r w:rsidR="001B4E3C">
          <w:rPr>
            <w:noProof/>
            <w:webHidden/>
          </w:rPr>
          <w:fldChar w:fldCharType="begin"/>
        </w:r>
        <w:r w:rsidR="001B4E3C">
          <w:rPr>
            <w:noProof/>
            <w:webHidden/>
          </w:rPr>
          <w:instrText xml:space="preserve"> PAGEREF _Toc109921748 \h </w:instrText>
        </w:r>
        <w:r w:rsidR="001B4E3C">
          <w:rPr>
            <w:noProof/>
            <w:webHidden/>
          </w:rPr>
        </w:r>
        <w:r w:rsidR="001B4E3C">
          <w:rPr>
            <w:noProof/>
            <w:webHidden/>
          </w:rPr>
          <w:fldChar w:fldCharType="separate"/>
        </w:r>
        <w:r w:rsidR="00F7481E">
          <w:rPr>
            <w:noProof/>
            <w:webHidden/>
          </w:rPr>
          <w:t>102</w:t>
        </w:r>
        <w:r w:rsidR="001B4E3C">
          <w:rPr>
            <w:noProof/>
            <w:webHidden/>
          </w:rPr>
          <w:fldChar w:fldCharType="end"/>
        </w:r>
      </w:hyperlink>
    </w:p>
    <w:p w14:paraId="6FDDFD16" w14:textId="73C7B283" w:rsidR="001B4E3C" w:rsidRDefault="00E63DDA">
      <w:pPr>
        <w:pStyle w:val="TOC3"/>
        <w:rPr>
          <w:rFonts w:asciiTheme="minorHAnsi" w:eastAsiaTheme="minorEastAsia" w:hAnsiTheme="minorHAnsi"/>
          <w:iCs w:val="0"/>
          <w:sz w:val="22"/>
          <w:szCs w:val="22"/>
        </w:rPr>
      </w:pPr>
      <w:hyperlink w:anchor="_Toc109921749" w:history="1">
        <w:r w:rsidR="001B4E3C" w:rsidRPr="0033797E">
          <w:rPr>
            <w:rStyle w:val="Hyperlink"/>
          </w:rPr>
          <w:t>i.</w:t>
        </w:r>
        <w:r w:rsidR="001B4E3C">
          <w:rPr>
            <w:rFonts w:asciiTheme="minorHAnsi" w:eastAsiaTheme="minorEastAsia" w:hAnsiTheme="minorHAnsi"/>
            <w:iCs w:val="0"/>
            <w:sz w:val="22"/>
            <w:szCs w:val="22"/>
          </w:rPr>
          <w:tab/>
        </w:r>
        <w:r w:rsidR="001B4E3C" w:rsidRPr="0033797E">
          <w:rPr>
            <w:rStyle w:val="Hyperlink"/>
          </w:rPr>
          <w:t>Registration Requirements</w:t>
        </w:r>
        <w:r w:rsidR="001B4E3C">
          <w:rPr>
            <w:webHidden/>
          </w:rPr>
          <w:tab/>
        </w:r>
        <w:r w:rsidR="001B4E3C">
          <w:rPr>
            <w:webHidden/>
          </w:rPr>
          <w:fldChar w:fldCharType="begin"/>
        </w:r>
        <w:r w:rsidR="001B4E3C">
          <w:rPr>
            <w:webHidden/>
          </w:rPr>
          <w:instrText xml:space="preserve"> PAGEREF _Toc109921749 \h </w:instrText>
        </w:r>
        <w:r w:rsidR="001B4E3C">
          <w:rPr>
            <w:webHidden/>
          </w:rPr>
        </w:r>
        <w:r w:rsidR="001B4E3C">
          <w:rPr>
            <w:webHidden/>
          </w:rPr>
          <w:fldChar w:fldCharType="separate"/>
        </w:r>
        <w:r w:rsidR="00F7481E">
          <w:rPr>
            <w:webHidden/>
          </w:rPr>
          <w:t>102</w:t>
        </w:r>
        <w:r w:rsidR="001B4E3C">
          <w:rPr>
            <w:webHidden/>
          </w:rPr>
          <w:fldChar w:fldCharType="end"/>
        </w:r>
      </w:hyperlink>
    </w:p>
    <w:p w14:paraId="32431520" w14:textId="3275283B" w:rsidR="001B4E3C" w:rsidRDefault="00E63DDA">
      <w:pPr>
        <w:pStyle w:val="TOC3"/>
        <w:rPr>
          <w:rFonts w:asciiTheme="minorHAnsi" w:eastAsiaTheme="minorEastAsia" w:hAnsiTheme="minorHAnsi"/>
          <w:iCs w:val="0"/>
          <w:sz w:val="22"/>
          <w:szCs w:val="22"/>
        </w:rPr>
      </w:pPr>
      <w:hyperlink w:anchor="_Toc109921750" w:history="1">
        <w:r w:rsidR="001B4E3C" w:rsidRPr="0033797E">
          <w:rPr>
            <w:rStyle w:val="Hyperlink"/>
          </w:rPr>
          <w:t>ii.</w:t>
        </w:r>
        <w:r w:rsidR="001B4E3C">
          <w:rPr>
            <w:rFonts w:asciiTheme="minorHAnsi" w:eastAsiaTheme="minorEastAsia" w:hAnsiTheme="minorHAnsi"/>
            <w:iCs w:val="0"/>
            <w:sz w:val="22"/>
            <w:szCs w:val="22"/>
          </w:rPr>
          <w:tab/>
        </w:r>
        <w:r w:rsidR="001B4E3C" w:rsidRPr="0033797E">
          <w:rPr>
            <w:rStyle w:val="Hyperlink"/>
          </w:rPr>
          <w:t>Award Administrative Requirements</w:t>
        </w:r>
        <w:r w:rsidR="001B4E3C">
          <w:rPr>
            <w:webHidden/>
          </w:rPr>
          <w:tab/>
        </w:r>
        <w:r w:rsidR="001B4E3C">
          <w:rPr>
            <w:webHidden/>
          </w:rPr>
          <w:fldChar w:fldCharType="begin"/>
        </w:r>
        <w:r w:rsidR="001B4E3C">
          <w:rPr>
            <w:webHidden/>
          </w:rPr>
          <w:instrText xml:space="preserve"> PAGEREF _Toc109921750 \h </w:instrText>
        </w:r>
        <w:r w:rsidR="001B4E3C">
          <w:rPr>
            <w:webHidden/>
          </w:rPr>
        </w:r>
        <w:r w:rsidR="001B4E3C">
          <w:rPr>
            <w:webHidden/>
          </w:rPr>
          <w:fldChar w:fldCharType="separate"/>
        </w:r>
        <w:r w:rsidR="00F7481E">
          <w:rPr>
            <w:webHidden/>
          </w:rPr>
          <w:t>103</w:t>
        </w:r>
        <w:r w:rsidR="001B4E3C">
          <w:rPr>
            <w:webHidden/>
          </w:rPr>
          <w:fldChar w:fldCharType="end"/>
        </w:r>
      </w:hyperlink>
    </w:p>
    <w:p w14:paraId="528E4843" w14:textId="15655CC5" w:rsidR="001B4E3C" w:rsidRDefault="00E63DDA">
      <w:pPr>
        <w:pStyle w:val="TOC3"/>
        <w:rPr>
          <w:rFonts w:asciiTheme="minorHAnsi" w:eastAsiaTheme="minorEastAsia" w:hAnsiTheme="minorHAnsi"/>
          <w:iCs w:val="0"/>
          <w:sz w:val="22"/>
          <w:szCs w:val="22"/>
        </w:rPr>
      </w:pPr>
      <w:hyperlink w:anchor="_Toc109921751" w:history="1">
        <w:r w:rsidR="001B4E3C" w:rsidRPr="0033797E">
          <w:rPr>
            <w:rStyle w:val="Hyperlink"/>
          </w:rPr>
          <w:t>iii.</w:t>
        </w:r>
        <w:r w:rsidR="001B4E3C">
          <w:rPr>
            <w:rFonts w:asciiTheme="minorHAnsi" w:eastAsiaTheme="minorEastAsia" w:hAnsiTheme="minorHAnsi"/>
            <w:iCs w:val="0"/>
            <w:sz w:val="22"/>
            <w:szCs w:val="22"/>
          </w:rPr>
          <w:tab/>
        </w:r>
        <w:r w:rsidR="001B4E3C" w:rsidRPr="0033797E">
          <w:rPr>
            <w:rStyle w:val="Hyperlink"/>
          </w:rPr>
          <w:t>Foreign National Access</w:t>
        </w:r>
        <w:r w:rsidR="001B4E3C">
          <w:rPr>
            <w:webHidden/>
          </w:rPr>
          <w:tab/>
        </w:r>
        <w:r w:rsidR="001B4E3C">
          <w:rPr>
            <w:webHidden/>
          </w:rPr>
          <w:fldChar w:fldCharType="begin"/>
        </w:r>
        <w:r w:rsidR="001B4E3C">
          <w:rPr>
            <w:webHidden/>
          </w:rPr>
          <w:instrText xml:space="preserve"> PAGEREF _Toc109921751 \h </w:instrText>
        </w:r>
        <w:r w:rsidR="001B4E3C">
          <w:rPr>
            <w:webHidden/>
          </w:rPr>
        </w:r>
        <w:r w:rsidR="001B4E3C">
          <w:rPr>
            <w:webHidden/>
          </w:rPr>
          <w:fldChar w:fldCharType="separate"/>
        </w:r>
        <w:r w:rsidR="00F7481E">
          <w:rPr>
            <w:webHidden/>
          </w:rPr>
          <w:t>103</w:t>
        </w:r>
        <w:r w:rsidR="001B4E3C">
          <w:rPr>
            <w:webHidden/>
          </w:rPr>
          <w:fldChar w:fldCharType="end"/>
        </w:r>
      </w:hyperlink>
    </w:p>
    <w:p w14:paraId="377711CD" w14:textId="26A2863B" w:rsidR="001B4E3C" w:rsidRDefault="00E63DDA">
      <w:pPr>
        <w:pStyle w:val="TOC3"/>
        <w:rPr>
          <w:rFonts w:asciiTheme="minorHAnsi" w:eastAsiaTheme="minorEastAsia" w:hAnsiTheme="minorHAnsi"/>
          <w:iCs w:val="0"/>
          <w:sz w:val="22"/>
          <w:szCs w:val="22"/>
        </w:rPr>
      </w:pPr>
      <w:hyperlink w:anchor="_Toc109921752" w:history="1">
        <w:r w:rsidR="001B4E3C" w:rsidRPr="0033797E">
          <w:rPr>
            <w:rStyle w:val="Hyperlink"/>
          </w:rPr>
          <w:t>iv.</w:t>
        </w:r>
        <w:r w:rsidR="001B4E3C">
          <w:rPr>
            <w:rFonts w:asciiTheme="minorHAnsi" w:eastAsiaTheme="minorEastAsia" w:hAnsiTheme="minorHAnsi"/>
            <w:iCs w:val="0"/>
            <w:sz w:val="22"/>
            <w:szCs w:val="22"/>
          </w:rPr>
          <w:tab/>
        </w:r>
        <w:r w:rsidR="001B4E3C" w:rsidRPr="0033797E">
          <w:rPr>
            <w:rStyle w:val="Hyperlink"/>
          </w:rPr>
          <w:t>Subaward and Executive Reporting</w:t>
        </w:r>
        <w:r w:rsidR="001B4E3C">
          <w:rPr>
            <w:webHidden/>
          </w:rPr>
          <w:tab/>
        </w:r>
        <w:r w:rsidR="001B4E3C">
          <w:rPr>
            <w:webHidden/>
          </w:rPr>
          <w:fldChar w:fldCharType="begin"/>
        </w:r>
        <w:r w:rsidR="001B4E3C">
          <w:rPr>
            <w:webHidden/>
          </w:rPr>
          <w:instrText xml:space="preserve"> PAGEREF _Toc109921752 \h </w:instrText>
        </w:r>
        <w:r w:rsidR="001B4E3C">
          <w:rPr>
            <w:webHidden/>
          </w:rPr>
        </w:r>
        <w:r w:rsidR="001B4E3C">
          <w:rPr>
            <w:webHidden/>
          </w:rPr>
          <w:fldChar w:fldCharType="separate"/>
        </w:r>
        <w:r w:rsidR="00F7481E">
          <w:rPr>
            <w:webHidden/>
          </w:rPr>
          <w:t>103</w:t>
        </w:r>
        <w:r w:rsidR="001B4E3C">
          <w:rPr>
            <w:webHidden/>
          </w:rPr>
          <w:fldChar w:fldCharType="end"/>
        </w:r>
      </w:hyperlink>
    </w:p>
    <w:p w14:paraId="6DF2A8AE" w14:textId="3255F2CF" w:rsidR="001B4E3C" w:rsidRDefault="00E63DDA">
      <w:pPr>
        <w:pStyle w:val="TOC3"/>
        <w:rPr>
          <w:rFonts w:asciiTheme="minorHAnsi" w:eastAsiaTheme="minorEastAsia" w:hAnsiTheme="minorHAnsi"/>
          <w:iCs w:val="0"/>
          <w:sz w:val="22"/>
          <w:szCs w:val="22"/>
        </w:rPr>
      </w:pPr>
      <w:hyperlink w:anchor="_Toc109921753" w:history="1">
        <w:r w:rsidR="001B4E3C" w:rsidRPr="0033797E">
          <w:rPr>
            <w:rStyle w:val="Hyperlink"/>
          </w:rPr>
          <w:t>v.</w:t>
        </w:r>
        <w:r w:rsidR="001B4E3C">
          <w:rPr>
            <w:rFonts w:asciiTheme="minorHAnsi" w:eastAsiaTheme="minorEastAsia" w:hAnsiTheme="minorHAnsi"/>
            <w:iCs w:val="0"/>
            <w:sz w:val="22"/>
            <w:szCs w:val="22"/>
          </w:rPr>
          <w:tab/>
        </w:r>
        <w:r w:rsidR="001B4E3C" w:rsidRPr="0033797E">
          <w:rPr>
            <w:rStyle w:val="Hyperlink"/>
          </w:rPr>
          <w:t>National Policy Requirements</w:t>
        </w:r>
        <w:r w:rsidR="001B4E3C">
          <w:rPr>
            <w:webHidden/>
          </w:rPr>
          <w:tab/>
        </w:r>
        <w:r w:rsidR="001B4E3C">
          <w:rPr>
            <w:webHidden/>
          </w:rPr>
          <w:fldChar w:fldCharType="begin"/>
        </w:r>
        <w:r w:rsidR="001B4E3C">
          <w:rPr>
            <w:webHidden/>
          </w:rPr>
          <w:instrText xml:space="preserve"> PAGEREF _Toc109921753 \h </w:instrText>
        </w:r>
        <w:r w:rsidR="001B4E3C">
          <w:rPr>
            <w:webHidden/>
          </w:rPr>
        </w:r>
        <w:r w:rsidR="001B4E3C">
          <w:rPr>
            <w:webHidden/>
          </w:rPr>
          <w:fldChar w:fldCharType="separate"/>
        </w:r>
        <w:r w:rsidR="00F7481E">
          <w:rPr>
            <w:webHidden/>
          </w:rPr>
          <w:t>103</w:t>
        </w:r>
        <w:r w:rsidR="001B4E3C">
          <w:rPr>
            <w:webHidden/>
          </w:rPr>
          <w:fldChar w:fldCharType="end"/>
        </w:r>
      </w:hyperlink>
    </w:p>
    <w:p w14:paraId="113E18CB" w14:textId="07879498" w:rsidR="001B4E3C" w:rsidRDefault="00E63DDA">
      <w:pPr>
        <w:pStyle w:val="TOC3"/>
        <w:rPr>
          <w:rFonts w:asciiTheme="minorHAnsi" w:eastAsiaTheme="minorEastAsia" w:hAnsiTheme="minorHAnsi"/>
          <w:iCs w:val="0"/>
          <w:sz w:val="22"/>
          <w:szCs w:val="22"/>
        </w:rPr>
      </w:pPr>
      <w:hyperlink w:anchor="_Toc109921754" w:history="1">
        <w:r w:rsidR="001B4E3C" w:rsidRPr="0033797E">
          <w:rPr>
            <w:rStyle w:val="Hyperlink"/>
          </w:rPr>
          <w:t>vi.</w:t>
        </w:r>
        <w:r w:rsidR="001B4E3C">
          <w:rPr>
            <w:rFonts w:asciiTheme="minorHAnsi" w:eastAsiaTheme="minorEastAsia" w:hAnsiTheme="minorHAnsi"/>
            <w:iCs w:val="0"/>
            <w:sz w:val="22"/>
            <w:szCs w:val="22"/>
          </w:rPr>
          <w:tab/>
        </w:r>
        <w:r w:rsidR="001B4E3C" w:rsidRPr="0033797E">
          <w:rPr>
            <w:rStyle w:val="Hyperlink"/>
          </w:rPr>
          <w:t>Environmental Review in Accordance with National Environmental Policy Act (NEPA)</w:t>
        </w:r>
        <w:r w:rsidR="001B4E3C">
          <w:rPr>
            <w:webHidden/>
          </w:rPr>
          <w:tab/>
        </w:r>
        <w:r w:rsidR="001B4E3C">
          <w:rPr>
            <w:webHidden/>
          </w:rPr>
          <w:fldChar w:fldCharType="begin"/>
        </w:r>
        <w:r w:rsidR="001B4E3C">
          <w:rPr>
            <w:webHidden/>
          </w:rPr>
          <w:instrText xml:space="preserve"> PAGEREF _Toc109921754 \h </w:instrText>
        </w:r>
        <w:r w:rsidR="001B4E3C">
          <w:rPr>
            <w:webHidden/>
          </w:rPr>
        </w:r>
        <w:r w:rsidR="001B4E3C">
          <w:rPr>
            <w:webHidden/>
          </w:rPr>
          <w:fldChar w:fldCharType="separate"/>
        </w:r>
        <w:r w:rsidR="00F7481E">
          <w:rPr>
            <w:webHidden/>
          </w:rPr>
          <w:t>104</w:t>
        </w:r>
        <w:r w:rsidR="001B4E3C">
          <w:rPr>
            <w:webHidden/>
          </w:rPr>
          <w:fldChar w:fldCharType="end"/>
        </w:r>
      </w:hyperlink>
    </w:p>
    <w:p w14:paraId="1649E7B5" w14:textId="30D9A839" w:rsidR="001B4E3C" w:rsidRDefault="00E63DDA">
      <w:pPr>
        <w:pStyle w:val="TOC3"/>
        <w:rPr>
          <w:rFonts w:asciiTheme="minorHAnsi" w:eastAsiaTheme="minorEastAsia" w:hAnsiTheme="minorHAnsi"/>
          <w:iCs w:val="0"/>
          <w:sz w:val="22"/>
          <w:szCs w:val="22"/>
        </w:rPr>
      </w:pPr>
      <w:hyperlink w:anchor="_Toc109921755" w:history="1">
        <w:r w:rsidR="001B4E3C" w:rsidRPr="0033797E">
          <w:rPr>
            <w:rStyle w:val="Hyperlink"/>
          </w:rPr>
          <w:t>vii.</w:t>
        </w:r>
        <w:r w:rsidR="001B4E3C">
          <w:rPr>
            <w:rFonts w:asciiTheme="minorHAnsi" w:eastAsiaTheme="minorEastAsia" w:hAnsiTheme="minorHAnsi"/>
            <w:iCs w:val="0"/>
            <w:sz w:val="22"/>
            <w:szCs w:val="22"/>
          </w:rPr>
          <w:tab/>
        </w:r>
        <w:r w:rsidR="001B4E3C" w:rsidRPr="0033797E">
          <w:rPr>
            <w:rStyle w:val="Hyperlink"/>
          </w:rPr>
          <w:t>Flood Resilience</w:t>
        </w:r>
        <w:r w:rsidR="001B4E3C">
          <w:rPr>
            <w:webHidden/>
          </w:rPr>
          <w:tab/>
        </w:r>
        <w:r w:rsidR="001B4E3C">
          <w:rPr>
            <w:webHidden/>
          </w:rPr>
          <w:fldChar w:fldCharType="begin"/>
        </w:r>
        <w:r w:rsidR="001B4E3C">
          <w:rPr>
            <w:webHidden/>
          </w:rPr>
          <w:instrText xml:space="preserve"> PAGEREF _Toc109921755 \h </w:instrText>
        </w:r>
        <w:r w:rsidR="001B4E3C">
          <w:rPr>
            <w:webHidden/>
          </w:rPr>
        </w:r>
        <w:r w:rsidR="001B4E3C">
          <w:rPr>
            <w:webHidden/>
          </w:rPr>
          <w:fldChar w:fldCharType="separate"/>
        </w:r>
        <w:r w:rsidR="00F7481E">
          <w:rPr>
            <w:webHidden/>
          </w:rPr>
          <w:t>104</w:t>
        </w:r>
        <w:r w:rsidR="001B4E3C">
          <w:rPr>
            <w:webHidden/>
          </w:rPr>
          <w:fldChar w:fldCharType="end"/>
        </w:r>
      </w:hyperlink>
    </w:p>
    <w:p w14:paraId="2C4ADAEE" w14:textId="698A4488" w:rsidR="001B4E3C" w:rsidRDefault="00E63DDA">
      <w:pPr>
        <w:pStyle w:val="TOC3"/>
        <w:rPr>
          <w:rFonts w:asciiTheme="minorHAnsi" w:eastAsiaTheme="minorEastAsia" w:hAnsiTheme="minorHAnsi"/>
          <w:iCs w:val="0"/>
          <w:sz w:val="22"/>
          <w:szCs w:val="22"/>
        </w:rPr>
      </w:pPr>
      <w:hyperlink w:anchor="_Toc109921756" w:history="1">
        <w:r w:rsidR="001B4E3C" w:rsidRPr="0033797E">
          <w:rPr>
            <w:rStyle w:val="Hyperlink"/>
          </w:rPr>
          <w:t>viii.</w:t>
        </w:r>
        <w:r w:rsidR="001B4E3C">
          <w:rPr>
            <w:rFonts w:asciiTheme="minorHAnsi" w:eastAsiaTheme="minorEastAsia" w:hAnsiTheme="minorHAnsi"/>
            <w:iCs w:val="0"/>
            <w:sz w:val="22"/>
            <w:szCs w:val="22"/>
          </w:rPr>
          <w:tab/>
        </w:r>
        <w:r w:rsidR="001B4E3C" w:rsidRPr="0033797E">
          <w:rPr>
            <w:rStyle w:val="Hyperlink"/>
          </w:rPr>
          <w:t>Applicant Representations and Certifications</w:t>
        </w:r>
        <w:r w:rsidR="001B4E3C">
          <w:rPr>
            <w:webHidden/>
          </w:rPr>
          <w:tab/>
        </w:r>
        <w:r w:rsidR="001B4E3C">
          <w:rPr>
            <w:webHidden/>
          </w:rPr>
          <w:fldChar w:fldCharType="begin"/>
        </w:r>
        <w:r w:rsidR="001B4E3C">
          <w:rPr>
            <w:webHidden/>
          </w:rPr>
          <w:instrText xml:space="preserve"> PAGEREF _Toc109921756 \h </w:instrText>
        </w:r>
        <w:r w:rsidR="001B4E3C">
          <w:rPr>
            <w:webHidden/>
          </w:rPr>
        </w:r>
        <w:r w:rsidR="001B4E3C">
          <w:rPr>
            <w:webHidden/>
          </w:rPr>
          <w:fldChar w:fldCharType="separate"/>
        </w:r>
        <w:r w:rsidR="00F7481E">
          <w:rPr>
            <w:webHidden/>
          </w:rPr>
          <w:t>104</w:t>
        </w:r>
        <w:r w:rsidR="001B4E3C">
          <w:rPr>
            <w:webHidden/>
          </w:rPr>
          <w:fldChar w:fldCharType="end"/>
        </w:r>
      </w:hyperlink>
    </w:p>
    <w:p w14:paraId="4EBD9D93" w14:textId="79F0EC55" w:rsidR="001B4E3C" w:rsidRDefault="00E63DDA">
      <w:pPr>
        <w:pStyle w:val="TOC3"/>
        <w:rPr>
          <w:rFonts w:asciiTheme="minorHAnsi" w:eastAsiaTheme="minorEastAsia" w:hAnsiTheme="minorHAnsi"/>
          <w:iCs w:val="0"/>
          <w:sz w:val="22"/>
          <w:szCs w:val="22"/>
        </w:rPr>
      </w:pPr>
      <w:hyperlink w:anchor="_Toc109921757" w:history="1">
        <w:r w:rsidR="001B4E3C" w:rsidRPr="0033797E">
          <w:rPr>
            <w:rStyle w:val="Hyperlink"/>
          </w:rPr>
          <w:t>ix.</w:t>
        </w:r>
        <w:r w:rsidR="001B4E3C">
          <w:rPr>
            <w:rFonts w:asciiTheme="minorHAnsi" w:eastAsiaTheme="minorEastAsia" w:hAnsiTheme="minorHAnsi"/>
            <w:iCs w:val="0"/>
            <w:sz w:val="22"/>
            <w:szCs w:val="22"/>
          </w:rPr>
          <w:tab/>
        </w:r>
        <w:r w:rsidR="001B4E3C" w:rsidRPr="0033797E">
          <w:rPr>
            <w:rStyle w:val="Hyperlink"/>
          </w:rPr>
          <w:t>Statement of Federal Stewardship</w:t>
        </w:r>
        <w:r w:rsidR="001B4E3C">
          <w:rPr>
            <w:webHidden/>
          </w:rPr>
          <w:tab/>
        </w:r>
        <w:r w:rsidR="001B4E3C">
          <w:rPr>
            <w:webHidden/>
          </w:rPr>
          <w:fldChar w:fldCharType="begin"/>
        </w:r>
        <w:r w:rsidR="001B4E3C">
          <w:rPr>
            <w:webHidden/>
          </w:rPr>
          <w:instrText xml:space="preserve"> PAGEREF _Toc109921757 \h </w:instrText>
        </w:r>
        <w:r w:rsidR="001B4E3C">
          <w:rPr>
            <w:webHidden/>
          </w:rPr>
        </w:r>
        <w:r w:rsidR="001B4E3C">
          <w:rPr>
            <w:webHidden/>
          </w:rPr>
          <w:fldChar w:fldCharType="separate"/>
        </w:r>
        <w:r w:rsidR="00F7481E">
          <w:rPr>
            <w:webHidden/>
          </w:rPr>
          <w:t>106</w:t>
        </w:r>
        <w:r w:rsidR="001B4E3C">
          <w:rPr>
            <w:webHidden/>
          </w:rPr>
          <w:fldChar w:fldCharType="end"/>
        </w:r>
      </w:hyperlink>
    </w:p>
    <w:p w14:paraId="5B52E452" w14:textId="665DC112" w:rsidR="001B4E3C" w:rsidRDefault="00E63DDA">
      <w:pPr>
        <w:pStyle w:val="TOC3"/>
        <w:rPr>
          <w:rFonts w:asciiTheme="minorHAnsi" w:eastAsiaTheme="minorEastAsia" w:hAnsiTheme="minorHAnsi"/>
          <w:iCs w:val="0"/>
          <w:sz w:val="22"/>
          <w:szCs w:val="22"/>
        </w:rPr>
      </w:pPr>
      <w:hyperlink w:anchor="_Toc109921758" w:history="1">
        <w:r w:rsidR="001B4E3C" w:rsidRPr="0033797E">
          <w:rPr>
            <w:rStyle w:val="Hyperlink"/>
          </w:rPr>
          <w:t>x.</w:t>
        </w:r>
        <w:r w:rsidR="001B4E3C">
          <w:rPr>
            <w:rFonts w:asciiTheme="minorHAnsi" w:eastAsiaTheme="minorEastAsia" w:hAnsiTheme="minorHAnsi"/>
            <w:iCs w:val="0"/>
            <w:sz w:val="22"/>
            <w:szCs w:val="22"/>
          </w:rPr>
          <w:tab/>
        </w:r>
        <w:r w:rsidR="001B4E3C" w:rsidRPr="0033797E">
          <w:rPr>
            <w:rStyle w:val="Hyperlink"/>
          </w:rPr>
          <w:t>Statement of Substantial Involvement</w:t>
        </w:r>
        <w:r w:rsidR="001B4E3C">
          <w:rPr>
            <w:webHidden/>
          </w:rPr>
          <w:tab/>
        </w:r>
        <w:r w:rsidR="001B4E3C">
          <w:rPr>
            <w:webHidden/>
          </w:rPr>
          <w:fldChar w:fldCharType="begin"/>
        </w:r>
        <w:r w:rsidR="001B4E3C">
          <w:rPr>
            <w:webHidden/>
          </w:rPr>
          <w:instrText xml:space="preserve"> PAGEREF _Toc109921758 \h </w:instrText>
        </w:r>
        <w:r w:rsidR="001B4E3C">
          <w:rPr>
            <w:webHidden/>
          </w:rPr>
        </w:r>
        <w:r w:rsidR="001B4E3C">
          <w:rPr>
            <w:webHidden/>
          </w:rPr>
          <w:fldChar w:fldCharType="separate"/>
        </w:r>
        <w:r w:rsidR="00F7481E">
          <w:rPr>
            <w:webHidden/>
          </w:rPr>
          <w:t>107</w:t>
        </w:r>
        <w:r w:rsidR="001B4E3C">
          <w:rPr>
            <w:webHidden/>
          </w:rPr>
          <w:fldChar w:fldCharType="end"/>
        </w:r>
      </w:hyperlink>
    </w:p>
    <w:p w14:paraId="160E086A" w14:textId="78AA3E49" w:rsidR="001B4E3C" w:rsidRDefault="00E63DDA">
      <w:pPr>
        <w:pStyle w:val="TOC3"/>
        <w:rPr>
          <w:rFonts w:asciiTheme="minorHAnsi" w:eastAsiaTheme="minorEastAsia" w:hAnsiTheme="minorHAnsi"/>
          <w:iCs w:val="0"/>
          <w:sz w:val="22"/>
          <w:szCs w:val="22"/>
        </w:rPr>
      </w:pPr>
      <w:hyperlink w:anchor="_Toc109921759" w:history="1">
        <w:r w:rsidR="001B4E3C" w:rsidRPr="0033797E">
          <w:rPr>
            <w:rStyle w:val="Hyperlink"/>
          </w:rPr>
          <w:t>xi.</w:t>
        </w:r>
        <w:r w:rsidR="001B4E3C">
          <w:rPr>
            <w:rFonts w:asciiTheme="minorHAnsi" w:eastAsiaTheme="minorEastAsia" w:hAnsiTheme="minorHAnsi"/>
            <w:iCs w:val="0"/>
            <w:sz w:val="22"/>
            <w:szCs w:val="22"/>
          </w:rPr>
          <w:tab/>
        </w:r>
        <w:r w:rsidR="001B4E3C" w:rsidRPr="0033797E">
          <w:rPr>
            <w:rStyle w:val="Hyperlink"/>
          </w:rPr>
          <w:t>Subject Invention Utilization Reporting</w:t>
        </w:r>
        <w:r w:rsidR="001B4E3C">
          <w:rPr>
            <w:webHidden/>
          </w:rPr>
          <w:tab/>
        </w:r>
        <w:r w:rsidR="001B4E3C">
          <w:rPr>
            <w:webHidden/>
          </w:rPr>
          <w:fldChar w:fldCharType="begin"/>
        </w:r>
        <w:r w:rsidR="001B4E3C">
          <w:rPr>
            <w:webHidden/>
          </w:rPr>
          <w:instrText xml:space="preserve"> PAGEREF _Toc109921759 \h </w:instrText>
        </w:r>
        <w:r w:rsidR="001B4E3C">
          <w:rPr>
            <w:webHidden/>
          </w:rPr>
        </w:r>
        <w:r w:rsidR="001B4E3C">
          <w:rPr>
            <w:webHidden/>
          </w:rPr>
          <w:fldChar w:fldCharType="separate"/>
        </w:r>
        <w:r w:rsidR="00F7481E">
          <w:rPr>
            <w:webHidden/>
          </w:rPr>
          <w:t>107</w:t>
        </w:r>
        <w:r w:rsidR="001B4E3C">
          <w:rPr>
            <w:webHidden/>
          </w:rPr>
          <w:fldChar w:fldCharType="end"/>
        </w:r>
      </w:hyperlink>
    </w:p>
    <w:p w14:paraId="33659031" w14:textId="71B2E851" w:rsidR="001B4E3C" w:rsidRDefault="00E63DDA">
      <w:pPr>
        <w:pStyle w:val="TOC3"/>
        <w:rPr>
          <w:rFonts w:asciiTheme="minorHAnsi" w:eastAsiaTheme="minorEastAsia" w:hAnsiTheme="minorHAnsi"/>
          <w:iCs w:val="0"/>
          <w:sz w:val="22"/>
          <w:szCs w:val="22"/>
        </w:rPr>
      </w:pPr>
      <w:hyperlink w:anchor="_Toc109921760" w:history="1">
        <w:r w:rsidR="001B4E3C" w:rsidRPr="0033797E">
          <w:rPr>
            <w:rStyle w:val="Hyperlink"/>
          </w:rPr>
          <w:t>xii.</w:t>
        </w:r>
        <w:r w:rsidR="001B4E3C">
          <w:rPr>
            <w:rFonts w:asciiTheme="minorHAnsi" w:eastAsiaTheme="minorEastAsia" w:hAnsiTheme="minorHAnsi"/>
            <w:iCs w:val="0"/>
            <w:sz w:val="22"/>
            <w:szCs w:val="22"/>
          </w:rPr>
          <w:tab/>
        </w:r>
        <w:r w:rsidR="001B4E3C" w:rsidRPr="0033797E">
          <w:rPr>
            <w:rStyle w:val="Hyperlink"/>
          </w:rPr>
          <w:t>Intellectual Property Provisions</w:t>
        </w:r>
        <w:r w:rsidR="001B4E3C">
          <w:rPr>
            <w:webHidden/>
          </w:rPr>
          <w:tab/>
        </w:r>
        <w:r w:rsidR="001B4E3C">
          <w:rPr>
            <w:webHidden/>
          </w:rPr>
          <w:fldChar w:fldCharType="begin"/>
        </w:r>
        <w:r w:rsidR="001B4E3C">
          <w:rPr>
            <w:webHidden/>
          </w:rPr>
          <w:instrText xml:space="preserve"> PAGEREF _Toc109921760 \h </w:instrText>
        </w:r>
        <w:r w:rsidR="001B4E3C">
          <w:rPr>
            <w:webHidden/>
          </w:rPr>
        </w:r>
        <w:r w:rsidR="001B4E3C">
          <w:rPr>
            <w:webHidden/>
          </w:rPr>
          <w:fldChar w:fldCharType="separate"/>
        </w:r>
        <w:r w:rsidR="00F7481E">
          <w:rPr>
            <w:webHidden/>
          </w:rPr>
          <w:t>107</w:t>
        </w:r>
        <w:r w:rsidR="001B4E3C">
          <w:rPr>
            <w:webHidden/>
          </w:rPr>
          <w:fldChar w:fldCharType="end"/>
        </w:r>
      </w:hyperlink>
    </w:p>
    <w:p w14:paraId="5A597ECB" w14:textId="6C66D233" w:rsidR="001B4E3C" w:rsidRDefault="00E63DDA">
      <w:pPr>
        <w:pStyle w:val="TOC3"/>
        <w:rPr>
          <w:rFonts w:asciiTheme="minorHAnsi" w:eastAsiaTheme="minorEastAsia" w:hAnsiTheme="minorHAnsi"/>
          <w:iCs w:val="0"/>
          <w:sz w:val="22"/>
          <w:szCs w:val="22"/>
        </w:rPr>
      </w:pPr>
      <w:hyperlink w:anchor="_Toc109921761" w:history="1">
        <w:r w:rsidR="001B4E3C" w:rsidRPr="0033797E">
          <w:rPr>
            <w:rStyle w:val="Hyperlink"/>
          </w:rPr>
          <w:t>xiii.</w:t>
        </w:r>
        <w:r w:rsidR="001B4E3C">
          <w:rPr>
            <w:rFonts w:asciiTheme="minorHAnsi" w:eastAsiaTheme="minorEastAsia" w:hAnsiTheme="minorHAnsi"/>
            <w:iCs w:val="0"/>
            <w:sz w:val="22"/>
            <w:szCs w:val="22"/>
          </w:rPr>
          <w:tab/>
        </w:r>
        <w:r w:rsidR="001B4E3C" w:rsidRPr="0033797E">
          <w:rPr>
            <w:rStyle w:val="Hyperlink"/>
          </w:rPr>
          <w:t>Reporting</w:t>
        </w:r>
        <w:r w:rsidR="001B4E3C">
          <w:rPr>
            <w:webHidden/>
          </w:rPr>
          <w:tab/>
        </w:r>
        <w:r w:rsidR="001B4E3C">
          <w:rPr>
            <w:webHidden/>
          </w:rPr>
          <w:fldChar w:fldCharType="begin"/>
        </w:r>
        <w:r w:rsidR="001B4E3C">
          <w:rPr>
            <w:webHidden/>
          </w:rPr>
          <w:instrText xml:space="preserve"> PAGEREF _Toc109921761 \h </w:instrText>
        </w:r>
        <w:r w:rsidR="001B4E3C">
          <w:rPr>
            <w:webHidden/>
          </w:rPr>
        </w:r>
        <w:r w:rsidR="001B4E3C">
          <w:rPr>
            <w:webHidden/>
          </w:rPr>
          <w:fldChar w:fldCharType="separate"/>
        </w:r>
        <w:r w:rsidR="00F7481E">
          <w:rPr>
            <w:webHidden/>
          </w:rPr>
          <w:t>107</w:t>
        </w:r>
        <w:r w:rsidR="001B4E3C">
          <w:rPr>
            <w:webHidden/>
          </w:rPr>
          <w:fldChar w:fldCharType="end"/>
        </w:r>
      </w:hyperlink>
    </w:p>
    <w:p w14:paraId="3662072A" w14:textId="0D800254" w:rsidR="001B4E3C" w:rsidRDefault="00E63DDA">
      <w:pPr>
        <w:pStyle w:val="TOC3"/>
        <w:rPr>
          <w:rFonts w:asciiTheme="minorHAnsi" w:eastAsiaTheme="minorEastAsia" w:hAnsiTheme="minorHAnsi"/>
          <w:iCs w:val="0"/>
          <w:sz w:val="22"/>
          <w:szCs w:val="22"/>
        </w:rPr>
      </w:pPr>
      <w:hyperlink w:anchor="_Toc109921762" w:history="1">
        <w:r w:rsidR="001B4E3C" w:rsidRPr="0033797E">
          <w:rPr>
            <w:rStyle w:val="Hyperlink"/>
          </w:rPr>
          <w:t>xiv.</w:t>
        </w:r>
        <w:r w:rsidR="001B4E3C">
          <w:rPr>
            <w:rFonts w:asciiTheme="minorHAnsi" w:eastAsiaTheme="minorEastAsia" w:hAnsiTheme="minorHAnsi"/>
            <w:iCs w:val="0"/>
            <w:sz w:val="22"/>
            <w:szCs w:val="22"/>
          </w:rPr>
          <w:tab/>
        </w:r>
        <w:r w:rsidR="001B4E3C" w:rsidRPr="0033797E">
          <w:rPr>
            <w:rStyle w:val="Hyperlink"/>
          </w:rPr>
          <w:t>Go/No-Go Review</w:t>
        </w:r>
        <w:r w:rsidR="001B4E3C">
          <w:rPr>
            <w:webHidden/>
          </w:rPr>
          <w:tab/>
        </w:r>
        <w:r w:rsidR="001B4E3C">
          <w:rPr>
            <w:webHidden/>
          </w:rPr>
          <w:fldChar w:fldCharType="begin"/>
        </w:r>
        <w:r w:rsidR="001B4E3C">
          <w:rPr>
            <w:webHidden/>
          </w:rPr>
          <w:instrText xml:space="preserve"> PAGEREF _Toc109921762 \h </w:instrText>
        </w:r>
        <w:r w:rsidR="001B4E3C">
          <w:rPr>
            <w:webHidden/>
          </w:rPr>
        </w:r>
        <w:r w:rsidR="001B4E3C">
          <w:rPr>
            <w:webHidden/>
          </w:rPr>
          <w:fldChar w:fldCharType="separate"/>
        </w:r>
        <w:r w:rsidR="00F7481E">
          <w:rPr>
            <w:webHidden/>
          </w:rPr>
          <w:t>108</w:t>
        </w:r>
        <w:r w:rsidR="001B4E3C">
          <w:rPr>
            <w:webHidden/>
          </w:rPr>
          <w:fldChar w:fldCharType="end"/>
        </w:r>
      </w:hyperlink>
    </w:p>
    <w:p w14:paraId="69B9B2CB" w14:textId="6DD40475" w:rsidR="001B4E3C" w:rsidRDefault="00E63DDA">
      <w:pPr>
        <w:pStyle w:val="TOC3"/>
        <w:rPr>
          <w:rFonts w:asciiTheme="minorHAnsi" w:eastAsiaTheme="minorEastAsia" w:hAnsiTheme="minorHAnsi"/>
          <w:iCs w:val="0"/>
          <w:sz w:val="22"/>
          <w:szCs w:val="22"/>
        </w:rPr>
      </w:pPr>
      <w:hyperlink w:anchor="_Toc109921763" w:history="1">
        <w:r w:rsidR="001B4E3C" w:rsidRPr="0033797E">
          <w:rPr>
            <w:rStyle w:val="Hyperlink"/>
          </w:rPr>
          <w:t>xv.</w:t>
        </w:r>
        <w:r w:rsidR="001B4E3C">
          <w:rPr>
            <w:rFonts w:asciiTheme="minorHAnsi" w:eastAsiaTheme="minorEastAsia" w:hAnsiTheme="minorHAnsi"/>
            <w:iCs w:val="0"/>
            <w:sz w:val="22"/>
            <w:szCs w:val="22"/>
          </w:rPr>
          <w:tab/>
        </w:r>
        <w:r w:rsidR="001B4E3C" w:rsidRPr="0033797E">
          <w:rPr>
            <w:rStyle w:val="Hyperlink"/>
          </w:rPr>
          <w:t>Conference Spending</w:t>
        </w:r>
        <w:r w:rsidR="001B4E3C">
          <w:rPr>
            <w:webHidden/>
          </w:rPr>
          <w:tab/>
        </w:r>
        <w:r w:rsidR="001B4E3C">
          <w:rPr>
            <w:webHidden/>
          </w:rPr>
          <w:fldChar w:fldCharType="begin"/>
        </w:r>
        <w:r w:rsidR="001B4E3C">
          <w:rPr>
            <w:webHidden/>
          </w:rPr>
          <w:instrText xml:space="preserve"> PAGEREF _Toc109921763 \h </w:instrText>
        </w:r>
        <w:r w:rsidR="001B4E3C">
          <w:rPr>
            <w:webHidden/>
          </w:rPr>
        </w:r>
        <w:r w:rsidR="001B4E3C">
          <w:rPr>
            <w:webHidden/>
          </w:rPr>
          <w:fldChar w:fldCharType="separate"/>
        </w:r>
        <w:r w:rsidR="00F7481E">
          <w:rPr>
            <w:webHidden/>
          </w:rPr>
          <w:t>109</w:t>
        </w:r>
        <w:r w:rsidR="001B4E3C">
          <w:rPr>
            <w:webHidden/>
          </w:rPr>
          <w:fldChar w:fldCharType="end"/>
        </w:r>
      </w:hyperlink>
    </w:p>
    <w:p w14:paraId="140CFC1A" w14:textId="11956314" w:rsidR="001B4E3C" w:rsidRDefault="00E63DDA">
      <w:pPr>
        <w:pStyle w:val="TOC3"/>
        <w:rPr>
          <w:rFonts w:asciiTheme="minorHAnsi" w:eastAsiaTheme="minorEastAsia" w:hAnsiTheme="minorHAnsi"/>
          <w:iCs w:val="0"/>
          <w:sz w:val="22"/>
          <w:szCs w:val="22"/>
        </w:rPr>
      </w:pPr>
      <w:hyperlink w:anchor="_Toc109921764" w:history="1">
        <w:r w:rsidR="001B4E3C" w:rsidRPr="0033797E">
          <w:rPr>
            <w:rStyle w:val="Hyperlink"/>
          </w:rPr>
          <w:t>xvi.</w:t>
        </w:r>
        <w:r w:rsidR="001B4E3C">
          <w:rPr>
            <w:rFonts w:asciiTheme="minorHAnsi" w:eastAsiaTheme="minorEastAsia" w:hAnsiTheme="minorHAnsi"/>
            <w:iCs w:val="0"/>
            <w:sz w:val="22"/>
            <w:szCs w:val="22"/>
          </w:rPr>
          <w:tab/>
        </w:r>
        <w:r w:rsidR="001B4E3C" w:rsidRPr="0033797E">
          <w:rPr>
            <w:rStyle w:val="Hyperlink"/>
          </w:rPr>
          <w:t>Uniform Commercial Code (UCC) Financing Statements</w:t>
        </w:r>
        <w:r w:rsidR="001B4E3C">
          <w:rPr>
            <w:webHidden/>
          </w:rPr>
          <w:tab/>
        </w:r>
        <w:r w:rsidR="001B4E3C">
          <w:rPr>
            <w:webHidden/>
          </w:rPr>
          <w:fldChar w:fldCharType="begin"/>
        </w:r>
        <w:r w:rsidR="001B4E3C">
          <w:rPr>
            <w:webHidden/>
          </w:rPr>
          <w:instrText xml:space="preserve"> PAGEREF _Toc109921764 \h </w:instrText>
        </w:r>
        <w:r w:rsidR="001B4E3C">
          <w:rPr>
            <w:webHidden/>
          </w:rPr>
        </w:r>
        <w:r w:rsidR="001B4E3C">
          <w:rPr>
            <w:webHidden/>
          </w:rPr>
          <w:fldChar w:fldCharType="separate"/>
        </w:r>
        <w:r w:rsidR="00F7481E">
          <w:rPr>
            <w:webHidden/>
          </w:rPr>
          <w:t>109</w:t>
        </w:r>
        <w:r w:rsidR="001B4E3C">
          <w:rPr>
            <w:webHidden/>
          </w:rPr>
          <w:fldChar w:fldCharType="end"/>
        </w:r>
      </w:hyperlink>
    </w:p>
    <w:p w14:paraId="51302991" w14:textId="20EB6BA4" w:rsidR="001B4E3C" w:rsidRDefault="00E63DDA">
      <w:pPr>
        <w:pStyle w:val="TOC3"/>
        <w:rPr>
          <w:rFonts w:asciiTheme="minorHAnsi" w:eastAsiaTheme="minorEastAsia" w:hAnsiTheme="minorHAnsi"/>
          <w:iCs w:val="0"/>
          <w:sz w:val="22"/>
          <w:szCs w:val="22"/>
        </w:rPr>
      </w:pPr>
      <w:hyperlink w:anchor="_Toc109921765" w:history="1">
        <w:r w:rsidR="001B4E3C" w:rsidRPr="0033797E">
          <w:rPr>
            <w:rStyle w:val="Hyperlink"/>
          </w:rPr>
          <w:t>xvii.</w:t>
        </w:r>
        <w:r w:rsidR="001B4E3C">
          <w:rPr>
            <w:rFonts w:asciiTheme="minorHAnsi" w:eastAsiaTheme="minorEastAsia" w:hAnsiTheme="minorHAnsi"/>
            <w:iCs w:val="0"/>
            <w:sz w:val="22"/>
            <w:szCs w:val="22"/>
          </w:rPr>
          <w:tab/>
        </w:r>
        <w:r w:rsidR="001B4E3C" w:rsidRPr="0033797E">
          <w:rPr>
            <w:rStyle w:val="Hyperlink"/>
          </w:rPr>
          <w:t>Implementation of Executive Order 13798, Promoting Free Speech and Religious Liberty</w:t>
        </w:r>
        <w:r w:rsidR="001B4E3C">
          <w:rPr>
            <w:webHidden/>
          </w:rPr>
          <w:tab/>
        </w:r>
        <w:r w:rsidR="001B4E3C">
          <w:rPr>
            <w:webHidden/>
          </w:rPr>
          <w:fldChar w:fldCharType="begin"/>
        </w:r>
        <w:r w:rsidR="001B4E3C">
          <w:rPr>
            <w:webHidden/>
          </w:rPr>
          <w:instrText xml:space="preserve"> PAGEREF _Toc109921765 \h </w:instrText>
        </w:r>
        <w:r w:rsidR="001B4E3C">
          <w:rPr>
            <w:webHidden/>
          </w:rPr>
        </w:r>
        <w:r w:rsidR="001B4E3C">
          <w:rPr>
            <w:webHidden/>
          </w:rPr>
          <w:fldChar w:fldCharType="separate"/>
        </w:r>
        <w:r w:rsidR="00F7481E">
          <w:rPr>
            <w:webHidden/>
          </w:rPr>
          <w:t>110</w:t>
        </w:r>
        <w:r w:rsidR="001B4E3C">
          <w:rPr>
            <w:webHidden/>
          </w:rPr>
          <w:fldChar w:fldCharType="end"/>
        </w:r>
      </w:hyperlink>
    </w:p>
    <w:p w14:paraId="3FB77B63" w14:textId="14A57BB7" w:rsidR="001B4E3C" w:rsidRDefault="00E63DDA">
      <w:pPr>
        <w:pStyle w:val="TOC3"/>
        <w:rPr>
          <w:rFonts w:asciiTheme="minorHAnsi" w:eastAsiaTheme="minorEastAsia" w:hAnsiTheme="minorHAnsi"/>
          <w:iCs w:val="0"/>
          <w:sz w:val="22"/>
          <w:szCs w:val="22"/>
        </w:rPr>
      </w:pPr>
      <w:hyperlink w:anchor="_Toc109921766" w:history="1">
        <w:r w:rsidR="001B4E3C" w:rsidRPr="0033797E">
          <w:rPr>
            <w:rStyle w:val="Hyperlink"/>
          </w:rPr>
          <w:t>xviii.</w:t>
        </w:r>
        <w:r w:rsidR="001B4E3C">
          <w:rPr>
            <w:rFonts w:asciiTheme="minorHAnsi" w:eastAsiaTheme="minorEastAsia" w:hAnsiTheme="minorHAnsi"/>
            <w:iCs w:val="0"/>
            <w:sz w:val="22"/>
            <w:szCs w:val="22"/>
          </w:rPr>
          <w:tab/>
        </w:r>
        <w:r w:rsidR="001B4E3C" w:rsidRPr="0033797E">
          <w:rPr>
            <w:rStyle w:val="Hyperlink"/>
          </w:rPr>
          <w:t>Participants and Collaborating Organizations</w:t>
        </w:r>
        <w:r w:rsidR="001B4E3C">
          <w:rPr>
            <w:webHidden/>
          </w:rPr>
          <w:tab/>
        </w:r>
        <w:r w:rsidR="001B4E3C">
          <w:rPr>
            <w:webHidden/>
          </w:rPr>
          <w:fldChar w:fldCharType="begin"/>
        </w:r>
        <w:r w:rsidR="001B4E3C">
          <w:rPr>
            <w:webHidden/>
          </w:rPr>
          <w:instrText xml:space="preserve"> PAGEREF _Toc109921766 \h </w:instrText>
        </w:r>
        <w:r w:rsidR="001B4E3C">
          <w:rPr>
            <w:webHidden/>
          </w:rPr>
        </w:r>
        <w:r w:rsidR="001B4E3C">
          <w:rPr>
            <w:webHidden/>
          </w:rPr>
          <w:fldChar w:fldCharType="separate"/>
        </w:r>
        <w:r w:rsidR="00F7481E">
          <w:rPr>
            <w:webHidden/>
          </w:rPr>
          <w:t>110</w:t>
        </w:r>
        <w:r w:rsidR="001B4E3C">
          <w:rPr>
            <w:webHidden/>
          </w:rPr>
          <w:fldChar w:fldCharType="end"/>
        </w:r>
      </w:hyperlink>
    </w:p>
    <w:p w14:paraId="7D056B63" w14:textId="4B1D62D8" w:rsidR="001B4E3C" w:rsidRDefault="00E63DDA">
      <w:pPr>
        <w:pStyle w:val="TOC3"/>
        <w:rPr>
          <w:rFonts w:asciiTheme="minorHAnsi" w:eastAsiaTheme="minorEastAsia" w:hAnsiTheme="minorHAnsi"/>
          <w:iCs w:val="0"/>
          <w:sz w:val="22"/>
          <w:szCs w:val="22"/>
        </w:rPr>
      </w:pPr>
      <w:hyperlink w:anchor="_Toc109921767" w:history="1">
        <w:r w:rsidR="001B4E3C" w:rsidRPr="0033797E">
          <w:rPr>
            <w:rStyle w:val="Hyperlink"/>
          </w:rPr>
          <w:t>xix.</w:t>
        </w:r>
        <w:r w:rsidR="001B4E3C">
          <w:rPr>
            <w:rFonts w:asciiTheme="minorHAnsi" w:eastAsiaTheme="minorEastAsia" w:hAnsiTheme="minorHAnsi"/>
            <w:iCs w:val="0"/>
            <w:sz w:val="22"/>
            <w:szCs w:val="22"/>
          </w:rPr>
          <w:tab/>
        </w:r>
        <w:r w:rsidR="001B4E3C" w:rsidRPr="0033797E">
          <w:rPr>
            <w:rStyle w:val="Hyperlink"/>
          </w:rPr>
          <w:t>Current and Pending Support</w:t>
        </w:r>
        <w:r w:rsidR="001B4E3C">
          <w:rPr>
            <w:webHidden/>
          </w:rPr>
          <w:tab/>
        </w:r>
        <w:r w:rsidR="001B4E3C">
          <w:rPr>
            <w:webHidden/>
          </w:rPr>
          <w:fldChar w:fldCharType="begin"/>
        </w:r>
        <w:r w:rsidR="001B4E3C">
          <w:rPr>
            <w:webHidden/>
          </w:rPr>
          <w:instrText xml:space="preserve"> PAGEREF _Toc109921767 \h </w:instrText>
        </w:r>
        <w:r w:rsidR="001B4E3C">
          <w:rPr>
            <w:webHidden/>
          </w:rPr>
        </w:r>
        <w:r w:rsidR="001B4E3C">
          <w:rPr>
            <w:webHidden/>
          </w:rPr>
          <w:fldChar w:fldCharType="separate"/>
        </w:r>
        <w:r w:rsidR="00F7481E">
          <w:rPr>
            <w:webHidden/>
          </w:rPr>
          <w:t>110</w:t>
        </w:r>
        <w:r w:rsidR="001B4E3C">
          <w:rPr>
            <w:webHidden/>
          </w:rPr>
          <w:fldChar w:fldCharType="end"/>
        </w:r>
      </w:hyperlink>
    </w:p>
    <w:p w14:paraId="53F5C0C8" w14:textId="7E35DBD2" w:rsidR="001B4E3C" w:rsidRDefault="00E63DDA">
      <w:pPr>
        <w:pStyle w:val="TOC3"/>
        <w:rPr>
          <w:rFonts w:asciiTheme="minorHAnsi" w:eastAsiaTheme="minorEastAsia" w:hAnsiTheme="minorHAnsi"/>
          <w:iCs w:val="0"/>
          <w:sz w:val="22"/>
          <w:szCs w:val="22"/>
        </w:rPr>
      </w:pPr>
      <w:hyperlink w:anchor="_Toc109921768" w:history="1">
        <w:r w:rsidR="001B4E3C" w:rsidRPr="0033797E">
          <w:rPr>
            <w:rStyle w:val="Hyperlink"/>
          </w:rPr>
          <w:t>xx.</w:t>
        </w:r>
        <w:r w:rsidR="001B4E3C">
          <w:rPr>
            <w:rFonts w:asciiTheme="minorHAnsi" w:eastAsiaTheme="minorEastAsia" w:hAnsiTheme="minorHAnsi"/>
            <w:iCs w:val="0"/>
            <w:sz w:val="22"/>
            <w:szCs w:val="22"/>
          </w:rPr>
          <w:tab/>
        </w:r>
        <w:r w:rsidR="001B4E3C" w:rsidRPr="0033797E">
          <w:rPr>
            <w:rStyle w:val="Hyperlink"/>
          </w:rPr>
          <w:t>U.S. Manufacturing Commitments</w:t>
        </w:r>
        <w:r w:rsidR="001B4E3C">
          <w:rPr>
            <w:webHidden/>
          </w:rPr>
          <w:tab/>
        </w:r>
        <w:r w:rsidR="001B4E3C">
          <w:rPr>
            <w:webHidden/>
          </w:rPr>
          <w:fldChar w:fldCharType="begin"/>
        </w:r>
        <w:r w:rsidR="001B4E3C">
          <w:rPr>
            <w:webHidden/>
          </w:rPr>
          <w:instrText xml:space="preserve"> PAGEREF _Toc109921768 \h </w:instrText>
        </w:r>
        <w:r w:rsidR="001B4E3C">
          <w:rPr>
            <w:webHidden/>
          </w:rPr>
        </w:r>
        <w:r w:rsidR="001B4E3C">
          <w:rPr>
            <w:webHidden/>
          </w:rPr>
          <w:fldChar w:fldCharType="separate"/>
        </w:r>
        <w:r w:rsidR="00F7481E">
          <w:rPr>
            <w:webHidden/>
          </w:rPr>
          <w:t>110</w:t>
        </w:r>
        <w:r w:rsidR="001B4E3C">
          <w:rPr>
            <w:webHidden/>
          </w:rPr>
          <w:fldChar w:fldCharType="end"/>
        </w:r>
      </w:hyperlink>
    </w:p>
    <w:p w14:paraId="15F19066" w14:textId="0F5D8350" w:rsidR="001B4E3C" w:rsidRDefault="00E63DDA">
      <w:pPr>
        <w:pStyle w:val="TOC3"/>
        <w:rPr>
          <w:rFonts w:asciiTheme="minorHAnsi" w:eastAsiaTheme="minorEastAsia" w:hAnsiTheme="minorHAnsi"/>
          <w:iCs w:val="0"/>
          <w:sz w:val="22"/>
          <w:szCs w:val="22"/>
        </w:rPr>
      </w:pPr>
      <w:hyperlink w:anchor="_Toc109921769" w:history="1">
        <w:r w:rsidR="001B4E3C" w:rsidRPr="0033797E">
          <w:rPr>
            <w:rStyle w:val="Hyperlink"/>
          </w:rPr>
          <w:t>xxi.</w:t>
        </w:r>
        <w:r w:rsidR="001B4E3C">
          <w:rPr>
            <w:rFonts w:asciiTheme="minorHAnsi" w:eastAsiaTheme="minorEastAsia" w:hAnsiTheme="minorHAnsi"/>
            <w:iCs w:val="0"/>
            <w:sz w:val="22"/>
            <w:szCs w:val="22"/>
          </w:rPr>
          <w:tab/>
        </w:r>
        <w:r w:rsidR="001B4E3C" w:rsidRPr="0033797E">
          <w:rPr>
            <w:rStyle w:val="Hyperlink"/>
          </w:rPr>
          <w:t>Interim Conflict of Interest Policy for Financial Assistance Policy</w:t>
        </w:r>
        <w:r w:rsidR="001B4E3C">
          <w:rPr>
            <w:webHidden/>
          </w:rPr>
          <w:tab/>
        </w:r>
        <w:r w:rsidR="001B4E3C">
          <w:rPr>
            <w:webHidden/>
          </w:rPr>
          <w:fldChar w:fldCharType="begin"/>
        </w:r>
        <w:r w:rsidR="001B4E3C">
          <w:rPr>
            <w:webHidden/>
          </w:rPr>
          <w:instrText xml:space="preserve"> PAGEREF _Toc109921769 \h </w:instrText>
        </w:r>
        <w:r w:rsidR="001B4E3C">
          <w:rPr>
            <w:webHidden/>
          </w:rPr>
        </w:r>
        <w:r w:rsidR="001B4E3C">
          <w:rPr>
            <w:webHidden/>
          </w:rPr>
          <w:fldChar w:fldCharType="separate"/>
        </w:r>
        <w:r w:rsidR="00F7481E">
          <w:rPr>
            <w:webHidden/>
          </w:rPr>
          <w:t>112</w:t>
        </w:r>
        <w:r w:rsidR="001B4E3C">
          <w:rPr>
            <w:webHidden/>
          </w:rPr>
          <w:fldChar w:fldCharType="end"/>
        </w:r>
      </w:hyperlink>
    </w:p>
    <w:p w14:paraId="6F3D676D" w14:textId="7FCFE5D6" w:rsidR="001B4E3C" w:rsidRDefault="00E63DDA">
      <w:pPr>
        <w:pStyle w:val="TOC3"/>
        <w:rPr>
          <w:rFonts w:asciiTheme="minorHAnsi" w:eastAsiaTheme="minorEastAsia" w:hAnsiTheme="minorHAnsi"/>
          <w:iCs w:val="0"/>
          <w:sz w:val="22"/>
          <w:szCs w:val="22"/>
        </w:rPr>
      </w:pPr>
      <w:hyperlink w:anchor="_Toc109921770" w:history="1">
        <w:r w:rsidR="001B4E3C" w:rsidRPr="0033797E">
          <w:rPr>
            <w:rStyle w:val="Hyperlink"/>
          </w:rPr>
          <w:t>xxii.</w:t>
        </w:r>
        <w:r w:rsidR="001B4E3C">
          <w:rPr>
            <w:rFonts w:asciiTheme="minorHAnsi" w:eastAsiaTheme="minorEastAsia" w:hAnsiTheme="minorHAnsi"/>
            <w:iCs w:val="0"/>
            <w:sz w:val="22"/>
            <w:szCs w:val="22"/>
          </w:rPr>
          <w:tab/>
        </w:r>
        <w:r w:rsidR="001B4E3C" w:rsidRPr="0033797E">
          <w:rPr>
            <w:rStyle w:val="Hyperlink"/>
          </w:rPr>
          <w:t>Fraud, Waste and Abuse</w:t>
        </w:r>
        <w:r w:rsidR="001B4E3C">
          <w:rPr>
            <w:webHidden/>
          </w:rPr>
          <w:tab/>
        </w:r>
        <w:r w:rsidR="001B4E3C">
          <w:rPr>
            <w:webHidden/>
          </w:rPr>
          <w:fldChar w:fldCharType="begin"/>
        </w:r>
        <w:r w:rsidR="001B4E3C">
          <w:rPr>
            <w:webHidden/>
          </w:rPr>
          <w:instrText xml:space="preserve"> PAGEREF _Toc109921770 \h </w:instrText>
        </w:r>
        <w:r w:rsidR="001B4E3C">
          <w:rPr>
            <w:webHidden/>
          </w:rPr>
        </w:r>
        <w:r w:rsidR="001B4E3C">
          <w:rPr>
            <w:webHidden/>
          </w:rPr>
          <w:fldChar w:fldCharType="separate"/>
        </w:r>
        <w:r w:rsidR="00F7481E">
          <w:rPr>
            <w:webHidden/>
          </w:rPr>
          <w:t>112</w:t>
        </w:r>
        <w:r w:rsidR="001B4E3C">
          <w:rPr>
            <w:webHidden/>
          </w:rPr>
          <w:fldChar w:fldCharType="end"/>
        </w:r>
      </w:hyperlink>
    </w:p>
    <w:p w14:paraId="21B5C0A7" w14:textId="04303BC0" w:rsidR="001B4E3C" w:rsidRDefault="00E63DDA">
      <w:pPr>
        <w:pStyle w:val="TOC3"/>
        <w:rPr>
          <w:rFonts w:asciiTheme="minorHAnsi" w:eastAsiaTheme="minorEastAsia" w:hAnsiTheme="minorHAnsi"/>
          <w:iCs w:val="0"/>
          <w:sz w:val="22"/>
          <w:szCs w:val="22"/>
        </w:rPr>
      </w:pPr>
      <w:hyperlink w:anchor="_Toc109921771" w:history="1">
        <w:r w:rsidR="001B4E3C" w:rsidRPr="0033797E">
          <w:rPr>
            <w:rStyle w:val="Hyperlink"/>
          </w:rPr>
          <w:t>xxiii.</w:t>
        </w:r>
        <w:r w:rsidR="001B4E3C">
          <w:rPr>
            <w:rFonts w:asciiTheme="minorHAnsi" w:eastAsiaTheme="minorEastAsia" w:hAnsiTheme="minorHAnsi"/>
            <w:iCs w:val="0"/>
            <w:sz w:val="22"/>
            <w:szCs w:val="22"/>
          </w:rPr>
          <w:tab/>
        </w:r>
        <w:r w:rsidR="001B4E3C" w:rsidRPr="0033797E">
          <w:rPr>
            <w:rStyle w:val="Hyperlink"/>
          </w:rPr>
          <w:t>Human Research Subjects</w:t>
        </w:r>
        <w:r w:rsidR="001B4E3C">
          <w:rPr>
            <w:webHidden/>
          </w:rPr>
          <w:tab/>
        </w:r>
        <w:r w:rsidR="001B4E3C">
          <w:rPr>
            <w:webHidden/>
          </w:rPr>
          <w:fldChar w:fldCharType="begin"/>
        </w:r>
        <w:r w:rsidR="001B4E3C">
          <w:rPr>
            <w:webHidden/>
          </w:rPr>
          <w:instrText xml:space="preserve"> PAGEREF _Toc109921771 \h </w:instrText>
        </w:r>
        <w:r w:rsidR="001B4E3C">
          <w:rPr>
            <w:webHidden/>
          </w:rPr>
        </w:r>
        <w:r w:rsidR="001B4E3C">
          <w:rPr>
            <w:webHidden/>
          </w:rPr>
          <w:fldChar w:fldCharType="separate"/>
        </w:r>
        <w:r w:rsidR="00F7481E">
          <w:rPr>
            <w:webHidden/>
          </w:rPr>
          <w:t>113</w:t>
        </w:r>
        <w:r w:rsidR="001B4E3C">
          <w:rPr>
            <w:webHidden/>
          </w:rPr>
          <w:fldChar w:fldCharType="end"/>
        </w:r>
      </w:hyperlink>
    </w:p>
    <w:p w14:paraId="54AC8A7A" w14:textId="5C0B5060" w:rsidR="001B4E3C" w:rsidRDefault="00E63DDA">
      <w:pPr>
        <w:pStyle w:val="TOC3"/>
        <w:rPr>
          <w:rFonts w:asciiTheme="minorHAnsi" w:eastAsiaTheme="minorEastAsia" w:hAnsiTheme="minorHAnsi"/>
          <w:iCs w:val="0"/>
          <w:sz w:val="22"/>
          <w:szCs w:val="22"/>
        </w:rPr>
      </w:pPr>
      <w:hyperlink w:anchor="_Toc109921772" w:history="1">
        <w:r w:rsidR="001B4E3C" w:rsidRPr="0033797E">
          <w:rPr>
            <w:rStyle w:val="Hyperlink"/>
          </w:rPr>
          <w:t>xxiv.</w:t>
        </w:r>
        <w:r w:rsidR="001B4E3C">
          <w:rPr>
            <w:rFonts w:asciiTheme="minorHAnsi" w:eastAsiaTheme="minorEastAsia" w:hAnsiTheme="minorHAnsi"/>
            <w:iCs w:val="0"/>
            <w:sz w:val="22"/>
            <w:szCs w:val="22"/>
          </w:rPr>
          <w:tab/>
        </w:r>
        <w:r w:rsidR="001B4E3C" w:rsidRPr="0033797E">
          <w:rPr>
            <w:rStyle w:val="Hyperlink"/>
          </w:rPr>
          <w:t>Data Management Plan (DMP)</w:t>
        </w:r>
        <w:r w:rsidR="001B4E3C">
          <w:rPr>
            <w:webHidden/>
          </w:rPr>
          <w:tab/>
        </w:r>
        <w:r w:rsidR="001B4E3C">
          <w:rPr>
            <w:webHidden/>
          </w:rPr>
          <w:fldChar w:fldCharType="begin"/>
        </w:r>
        <w:r w:rsidR="001B4E3C">
          <w:rPr>
            <w:webHidden/>
          </w:rPr>
          <w:instrText xml:space="preserve"> PAGEREF _Toc109921772 \h </w:instrText>
        </w:r>
        <w:r w:rsidR="001B4E3C">
          <w:rPr>
            <w:webHidden/>
          </w:rPr>
        </w:r>
        <w:r w:rsidR="001B4E3C">
          <w:rPr>
            <w:webHidden/>
          </w:rPr>
          <w:fldChar w:fldCharType="separate"/>
        </w:r>
        <w:r w:rsidR="00F7481E">
          <w:rPr>
            <w:webHidden/>
          </w:rPr>
          <w:t>114</w:t>
        </w:r>
        <w:r w:rsidR="001B4E3C">
          <w:rPr>
            <w:webHidden/>
          </w:rPr>
          <w:fldChar w:fldCharType="end"/>
        </w:r>
      </w:hyperlink>
    </w:p>
    <w:p w14:paraId="7A4952EB" w14:textId="0C87625D" w:rsidR="001B4E3C" w:rsidRDefault="00E63DDA">
      <w:pPr>
        <w:pStyle w:val="TOC1"/>
        <w:rPr>
          <w:rFonts w:eastAsiaTheme="minorEastAsia"/>
          <w:b w:val="0"/>
          <w:bCs w:val="0"/>
          <w:noProof/>
          <w:sz w:val="22"/>
          <w:szCs w:val="22"/>
        </w:rPr>
      </w:pPr>
      <w:hyperlink w:anchor="_Toc109921773" w:history="1">
        <w:r w:rsidR="001B4E3C" w:rsidRPr="0033797E">
          <w:rPr>
            <w:rStyle w:val="Hyperlink"/>
            <w:smallCaps/>
            <w:noProof/>
          </w:rPr>
          <w:t>VII.</w:t>
        </w:r>
        <w:r w:rsidR="001B4E3C">
          <w:rPr>
            <w:rFonts w:eastAsiaTheme="minorEastAsia"/>
            <w:b w:val="0"/>
            <w:bCs w:val="0"/>
            <w:noProof/>
            <w:sz w:val="22"/>
            <w:szCs w:val="22"/>
          </w:rPr>
          <w:tab/>
        </w:r>
        <w:r w:rsidR="001B4E3C" w:rsidRPr="0033797E">
          <w:rPr>
            <w:rStyle w:val="Hyperlink"/>
            <w:noProof/>
          </w:rPr>
          <w:t>Questions/Agency Contacts</w:t>
        </w:r>
        <w:r w:rsidR="001B4E3C">
          <w:rPr>
            <w:noProof/>
            <w:webHidden/>
          </w:rPr>
          <w:tab/>
        </w:r>
        <w:r w:rsidR="001B4E3C">
          <w:rPr>
            <w:noProof/>
            <w:webHidden/>
          </w:rPr>
          <w:fldChar w:fldCharType="begin"/>
        </w:r>
        <w:r w:rsidR="001B4E3C">
          <w:rPr>
            <w:noProof/>
            <w:webHidden/>
          </w:rPr>
          <w:instrText xml:space="preserve"> PAGEREF _Toc109921773 \h </w:instrText>
        </w:r>
        <w:r w:rsidR="001B4E3C">
          <w:rPr>
            <w:noProof/>
            <w:webHidden/>
          </w:rPr>
        </w:r>
        <w:r w:rsidR="001B4E3C">
          <w:rPr>
            <w:noProof/>
            <w:webHidden/>
          </w:rPr>
          <w:fldChar w:fldCharType="separate"/>
        </w:r>
        <w:r w:rsidR="00F7481E">
          <w:rPr>
            <w:noProof/>
            <w:webHidden/>
          </w:rPr>
          <w:t>114</w:t>
        </w:r>
        <w:r w:rsidR="001B4E3C">
          <w:rPr>
            <w:noProof/>
            <w:webHidden/>
          </w:rPr>
          <w:fldChar w:fldCharType="end"/>
        </w:r>
      </w:hyperlink>
    </w:p>
    <w:p w14:paraId="69FEF116" w14:textId="3F2CB26B" w:rsidR="001B4E3C" w:rsidRDefault="00E63DDA">
      <w:pPr>
        <w:pStyle w:val="TOC1"/>
        <w:rPr>
          <w:rFonts w:eastAsiaTheme="minorEastAsia"/>
          <w:b w:val="0"/>
          <w:bCs w:val="0"/>
          <w:noProof/>
          <w:sz w:val="22"/>
          <w:szCs w:val="22"/>
        </w:rPr>
      </w:pPr>
      <w:hyperlink w:anchor="_Toc109921774" w:history="1">
        <w:r w:rsidR="001B4E3C" w:rsidRPr="0033797E">
          <w:rPr>
            <w:rStyle w:val="Hyperlink"/>
            <w:smallCaps/>
            <w:noProof/>
          </w:rPr>
          <w:t>VIII.</w:t>
        </w:r>
        <w:r w:rsidR="001B4E3C">
          <w:rPr>
            <w:rFonts w:eastAsiaTheme="minorEastAsia"/>
            <w:b w:val="0"/>
            <w:bCs w:val="0"/>
            <w:noProof/>
            <w:sz w:val="22"/>
            <w:szCs w:val="22"/>
          </w:rPr>
          <w:tab/>
        </w:r>
        <w:r w:rsidR="001B4E3C" w:rsidRPr="0033797E">
          <w:rPr>
            <w:rStyle w:val="Hyperlink"/>
            <w:noProof/>
          </w:rPr>
          <w:t>Other Information</w:t>
        </w:r>
        <w:r w:rsidR="001B4E3C">
          <w:rPr>
            <w:noProof/>
            <w:webHidden/>
          </w:rPr>
          <w:tab/>
        </w:r>
        <w:r w:rsidR="001B4E3C">
          <w:rPr>
            <w:noProof/>
            <w:webHidden/>
          </w:rPr>
          <w:fldChar w:fldCharType="begin"/>
        </w:r>
        <w:r w:rsidR="001B4E3C">
          <w:rPr>
            <w:noProof/>
            <w:webHidden/>
          </w:rPr>
          <w:instrText xml:space="preserve"> PAGEREF _Toc109921774 \h </w:instrText>
        </w:r>
        <w:r w:rsidR="001B4E3C">
          <w:rPr>
            <w:noProof/>
            <w:webHidden/>
          </w:rPr>
        </w:r>
        <w:r w:rsidR="001B4E3C">
          <w:rPr>
            <w:noProof/>
            <w:webHidden/>
          </w:rPr>
          <w:fldChar w:fldCharType="separate"/>
        </w:r>
        <w:r w:rsidR="00F7481E">
          <w:rPr>
            <w:noProof/>
            <w:webHidden/>
          </w:rPr>
          <w:t>115</w:t>
        </w:r>
        <w:r w:rsidR="001B4E3C">
          <w:rPr>
            <w:noProof/>
            <w:webHidden/>
          </w:rPr>
          <w:fldChar w:fldCharType="end"/>
        </w:r>
      </w:hyperlink>
    </w:p>
    <w:p w14:paraId="7473D299" w14:textId="0D7C316A" w:rsidR="001B4E3C" w:rsidRDefault="00E63DDA">
      <w:pPr>
        <w:pStyle w:val="TOC2"/>
        <w:rPr>
          <w:rFonts w:eastAsiaTheme="minorEastAsia"/>
          <w:noProof/>
          <w:sz w:val="22"/>
          <w:szCs w:val="22"/>
        </w:rPr>
      </w:pPr>
      <w:hyperlink w:anchor="_Toc109921775" w:history="1">
        <w:r w:rsidR="001B4E3C" w:rsidRPr="0033797E">
          <w:rPr>
            <w:rStyle w:val="Hyperlink"/>
            <w:smallCaps/>
            <w:noProof/>
          </w:rPr>
          <w:t>A.</w:t>
        </w:r>
        <w:r w:rsidR="001B4E3C">
          <w:rPr>
            <w:rFonts w:eastAsiaTheme="minorEastAsia"/>
            <w:noProof/>
            <w:sz w:val="22"/>
            <w:szCs w:val="22"/>
          </w:rPr>
          <w:tab/>
        </w:r>
        <w:r w:rsidR="001B4E3C" w:rsidRPr="0033797E">
          <w:rPr>
            <w:rStyle w:val="Hyperlink"/>
            <w:noProof/>
          </w:rPr>
          <w:t>FOA Modifications</w:t>
        </w:r>
        <w:r w:rsidR="001B4E3C">
          <w:rPr>
            <w:noProof/>
            <w:webHidden/>
          </w:rPr>
          <w:tab/>
        </w:r>
        <w:r w:rsidR="001B4E3C">
          <w:rPr>
            <w:noProof/>
            <w:webHidden/>
          </w:rPr>
          <w:fldChar w:fldCharType="begin"/>
        </w:r>
        <w:r w:rsidR="001B4E3C">
          <w:rPr>
            <w:noProof/>
            <w:webHidden/>
          </w:rPr>
          <w:instrText xml:space="preserve"> PAGEREF _Toc109921775 \h </w:instrText>
        </w:r>
        <w:r w:rsidR="001B4E3C">
          <w:rPr>
            <w:noProof/>
            <w:webHidden/>
          </w:rPr>
        </w:r>
        <w:r w:rsidR="001B4E3C">
          <w:rPr>
            <w:noProof/>
            <w:webHidden/>
          </w:rPr>
          <w:fldChar w:fldCharType="separate"/>
        </w:r>
        <w:r w:rsidR="00F7481E">
          <w:rPr>
            <w:noProof/>
            <w:webHidden/>
          </w:rPr>
          <w:t>115</w:t>
        </w:r>
        <w:r w:rsidR="001B4E3C">
          <w:rPr>
            <w:noProof/>
            <w:webHidden/>
          </w:rPr>
          <w:fldChar w:fldCharType="end"/>
        </w:r>
      </w:hyperlink>
    </w:p>
    <w:p w14:paraId="1A633038" w14:textId="334AF5E7" w:rsidR="001B4E3C" w:rsidRDefault="00E63DDA">
      <w:pPr>
        <w:pStyle w:val="TOC2"/>
        <w:rPr>
          <w:rFonts w:eastAsiaTheme="minorEastAsia"/>
          <w:noProof/>
          <w:sz w:val="22"/>
          <w:szCs w:val="22"/>
        </w:rPr>
      </w:pPr>
      <w:hyperlink w:anchor="_Toc109921776" w:history="1">
        <w:r w:rsidR="001B4E3C" w:rsidRPr="0033797E">
          <w:rPr>
            <w:rStyle w:val="Hyperlink"/>
            <w:smallCaps/>
            <w:noProof/>
          </w:rPr>
          <w:t>B.</w:t>
        </w:r>
        <w:r w:rsidR="001B4E3C">
          <w:rPr>
            <w:rFonts w:eastAsiaTheme="minorEastAsia"/>
            <w:noProof/>
            <w:sz w:val="22"/>
            <w:szCs w:val="22"/>
          </w:rPr>
          <w:tab/>
        </w:r>
        <w:r w:rsidR="001B4E3C" w:rsidRPr="0033797E">
          <w:rPr>
            <w:rStyle w:val="Hyperlink"/>
            <w:noProof/>
          </w:rPr>
          <w:t>Government Right to Reject or Negotiate</w:t>
        </w:r>
        <w:r w:rsidR="001B4E3C">
          <w:rPr>
            <w:noProof/>
            <w:webHidden/>
          </w:rPr>
          <w:tab/>
        </w:r>
        <w:r w:rsidR="001B4E3C">
          <w:rPr>
            <w:noProof/>
            <w:webHidden/>
          </w:rPr>
          <w:fldChar w:fldCharType="begin"/>
        </w:r>
        <w:r w:rsidR="001B4E3C">
          <w:rPr>
            <w:noProof/>
            <w:webHidden/>
          </w:rPr>
          <w:instrText xml:space="preserve"> PAGEREF _Toc109921776 \h </w:instrText>
        </w:r>
        <w:r w:rsidR="001B4E3C">
          <w:rPr>
            <w:noProof/>
            <w:webHidden/>
          </w:rPr>
        </w:r>
        <w:r w:rsidR="001B4E3C">
          <w:rPr>
            <w:noProof/>
            <w:webHidden/>
          </w:rPr>
          <w:fldChar w:fldCharType="separate"/>
        </w:r>
        <w:r w:rsidR="00F7481E">
          <w:rPr>
            <w:noProof/>
            <w:webHidden/>
          </w:rPr>
          <w:t>115</w:t>
        </w:r>
        <w:r w:rsidR="001B4E3C">
          <w:rPr>
            <w:noProof/>
            <w:webHidden/>
          </w:rPr>
          <w:fldChar w:fldCharType="end"/>
        </w:r>
      </w:hyperlink>
    </w:p>
    <w:p w14:paraId="6A3D98E7" w14:textId="50D65BEB" w:rsidR="001B4E3C" w:rsidRDefault="00E63DDA">
      <w:pPr>
        <w:pStyle w:val="TOC2"/>
        <w:rPr>
          <w:rFonts w:eastAsiaTheme="minorEastAsia"/>
          <w:noProof/>
          <w:sz w:val="22"/>
          <w:szCs w:val="22"/>
        </w:rPr>
      </w:pPr>
      <w:hyperlink w:anchor="_Toc109921777" w:history="1">
        <w:r w:rsidR="001B4E3C" w:rsidRPr="0033797E">
          <w:rPr>
            <w:rStyle w:val="Hyperlink"/>
            <w:smallCaps/>
            <w:noProof/>
          </w:rPr>
          <w:t>C.</w:t>
        </w:r>
        <w:r w:rsidR="001B4E3C">
          <w:rPr>
            <w:rFonts w:eastAsiaTheme="minorEastAsia"/>
            <w:noProof/>
            <w:sz w:val="22"/>
            <w:szCs w:val="22"/>
          </w:rPr>
          <w:tab/>
        </w:r>
        <w:r w:rsidR="001B4E3C" w:rsidRPr="0033797E">
          <w:rPr>
            <w:rStyle w:val="Hyperlink"/>
            <w:noProof/>
          </w:rPr>
          <w:t>Commitment of Public Funds</w:t>
        </w:r>
        <w:r w:rsidR="001B4E3C">
          <w:rPr>
            <w:noProof/>
            <w:webHidden/>
          </w:rPr>
          <w:tab/>
        </w:r>
        <w:r w:rsidR="001B4E3C">
          <w:rPr>
            <w:noProof/>
            <w:webHidden/>
          </w:rPr>
          <w:fldChar w:fldCharType="begin"/>
        </w:r>
        <w:r w:rsidR="001B4E3C">
          <w:rPr>
            <w:noProof/>
            <w:webHidden/>
          </w:rPr>
          <w:instrText xml:space="preserve"> PAGEREF _Toc109921777 \h </w:instrText>
        </w:r>
        <w:r w:rsidR="001B4E3C">
          <w:rPr>
            <w:noProof/>
            <w:webHidden/>
          </w:rPr>
        </w:r>
        <w:r w:rsidR="001B4E3C">
          <w:rPr>
            <w:noProof/>
            <w:webHidden/>
          </w:rPr>
          <w:fldChar w:fldCharType="separate"/>
        </w:r>
        <w:r w:rsidR="00F7481E">
          <w:rPr>
            <w:noProof/>
            <w:webHidden/>
          </w:rPr>
          <w:t>115</w:t>
        </w:r>
        <w:r w:rsidR="001B4E3C">
          <w:rPr>
            <w:noProof/>
            <w:webHidden/>
          </w:rPr>
          <w:fldChar w:fldCharType="end"/>
        </w:r>
      </w:hyperlink>
    </w:p>
    <w:p w14:paraId="581FB779" w14:textId="463EC7E5" w:rsidR="001B4E3C" w:rsidRDefault="00E63DDA">
      <w:pPr>
        <w:pStyle w:val="TOC2"/>
        <w:rPr>
          <w:rFonts w:eastAsiaTheme="minorEastAsia"/>
          <w:noProof/>
          <w:sz w:val="22"/>
          <w:szCs w:val="22"/>
        </w:rPr>
      </w:pPr>
      <w:hyperlink w:anchor="_Toc109921778" w:history="1">
        <w:r w:rsidR="001B4E3C" w:rsidRPr="0033797E">
          <w:rPr>
            <w:rStyle w:val="Hyperlink"/>
            <w:smallCaps/>
            <w:noProof/>
          </w:rPr>
          <w:t>D.</w:t>
        </w:r>
        <w:r w:rsidR="001B4E3C">
          <w:rPr>
            <w:rFonts w:eastAsiaTheme="minorEastAsia"/>
            <w:noProof/>
            <w:sz w:val="22"/>
            <w:szCs w:val="22"/>
          </w:rPr>
          <w:tab/>
        </w:r>
        <w:r w:rsidR="001B4E3C" w:rsidRPr="0033797E">
          <w:rPr>
            <w:rStyle w:val="Hyperlink"/>
            <w:noProof/>
          </w:rPr>
          <w:t>Treatment of Application Information</w:t>
        </w:r>
        <w:r w:rsidR="001B4E3C">
          <w:rPr>
            <w:noProof/>
            <w:webHidden/>
          </w:rPr>
          <w:tab/>
        </w:r>
        <w:r w:rsidR="001B4E3C">
          <w:rPr>
            <w:noProof/>
            <w:webHidden/>
          </w:rPr>
          <w:fldChar w:fldCharType="begin"/>
        </w:r>
        <w:r w:rsidR="001B4E3C">
          <w:rPr>
            <w:noProof/>
            <w:webHidden/>
          </w:rPr>
          <w:instrText xml:space="preserve"> PAGEREF _Toc109921778 \h </w:instrText>
        </w:r>
        <w:r w:rsidR="001B4E3C">
          <w:rPr>
            <w:noProof/>
            <w:webHidden/>
          </w:rPr>
        </w:r>
        <w:r w:rsidR="001B4E3C">
          <w:rPr>
            <w:noProof/>
            <w:webHidden/>
          </w:rPr>
          <w:fldChar w:fldCharType="separate"/>
        </w:r>
        <w:r w:rsidR="00F7481E">
          <w:rPr>
            <w:noProof/>
            <w:webHidden/>
          </w:rPr>
          <w:t>115</w:t>
        </w:r>
        <w:r w:rsidR="001B4E3C">
          <w:rPr>
            <w:noProof/>
            <w:webHidden/>
          </w:rPr>
          <w:fldChar w:fldCharType="end"/>
        </w:r>
      </w:hyperlink>
    </w:p>
    <w:p w14:paraId="53CE89D4" w14:textId="4A7C2951" w:rsidR="001B4E3C" w:rsidRDefault="00E63DDA">
      <w:pPr>
        <w:pStyle w:val="TOC2"/>
        <w:rPr>
          <w:rFonts w:eastAsiaTheme="minorEastAsia"/>
          <w:noProof/>
          <w:sz w:val="22"/>
          <w:szCs w:val="22"/>
        </w:rPr>
      </w:pPr>
      <w:hyperlink w:anchor="_Toc109921779" w:history="1">
        <w:r w:rsidR="001B4E3C" w:rsidRPr="0033797E">
          <w:rPr>
            <w:rStyle w:val="Hyperlink"/>
            <w:smallCaps/>
            <w:noProof/>
          </w:rPr>
          <w:t>E.</w:t>
        </w:r>
        <w:r w:rsidR="001B4E3C">
          <w:rPr>
            <w:rFonts w:eastAsiaTheme="minorEastAsia"/>
            <w:noProof/>
            <w:sz w:val="22"/>
            <w:szCs w:val="22"/>
          </w:rPr>
          <w:tab/>
        </w:r>
        <w:r w:rsidR="001B4E3C" w:rsidRPr="0033797E">
          <w:rPr>
            <w:rStyle w:val="Hyperlink"/>
            <w:noProof/>
          </w:rPr>
          <w:t>Evaluation and Administration by Non-Federal Personnel</w:t>
        </w:r>
        <w:r w:rsidR="001B4E3C">
          <w:rPr>
            <w:noProof/>
            <w:webHidden/>
          </w:rPr>
          <w:tab/>
        </w:r>
        <w:r w:rsidR="001B4E3C">
          <w:rPr>
            <w:noProof/>
            <w:webHidden/>
          </w:rPr>
          <w:fldChar w:fldCharType="begin"/>
        </w:r>
        <w:r w:rsidR="001B4E3C">
          <w:rPr>
            <w:noProof/>
            <w:webHidden/>
          </w:rPr>
          <w:instrText xml:space="preserve"> PAGEREF _Toc109921779 \h </w:instrText>
        </w:r>
        <w:r w:rsidR="001B4E3C">
          <w:rPr>
            <w:noProof/>
            <w:webHidden/>
          </w:rPr>
        </w:r>
        <w:r w:rsidR="001B4E3C">
          <w:rPr>
            <w:noProof/>
            <w:webHidden/>
          </w:rPr>
          <w:fldChar w:fldCharType="separate"/>
        </w:r>
        <w:r w:rsidR="00F7481E">
          <w:rPr>
            <w:noProof/>
            <w:webHidden/>
          </w:rPr>
          <w:t>117</w:t>
        </w:r>
        <w:r w:rsidR="001B4E3C">
          <w:rPr>
            <w:noProof/>
            <w:webHidden/>
          </w:rPr>
          <w:fldChar w:fldCharType="end"/>
        </w:r>
      </w:hyperlink>
    </w:p>
    <w:p w14:paraId="358A60EF" w14:textId="2C20C555" w:rsidR="001B4E3C" w:rsidRDefault="00E63DDA">
      <w:pPr>
        <w:pStyle w:val="TOC2"/>
        <w:rPr>
          <w:rFonts w:eastAsiaTheme="minorEastAsia"/>
          <w:noProof/>
          <w:sz w:val="22"/>
          <w:szCs w:val="22"/>
        </w:rPr>
      </w:pPr>
      <w:hyperlink w:anchor="_Toc109921780" w:history="1">
        <w:r w:rsidR="001B4E3C" w:rsidRPr="0033797E">
          <w:rPr>
            <w:rStyle w:val="Hyperlink"/>
            <w:smallCaps/>
            <w:noProof/>
          </w:rPr>
          <w:t>F.</w:t>
        </w:r>
        <w:r w:rsidR="001B4E3C">
          <w:rPr>
            <w:rFonts w:eastAsiaTheme="minorEastAsia"/>
            <w:noProof/>
            <w:sz w:val="22"/>
            <w:szCs w:val="22"/>
          </w:rPr>
          <w:tab/>
        </w:r>
        <w:r w:rsidR="001B4E3C" w:rsidRPr="0033797E">
          <w:rPr>
            <w:rStyle w:val="Hyperlink"/>
            <w:noProof/>
          </w:rPr>
          <w:t>Notice Regarding Eligible/Ineligible Activities</w:t>
        </w:r>
        <w:r w:rsidR="001B4E3C">
          <w:rPr>
            <w:noProof/>
            <w:webHidden/>
          </w:rPr>
          <w:tab/>
        </w:r>
        <w:r w:rsidR="001B4E3C">
          <w:rPr>
            <w:noProof/>
            <w:webHidden/>
          </w:rPr>
          <w:fldChar w:fldCharType="begin"/>
        </w:r>
        <w:r w:rsidR="001B4E3C">
          <w:rPr>
            <w:noProof/>
            <w:webHidden/>
          </w:rPr>
          <w:instrText xml:space="preserve"> PAGEREF _Toc109921780 \h </w:instrText>
        </w:r>
        <w:r w:rsidR="001B4E3C">
          <w:rPr>
            <w:noProof/>
            <w:webHidden/>
          </w:rPr>
        </w:r>
        <w:r w:rsidR="001B4E3C">
          <w:rPr>
            <w:noProof/>
            <w:webHidden/>
          </w:rPr>
          <w:fldChar w:fldCharType="separate"/>
        </w:r>
        <w:r w:rsidR="00F7481E">
          <w:rPr>
            <w:noProof/>
            <w:webHidden/>
          </w:rPr>
          <w:t>117</w:t>
        </w:r>
        <w:r w:rsidR="001B4E3C">
          <w:rPr>
            <w:noProof/>
            <w:webHidden/>
          </w:rPr>
          <w:fldChar w:fldCharType="end"/>
        </w:r>
      </w:hyperlink>
    </w:p>
    <w:p w14:paraId="18B57F47" w14:textId="7216809A" w:rsidR="001B4E3C" w:rsidRDefault="00E63DDA">
      <w:pPr>
        <w:pStyle w:val="TOC2"/>
        <w:rPr>
          <w:rFonts w:eastAsiaTheme="minorEastAsia"/>
          <w:noProof/>
          <w:sz w:val="22"/>
          <w:szCs w:val="22"/>
        </w:rPr>
      </w:pPr>
      <w:hyperlink w:anchor="_Toc109921781" w:history="1">
        <w:r w:rsidR="001B4E3C" w:rsidRPr="0033797E">
          <w:rPr>
            <w:rStyle w:val="Hyperlink"/>
            <w:smallCaps/>
            <w:noProof/>
          </w:rPr>
          <w:t>G.</w:t>
        </w:r>
        <w:r w:rsidR="001B4E3C">
          <w:rPr>
            <w:rFonts w:eastAsiaTheme="minorEastAsia"/>
            <w:noProof/>
            <w:sz w:val="22"/>
            <w:szCs w:val="22"/>
          </w:rPr>
          <w:tab/>
        </w:r>
        <w:r w:rsidR="001B4E3C" w:rsidRPr="0033797E">
          <w:rPr>
            <w:rStyle w:val="Hyperlink"/>
            <w:noProof/>
          </w:rPr>
          <w:t>Notice of Right to Conduct a Review of Financial Capability</w:t>
        </w:r>
        <w:r w:rsidR="001B4E3C">
          <w:rPr>
            <w:noProof/>
            <w:webHidden/>
          </w:rPr>
          <w:tab/>
        </w:r>
        <w:r w:rsidR="001B4E3C">
          <w:rPr>
            <w:noProof/>
            <w:webHidden/>
          </w:rPr>
          <w:fldChar w:fldCharType="begin"/>
        </w:r>
        <w:r w:rsidR="001B4E3C">
          <w:rPr>
            <w:noProof/>
            <w:webHidden/>
          </w:rPr>
          <w:instrText xml:space="preserve"> PAGEREF _Toc109921781 \h </w:instrText>
        </w:r>
        <w:r w:rsidR="001B4E3C">
          <w:rPr>
            <w:noProof/>
            <w:webHidden/>
          </w:rPr>
        </w:r>
        <w:r w:rsidR="001B4E3C">
          <w:rPr>
            <w:noProof/>
            <w:webHidden/>
          </w:rPr>
          <w:fldChar w:fldCharType="separate"/>
        </w:r>
        <w:r w:rsidR="00F7481E">
          <w:rPr>
            <w:noProof/>
            <w:webHidden/>
          </w:rPr>
          <w:t>117</w:t>
        </w:r>
        <w:r w:rsidR="001B4E3C">
          <w:rPr>
            <w:noProof/>
            <w:webHidden/>
          </w:rPr>
          <w:fldChar w:fldCharType="end"/>
        </w:r>
      </w:hyperlink>
    </w:p>
    <w:p w14:paraId="05E08117" w14:textId="0E97BD7A" w:rsidR="001B4E3C" w:rsidRDefault="00E63DDA">
      <w:pPr>
        <w:pStyle w:val="TOC2"/>
        <w:rPr>
          <w:rFonts w:eastAsiaTheme="minorEastAsia"/>
          <w:noProof/>
          <w:sz w:val="22"/>
          <w:szCs w:val="22"/>
        </w:rPr>
      </w:pPr>
      <w:hyperlink w:anchor="_Toc109921782" w:history="1">
        <w:r w:rsidR="001B4E3C" w:rsidRPr="0033797E">
          <w:rPr>
            <w:rStyle w:val="Hyperlink"/>
            <w:smallCaps/>
            <w:noProof/>
          </w:rPr>
          <w:t>H.</w:t>
        </w:r>
        <w:r w:rsidR="001B4E3C">
          <w:rPr>
            <w:rFonts w:eastAsiaTheme="minorEastAsia"/>
            <w:noProof/>
            <w:sz w:val="22"/>
            <w:szCs w:val="22"/>
          </w:rPr>
          <w:tab/>
        </w:r>
        <w:r w:rsidR="001B4E3C" w:rsidRPr="0033797E">
          <w:rPr>
            <w:rStyle w:val="Hyperlink"/>
            <w:noProof/>
          </w:rPr>
          <w:t>Requirement for Full and Complete Disclosure</w:t>
        </w:r>
        <w:r w:rsidR="001B4E3C">
          <w:rPr>
            <w:noProof/>
            <w:webHidden/>
          </w:rPr>
          <w:tab/>
        </w:r>
        <w:r w:rsidR="001B4E3C">
          <w:rPr>
            <w:noProof/>
            <w:webHidden/>
          </w:rPr>
          <w:fldChar w:fldCharType="begin"/>
        </w:r>
        <w:r w:rsidR="001B4E3C">
          <w:rPr>
            <w:noProof/>
            <w:webHidden/>
          </w:rPr>
          <w:instrText xml:space="preserve"> PAGEREF _Toc109921782 \h </w:instrText>
        </w:r>
        <w:r w:rsidR="001B4E3C">
          <w:rPr>
            <w:noProof/>
            <w:webHidden/>
          </w:rPr>
        </w:r>
        <w:r w:rsidR="001B4E3C">
          <w:rPr>
            <w:noProof/>
            <w:webHidden/>
          </w:rPr>
          <w:fldChar w:fldCharType="separate"/>
        </w:r>
        <w:r w:rsidR="00F7481E">
          <w:rPr>
            <w:noProof/>
            <w:webHidden/>
          </w:rPr>
          <w:t>117</w:t>
        </w:r>
        <w:r w:rsidR="001B4E3C">
          <w:rPr>
            <w:noProof/>
            <w:webHidden/>
          </w:rPr>
          <w:fldChar w:fldCharType="end"/>
        </w:r>
      </w:hyperlink>
    </w:p>
    <w:p w14:paraId="10C50EF9" w14:textId="4DE4EA35" w:rsidR="001B4E3C" w:rsidRDefault="00E63DDA">
      <w:pPr>
        <w:pStyle w:val="TOC2"/>
        <w:rPr>
          <w:rFonts w:eastAsiaTheme="minorEastAsia"/>
          <w:noProof/>
          <w:sz w:val="22"/>
          <w:szCs w:val="22"/>
        </w:rPr>
      </w:pPr>
      <w:hyperlink w:anchor="_Toc109921783" w:history="1">
        <w:r w:rsidR="001B4E3C" w:rsidRPr="0033797E">
          <w:rPr>
            <w:rStyle w:val="Hyperlink"/>
            <w:smallCaps/>
            <w:noProof/>
          </w:rPr>
          <w:t>I.</w:t>
        </w:r>
        <w:r w:rsidR="001B4E3C">
          <w:rPr>
            <w:rFonts w:eastAsiaTheme="minorEastAsia"/>
            <w:noProof/>
            <w:sz w:val="22"/>
            <w:szCs w:val="22"/>
          </w:rPr>
          <w:tab/>
        </w:r>
        <w:r w:rsidR="001B4E3C" w:rsidRPr="0033797E">
          <w:rPr>
            <w:rStyle w:val="Hyperlink"/>
            <w:noProof/>
          </w:rPr>
          <w:t>Retention of Submissions</w:t>
        </w:r>
        <w:r w:rsidR="001B4E3C">
          <w:rPr>
            <w:noProof/>
            <w:webHidden/>
          </w:rPr>
          <w:tab/>
        </w:r>
        <w:r w:rsidR="001B4E3C">
          <w:rPr>
            <w:noProof/>
            <w:webHidden/>
          </w:rPr>
          <w:fldChar w:fldCharType="begin"/>
        </w:r>
        <w:r w:rsidR="001B4E3C">
          <w:rPr>
            <w:noProof/>
            <w:webHidden/>
          </w:rPr>
          <w:instrText xml:space="preserve"> PAGEREF _Toc109921783 \h </w:instrText>
        </w:r>
        <w:r w:rsidR="001B4E3C">
          <w:rPr>
            <w:noProof/>
            <w:webHidden/>
          </w:rPr>
        </w:r>
        <w:r w:rsidR="001B4E3C">
          <w:rPr>
            <w:noProof/>
            <w:webHidden/>
          </w:rPr>
          <w:fldChar w:fldCharType="separate"/>
        </w:r>
        <w:r w:rsidR="00F7481E">
          <w:rPr>
            <w:noProof/>
            <w:webHidden/>
          </w:rPr>
          <w:t>118</w:t>
        </w:r>
        <w:r w:rsidR="001B4E3C">
          <w:rPr>
            <w:noProof/>
            <w:webHidden/>
          </w:rPr>
          <w:fldChar w:fldCharType="end"/>
        </w:r>
      </w:hyperlink>
    </w:p>
    <w:p w14:paraId="72DC2219" w14:textId="186A9855" w:rsidR="001B4E3C" w:rsidRDefault="00E63DDA">
      <w:pPr>
        <w:pStyle w:val="TOC2"/>
        <w:rPr>
          <w:rFonts w:eastAsiaTheme="minorEastAsia"/>
          <w:noProof/>
          <w:sz w:val="22"/>
          <w:szCs w:val="22"/>
        </w:rPr>
      </w:pPr>
      <w:hyperlink w:anchor="_Toc109921784" w:history="1">
        <w:r w:rsidR="001B4E3C" w:rsidRPr="0033797E">
          <w:rPr>
            <w:rStyle w:val="Hyperlink"/>
            <w:smallCaps/>
            <w:noProof/>
          </w:rPr>
          <w:t>J.</w:t>
        </w:r>
        <w:r w:rsidR="001B4E3C">
          <w:rPr>
            <w:rFonts w:eastAsiaTheme="minorEastAsia"/>
            <w:noProof/>
            <w:sz w:val="22"/>
            <w:szCs w:val="22"/>
          </w:rPr>
          <w:tab/>
        </w:r>
        <w:r w:rsidR="001B4E3C" w:rsidRPr="0033797E">
          <w:rPr>
            <w:rStyle w:val="Hyperlink"/>
            <w:noProof/>
          </w:rPr>
          <w:t>Title to Subject Inventions</w:t>
        </w:r>
        <w:r w:rsidR="001B4E3C">
          <w:rPr>
            <w:noProof/>
            <w:webHidden/>
          </w:rPr>
          <w:tab/>
        </w:r>
        <w:r w:rsidR="001B4E3C">
          <w:rPr>
            <w:noProof/>
            <w:webHidden/>
          </w:rPr>
          <w:fldChar w:fldCharType="begin"/>
        </w:r>
        <w:r w:rsidR="001B4E3C">
          <w:rPr>
            <w:noProof/>
            <w:webHidden/>
          </w:rPr>
          <w:instrText xml:space="preserve"> PAGEREF _Toc109921784 \h </w:instrText>
        </w:r>
        <w:r w:rsidR="001B4E3C">
          <w:rPr>
            <w:noProof/>
            <w:webHidden/>
          </w:rPr>
        </w:r>
        <w:r w:rsidR="001B4E3C">
          <w:rPr>
            <w:noProof/>
            <w:webHidden/>
          </w:rPr>
          <w:fldChar w:fldCharType="separate"/>
        </w:r>
        <w:r w:rsidR="00F7481E">
          <w:rPr>
            <w:noProof/>
            <w:webHidden/>
          </w:rPr>
          <w:t>118</w:t>
        </w:r>
        <w:r w:rsidR="001B4E3C">
          <w:rPr>
            <w:noProof/>
            <w:webHidden/>
          </w:rPr>
          <w:fldChar w:fldCharType="end"/>
        </w:r>
      </w:hyperlink>
    </w:p>
    <w:p w14:paraId="02150967" w14:textId="607F4855" w:rsidR="001B4E3C" w:rsidRDefault="00E63DDA">
      <w:pPr>
        <w:pStyle w:val="TOC2"/>
        <w:rPr>
          <w:rFonts w:eastAsiaTheme="minorEastAsia"/>
          <w:noProof/>
          <w:sz w:val="22"/>
          <w:szCs w:val="22"/>
        </w:rPr>
      </w:pPr>
      <w:hyperlink w:anchor="_Toc109921785" w:history="1">
        <w:r w:rsidR="001B4E3C" w:rsidRPr="0033797E">
          <w:rPr>
            <w:rStyle w:val="Hyperlink"/>
            <w:smallCaps/>
            <w:noProof/>
          </w:rPr>
          <w:t>K.</w:t>
        </w:r>
        <w:r w:rsidR="001B4E3C">
          <w:rPr>
            <w:rFonts w:eastAsiaTheme="minorEastAsia"/>
            <w:noProof/>
            <w:sz w:val="22"/>
            <w:szCs w:val="22"/>
          </w:rPr>
          <w:tab/>
        </w:r>
        <w:r w:rsidR="001B4E3C" w:rsidRPr="0033797E">
          <w:rPr>
            <w:rStyle w:val="Hyperlink"/>
            <w:noProof/>
          </w:rPr>
          <w:t>Government Rights in Subject Inventions</w:t>
        </w:r>
        <w:r w:rsidR="001B4E3C">
          <w:rPr>
            <w:noProof/>
            <w:webHidden/>
          </w:rPr>
          <w:tab/>
        </w:r>
        <w:r w:rsidR="001B4E3C">
          <w:rPr>
            <w:noProof/>
            <w:webHidden/>
          </w:rPr>
          <w:fldChar w:fldCharType="begin"/>
        </w:r>
        <w:r w:rsidR="001B4E3C">
          <w:rPr>
            <w:noProof/>
            <w:webHidden/>
          </w:rPr>
          <w:instrText xml:space="preserve"> PAGEREF _Toc109921785 \h </w:instrText>
        </w:r>
        <w:r w:rsidR="001B4E3C">
          <w:rPr>
            <w:noProof/>
            <w:webHidden/>
          </w:rPr>
        </w:r>
        <w:r w:rsidR="001B4E3C">
          <w:rPr>
            <w:noProof/>
            <w:webHidden/>
          </w:rPr>
          <w:fldChar w:fldCharType="separate"/>
        </w:r>
        <w:r w:rsidR="00F7481E">
          <w:rPr>
            <w:noProof/>
            <w:webHidden/>
          </w:rPr>
          <w:t>119</w:t>
        </w:r>
        <w:r w:rsidR="001B4E3C">
          <w:rPr>
            <w:noProof/>
            <w:webHidden/>
          </w:rPr>
          <w:fldChar w:fldCharType="end"/>
        </w:r>
      </w:hyperlink>
    </w:p>
    <w:p w14:paraId="7C1672AE" w14:textId="11024751" w:rsidR="001B4E3C" w:rsidRDefault="00E63DDA">
      <w:pPr>
        <w:pStyle w:val="TOC2"/>
        <w:rPr>
          <w:rFonts w:eastAsiaTheme="minorEastAsia"/>
          <w:noProof/>
          <w:sz w:val="22"/>
          <w:szCs w:val="22"/>
        </w:rPr>
      </w:pPr>
      <w:hyperlink w:anchor="_Toc109921786" w:history="1">
        <w:r w:rsidR="001B4E3C" w:rsidRPr="0033797E">
          <w:rPr>
            <w:rStyle w:val="Hyperlink"/>
            <w:smallCaps/>
            <w:noProof/>
          </w:rPr>
          <w:t>L.</w:t>
        </w:r>
        <w:r w:rsidR="001B4E3C">
          <w:rPr>
            <w:rFonts w:eastAsiaTheme="minorEastAsia"/>
            <w:noProof/>
            <w:sz w:val="22"/>
            <w:szCs w:val="22"/>
          </w:rPr>
          <w:tab/>
        </w:r>
        <w:r w:rsidR="001B4E3C" w:rsidRPr="0033797E">
          <w:rPr>
            <w:rStyle w:val="Hyperlink"/>
            <w:noProof/>
          </w:rPr>
          <w:t>Rights in Technical Data</w:t>
        </w:r>
        <w:r w:rsidR="001B4E3C">
          <w:rPr>
            <w:noProof/>
            <w:webHidden/>
          </w:rPr>
          <w:tab/>
        </w:r>
        <w:r w:rsidR="001B4E3C">
          <w:rPr>
            <w:noProof/>
            <w:webHidden/>
          </w:rPr>
          <w:fldChar w:fldCharType="begin"/>
        </w:r>
        <w:r w:rsidR="001B4E3C">
          <w:rPr>
            <w:noProof/>
            <w:webHidden/>
          </w:rPr>
          <w:instrText xml:space="preserve"> PAGEREF _Toc109921786 \h </w:instrText>
        </w:r>
        <w:r w:rsidR="001B4E3C">
          <w:rPr>
            <w:noProof/>
            <w:webHidden/>
          </w:rPr>
        </w:r>
        <w:r w:rsidR="001B4E3C">
          <w:rPr>
            <w:noProof/>
            <w:webHidden/>
          </w:rPr>
          <w:fldChar w:fldCharType="separate"/>
        </w:r>
        <w:r w:rsidR="00F7481E">
          <w:rPr>
            <w:noProof/>
            <w:webHidden/>
          </w:rPr>
          <w:t>120</w:t>
        </w:r>
        <w:r w:rsidR="001B4E3C">
          <w:rPr>
            <w:noProof/>
            <w:webHidden/>
          </w:rPr>
          <w:fldChar w:fldCharType="end"/>
        </w:r>
      </w:hyperlink>
    </w:p>
    <w:p w14:paraId="043A7B3F" w14:textId="36E5ACF6" w:rsidR="001B4E3C" w:rsidRDefault="00E63DDA">
      <w:pPr>
        <w:pStyle w:val="TOC2"/>
        <w:rPr>
          <w:rFonts w:eastAsiaTheme="minorEastAsia"/>
          <w:noProof/>
          <w:sz w:val="22"/>
          <w:szCs w:val="22"/>
        </w:rPr>
      </w:pPr>
      <w:hyperlink w:anchor="_Toc109921787" w:history="1">
        <w:r w:rsidR="001B4E3C" w:rsidRPr="0033797E">
          <w:rPr>
            <w:rStyle w:val="Hyperlink"/>
            <w:smallCaps/>
            <w:noProof/>
          </w:rPr>
          <w:t>M.</w:t>
        </w:r>
        <w:r w:rsidR="001B4E3C">
          <w:rPr>
            <w:rFonts w:eastAsiaTheme="minorEastAsia"/>
            <w:noProof/>
            <w:sz w:val="22"/>
            <w:szCs w:val="22"/>
          </w:rPr>
          <w:tab/>
        </w:r>
        <w:r w:rsidR="001B4E3C" w:rsidRPr="0033797E">
          <w:rPr>
            <w:rStyle w:val="Hyperlink"/>
            <w:noProof/>
          </w:rPr>
          <w:t>Copyright</w:t>
        </w:r>
        <w:r w:rsidR="001B4E3C">
          <w:rPr>
            <w:noProof/>
            <w:webHidden/>
          </w:rPr>
          <w:tab/>
        </w:r>
        <w:r w:rsidR="001B4E3C">
          <w:rPr>
            <w:noProof/>
            <w:webHidden/>
          </w:rPr>
          <w:fldChar w:fldCharType="begin"/>
        </w:r>
        <w:r w:rsidR="001B4E3C">
          <w:rPr>
            <w:noProof/>
            <w:webHidden/>
          </w:rPr>
          <w:instrText xml:space="preserve"> PAGEREF _Toc109921787 \h </w:instrText>
        </w:r>
        <w:r w:rsidR="001B4E3C">
          <w:rPr>
            <w:noProof/>
            <w:webHidden/>
          </w:rPr>
        </w:r>
        <w:r w:rsidR="001B4E3C">
          <w:rPr>
            <w:noProof/>
            <w:webHidden/>
          </w:rPr>
          <w:fldChar w:fldCharType="separate"/>
        </w:r>
        <w:r w:rsidR="00F7481E">
          <w:rPr>
            <w:noProof/>
            <w:webHidden/>
          </w:rPr>
          <w:t>120</w:t>
        </w:r>
        <w:r w:rsidR="001B4E3C">
          <w:rPr>
            <w:noProof/>
            <w:webHidden/>
          </w:rPr>
          <w:fldChar w:fldCharType="end"/>
        </w:r>
      </w:hyperlink>
    </w:p>
    <w:p w14:paraId="5296D802" w14:textId="17F1DF08" w:rsidR="001B4E3C" w:rsidRDefault="00E63DDA">
      <w:pPr>
        <w:pStyle w:val="TOC2"/>
        <w:rPr>
          <w:rFonts w:eastAsiaTheme="minorEastAsia"/>
          <w:noProof/>
          <w:sz w:val="22"/>
          <w:szCs w:val="22"/>
        </w:rPr>
      </w:pPr>
      <w:hyperlink w:anchor="_Toc109921788" w:history="1">
        <w:r w:rsidR="001B4E3C" w:rsidRPr="0033797E">
          <w:rPr>
            <w:rStyle w:val="Hyperlink"/>
            <w:smallCaps/>
            <w:noProof/>
          </w:rPr>
          <w:t>N.</w:t>
        </w:r>
        <w:r w:rsidR="001B4E3C">
          <w:rPr>
            <w:rFonts w:eastAsiaTheme="minorEastAsia"/>
            <w:noProof/>
            <w:sz w:val="22"/>
            <w:szCs w:val="22"/>
          </w:rPr>
          <w:tab/>
        </w:r>
        <w:r w:rsidR="001B4E3C" w:rsidRPr="0033797E">
          <w:rPr>
            <w:rStyle w:val="Hyperlink"/>
            <w:noProof/>
          </w:rPr>
          <w:t>Export Control</w:t>
        </w:r>
        <w:r w:rsidR="001B4E3C">
          <w:rPr>
            <w:noProof/>
            <w:webHidden/>
          </w:rPr>
          <w:tab/>
        </w:r>
        <w:r w:rsidR="001B4E3C">
          <w:rPr>
            <w:noProof/>
            <w:webHidden/>
          </w:rPr>
          <w:fldChar w:fldCharType="begin"/>
        </w:r>
        <w:r w:rsidR="001B4E3C">
          <w:rPr>
            <w:noProof/>
            <w:webHidden/>
          </w:rPr>
          <w:instrText xml:space="preserve"> PAGEREF _Toc109921788 \h </w:instrText>
        </w:r>
        <w:r w:rsidR="001B4E3C">
          <w:rPr>
            <w:noProof/>
            <w:webHidden/>
          </w:rPr>
        </w:r>
        <w:r w:rsidR="001B4E3C">
          <w:rPr>
            <w:noProof/>
            <w:webHidden/>
          </w:rPr>
          <w:fldChar w:fldCharType="separate"/>
        </w:r>
        <w:r w:rsidR="00F7481E">
          <w:rPr>
            <w:noProof/>
            <w:webHidden/>
          </w:rPr>
          <w:t>120</w:t>
        </w:r>
        <w:r w:rsidR="001B4E3C">
          <w:rPr>
            <w:noProof/>
            <w:webHidden/>
          </w:rPr>
          <w:fldChar w:fldCharType="end"/>
        </w:r>
      </w:hyperlink>
    </w:p>
    <w:p w14:paraId="7FE9A06F" w14:textId="3F008684" w:rsidR="001B4E3C" w:rsidRDefault="00E63DDA">
      <w:pPr>
        <w:pStyle w:val="TOC2"/>
        <w:rPr>
          <w:rFonts w:eastAsiaTheme="minorEastAsia"/>
          <w:noProof/>
          <w:sz w:val="22"/>
          <w:szCs w:val="22"/>
        </w:rPr>
      </w:pPr>
      <w:hyperlink w:anchor="_Toc109921789" w:history="1">
        <w:r w:rsidR="001B4E3C" w:rsidRPr="0033797E">
          <w:rPr>
            <w:rStyle w:val="Hyperlink"/>
            <w:smallCaps/>
            <w:noProof/>
          </w:rPr>
          <w:t>O.</w:t>
        </w:r>
        <w:r w:rsidR="001B4E3C">
          <w:rPr>
            <w:rFonts w:eastAsiaTheme="minorEastAsia"/>
            <w:noProof/>
            <w:sz w:val="22"/>
            <w:szCs w:val="22"/>
          </w:rPr>
          <w:tab/>
        </w:r>
        <w:r w:rsidR="001B4E3C" w:rsidRPr="0033797E">
          <w:rPr>
            <w:rStyle w:val="Hyperlink"/>
            <w:noProof/>
          </w:rPr>
          <w:t>Prohibition on Certain Telecommunications and Video Surveillance Services and Equipment</w:t>
        </w:r>
        <w:r w:rsidR="001B4E3C">
          <w:rPr>
            <w:noProof/>
            <w:webHidden/>
          </w:rPr>
          <w:tab/>
        </w:r>
        <w:r w:rsidR="001B4E3C">
          <w:rPr>
            <w:noProof/>
            <w:webHidden/>
          </w:rPr>
          <w:fldChar w:fldCharType="begin"/>
        </w:r>
        <w:r w:rsidR="001B4E3C">
          <w:rPr>
            <w:noProof/>
            <w:webHidden/>
          </w:rPr>
          <w:instrText xml:space="preserve"> PAGEREF _Toc109921789 \h </w:instrText>
        </w:r>
        <w:r w:rsidR="001B4E3C">
          <w:rPr>
            <w:noProof/>
            <w:webHidden/>
          </w:rPr>
        </w:r>
        <w:r w:rsidR="001B4E3C">
          <w:rPr>
            <w:noProof/>
            <w:webHidden/>
          </w:rPr>
          <w:fldChar w:fldCharType="separate"/>
        </w:r>
        <w:r w:rsidR="00F7481E">
          <w:rPr>
            <w:noProof/>
            <w:webHidden/>
          </w:rPr>
          <w:t>121</w:t>
        </w:r>
        <w:r w:rsidR="001B4E3C">
          <w:rPr>
            <w:noProof/>
            <w:webHidden/>
          </w:rPr>
          <w:fldChar w:fldCharType="end"/>
        </w:r>
      </w:hyperlink>
    </w:p>
    <w:p w14:paraId="40BCCF1D" w14:textId="7F524DA4" w:rsidR="001B4E3C" w:rsidRDefault="00E63DDA">
      <w:pPr>
        <w:pStyle w:val="TOC2"/>
        <w:rPr>
          <w:rFonts w:eastAsiaTheme="minorEastAsia"/>
          <w:noProof/>
          <w:sz w:val="22"/>
          <w:szCs w:val="22"/>
        </w:rPr>
      </w:pPr>
      <w:hyperlink w:anchor="_Toc109921790" w:history="1">
        <w:r w:rsidR="001B4E3C" w:rsidRPr="0033797E">
          <w:rPr>
            <w:rStyle w:val="Hyperlink"/>
            <w:smallCaps/>
            <w:noProof/>
          </w:rPr>
          <w:t>P.</w:t>
        </w:r>
        <w:r w:rsidR="001B4E3C">
          <w:rPr>
            <w:rFonts w:eastAsiaTheme="minorEastAsia"/>
            <w:noProof/>
            <w:sz w:val="22"/>
            <w:szCs w:val="22"/>
          </w:rPr>
          <w:tab/>
        </w:r>
        <w:r w:rsidR="001B4E3C" w:rsidRPr="0033797E">
          <w:rPr>
            <w:rStyle w:val="Hyperlink"/>
            <w:noProof/>
          </w:rPr>
          <w:t>Personally Identifiable Information (PII)</w:t>
        </w:r>
        <w:r w:rsidR="001B4E3C">
          <w:rPr>
            <w:noProof/>
            <w:webHidden/>
          </w:rPr>
          <w:tab/>
        </w:r>
        <w:r w:rsidR="001B4E3C">
          <w:rPr>
            <w:noProof/>
            <w:webHidden/>
          </w:rPr>
          <w:fldChar w:fldCharType="begin"/>
        </w:r>
        <w:r w:rsidR="001B4E3C">
          <w:rPr>
            <w:noProof/>
            <w:webHidden/>
          </w:rPr>
          <w:instrText xml:space="preserve"> PAGEREF _Toc109921790 \h </w:instrText>
        </w:r>
        <w:r w:rsidR="001B4E3C">
          <w:rPr>
            <w:noProof/>
            <w:webHidden/>
          </w:rPr>
        </w:r>
        <w:r w:rsidR="001B4E3C">
          <w:rPr>
            <w:noProof/>
            <w:webHidden/>
          </w:rPr>
          <w:fldChar w:fldCharType="separate"/>
        </w:r>
        <w:r w:rsidR="00F7481E">
          <w:rPr>
            <w:noProof/>
            <w:webHidden/>
          </w:rPr>
          <w:t>122</w:t>
        </w:r>
        <w:r w:rsidR="001B4E3C">
          <w:rPr>
            <w:noProof/>
            <w:webHidden/>
          </w:rPr>
          <w:fldChar w:fldCharType="end"/>
        </w:r>
      </w:hyperlink>
    </w:p>
    <w:p w14:paraId="26627111" w14:textId="2EC939B0" w:rsidR="001B4E3C" w:rsidRDefault="00E63DDA">
      <w:pPr>
        <w:pStyle w:val="TOC2"/>
        <w:rPr>
          <w:rFonts w:eastAsiaTheme="minorEastAsia"/>
          <w:noProof/>
          <w:sz w:val="22"/>
          <w:szCs w:val="22"/>
        </w:rPr>
      </w:pPr>
      <w:hyperlink w:anchor="_Toc109921791" w:history="1">
        <w:r w:rsidR="001B4E3C" w:rsidRPr="0033797E">
          <w:rPr>
            <w:rStyle w:val="Hyperlink"/>
            <w:smallCaps/>
            <w:noProof/>
          </w:rPr>
          <w:t>Q.</w:t>
        </w:r>
        <w:r w:rsidR="001B4E3C">
          <w:rPr>
            <w:rFonts w:eastAsiaTheme="minorEastAsia"/>
            <w:noProof/>
            <w:sz w:val="22"/>
            <w:szCs w:val="22"/>
          </w:rPr>
          <w:tab/>
        </w:r>
        <w:r w:rsidR="001B4E3C" w:rsidRPr="0033797E">
          <w:rPr>
            <w:rStyle w:val="Hyperlink"/>
            <w:noProof/>
          </w:rPr>
          <w:t>Annual Independent Audits</w:t>
        </w:r>
        <w:r w:rsidR="001B4E3C">
          <w:rPr>
            <w:noProof/>
            <w:webHidden/>
          </w:rPr>
          <w:tab/>
        </w:r>
        <w:r w:rsidR="001B4E3C">
          <w:rPr>
            <w:noProof/>
            <w:webHidden/>
          </w:rPr>
          <w:fldChar w:fldCharType="begin"/>
        </w:r>
        <w:r w:rsidR="001B4E3C">
          <w:rPr>
            <w:noProof/>
            <w:webHidden/>
          </w:rPr>
          <w:instrText xml:space="preserve"> PAGEREF _Toc109921791 \h </w:instrText>
        </w:r>
        <w:r w:rsidR="001B4E3C">
          <w:rPr>
            <w:noProof/>
            <w:webHidden/>
          </w:rPr>
        </w:r>
        <w:r w:rsidR="001B4E3C">
          <w:rPr>
            <w:noProof/>
            <w:webHidden/>
          </w:rPr>
          <w:fldChar w:fldCharType="separate"/>
        </w:r>
        <w:r w:rsidR="00F7481E">
          <w:rPr>
            <w:noProof/>
            <w:webHidden/>
          </w:rPr>
          <w:t>122</w:t>
        </w:r>
        <w:r w:rsidR="001B4E3C">
          <w:rPr>
            <w:noProof/>
            <w:webHidden/>
          </w:rPr>
          <w:fldChar w:fldCharType="end"/>
        </w:r>
      </w:hyperlink>
    </w:p>
    <w:p w14:paraId="29985160" w14:textId="146658C2" w:rsidR="001B4E3C" w:rsidRDefault="00E63DDA">
      <w:pPr>
        <w:pStyle w:val="TOC2"/>
        <w:rPr>
          <w:rFonts w:eastAsiaTheme="minorEastAsia"/>
          <w:noProof/>
          <w:sz w:val="22"/>
          <w:szCs w:val="22"/>
        </w:rPr>
      </w:pPr>
      <w:hyperlink w:anchor="_Toc109921792" w:history="1">
        <w:r w:rsidR="001B4E3C" w:rsidRPr="0033797E">
          <w:rPr>
            <w:rStyle w:val="Hyperlink"/>
            <w:smallCaps/>
            <w:noProof/>
          </w:rPr>
          <w:t>R.</w:t>
        </w:r>
        <w:r w:rsidR="001B4E3C">
          <w:rPr>
            <w:rFonts w:eastAsiaTheme="minorEastAsia"/>
            <w:noProof/>
            <w:sz w:val="22"/>
            <w:szCs w:val="22"/>
          </w:rPr>
          <w:tab/>
        </w:r>
        <w:r w:rsidR="001B4E3C" w:rsidRPr="0033797E">
          <w:rPr>
            <w:rStyle w:val="Hyperlink"/>
            <w:noProof/>
          </w:rPr>
          <w:t>Informational Webinar</w:t>
        </w:r>
        <w:r w:rsidR="001B4E3C">
          <w:rPr>
            <w:noProof/>
            <w:webHidden/>
          </w:rPr>
          <w:tab/>
        </w:r>
        <w:r w:rsidR="001B4E3C">
          <w:rPr>
            <w:noProof/>
            <w:webHidden/>
          </w:rPr>
          <w:fldChar w:fldCharType="begin"/>
        </w:r>
        <w:r w:rsidR="001B4E3C">
          <w:rPr>
            <w:noProof/>
            <w:webHidden/>
          </w:rPr>
          <w:instrText xml:space="preserve"> PAGEREF _Toc109921792 \h </w:instrText>
        </w:r>
        <w:r w:rsidR="001B4E3C">
          <w:rPr>
            <w:noProof/>
            <w:webHidden/>
          </w:rPr>
        </w:r>
        <w:r w:rsidR="001B4E3C">
          <w:rPr>
            <w:noProof/>
            <w:webHidden/>
          </w:rPr>
          <w:fldChar w:fldCharType="separate"/>
        </w:r>
        <w:r w:rsidR="00F7481E">
          <w:rPr>
            <w:noProof/>
            <w:webHidden/>
          </w:rPr>
          <w:t>123</w:t>
        </w:r>
        <w:r w:rsidR="001B4E3C">
          <w:rPr>
            <w:noProof/>
            <w:webHidden/>
          </w:rPr>
          <w:fldChar w:fldCharType="end"/>
        </w:r>
      </w:hyperlink>
    </w:p>
    <w:p w14:paraId="53768C31" w14:textId="424FC893" w:rsidR="001B4E3C" w:rsidRDefault="00E63DDA">
      <w:pPr>
        <w:pStyle w:val="TOC1"/>
        <w:rPr>
          <w:rFonts w:eastAsiaTheme="minorEastAsia"/>
          <w:b w:val="0"/>
          <w:bCs w:val="0"/>
          <w:noProof/>
          <w:sz w:val="22"/>
          <w:szCs w:val="22"/>
        </w:rPr>
      </w:pPr>
      <w:hyperlink w:anchor="_Toc109921793" w:history="1">
        <w:r w:rsidR="001B4E3C" w:rsidRPr="0033797E">
          <w:rPr>
            <w:rStyle w:val="Hyperlink"/>
            <w:noProof/>
          </w:rPr>
          <w:t>Appendix A – Cost Share Information</w:t>
        </w:r>
        <w:r w:rsidR="001B4E3C">
          <w:rPr>
            <w:noProof/>
            <w:webHidden/>
          </w:rPr>
          <w:tab/>
        </w:r>
        <w:r w:rsidR="001B4E3C">
          <w:rPr>
            <w:noProof/>
            <w:webHidden/>
          </w:rPr>
          <w:fldChar w:fldCharType="begin"/>
        </w:r>
        <w:r w:rsidR="001B4E3C">
          <w:rPr>
            <w:noProof/>
            <w:webHidden/>
          </w:rPr>
          <w:instrText xml:space="preserve"> PAGEREF _Toc109921793 \h </w:instrText>
        </w:r>
        <w:r w:rsidR="001B4E3C">
          <w:rPr>
            <w:noProof/>
            <w:webHidden/>
          </w:rPr>
        </w:r>
        <w:r w:rsidR="001B4E3C">
          <w:rPr>
            <w:noProof/>
            <w:webHidden/>
          </w:rPr>
          <w:fldChar w:fldCharType="separate"/>
        </w:r>
        <w:r w:rsidR="00F7481E">
          <w:rPr>
            <w:noProof/>
            <w:webHidden/>
          </w:rPr>
          <w:t>124</w:t>
        </w:r>
        <w:r w:rsidR="001B4E3C">
          <w:rPr>
            <w:noProof/>
            <w:webHidden/>
          </w:rPr>
          <w:fldChar w:fldCharType="end"/>
        </w:r>
      </w:hyperlink>
    </w:p>
    <w:p w14:paraId="05ED161C" w14:textId="452B5F0D" w:rsidR="001B4E3C" w:rsidRDefault="00E63DDA">
      <w:pPr>
        <w:pStyle w:val="TOC1"/>
        <w:rPr>
          <w:rFonts w:eastAsiaTheme="minorEastAsia"/>
          <w:b w:val="0"/>
          <w:bCs w:val="0"/>
          <w:noProof/>
          <w:sz w:val="22"/>
          <w:szCs w:val="22"/>
        </w:rPr>
      </w:pPr>
      <w:hyperlink w:anchor="_Toc109921794" w:history="1">
        <w:r w:rsidR="001B4E3C" w:rsidRPr="0033797E">
          <w:rPr>
            <w:rStyle w:val="Hyperlink"/>
            <w:noProof/>
          </w:rPr>
          <w:t>Appendix B – Sample Cost Share Calculation for Blended Cost Share Percentage</w:t>
        </w:r>
        <w:r w:rsidR="001B4E3C">
          <w:rPr>
            <w:noProof/>
            <w:webHidden/>
          </w:rPr>
          <w:tab/>
        </w:r>
        <w:r w:rsidR="001B4E3C">
          <w:rPr>
            <w:noProof/>
            <w:webHidden/>
          </w:rPr>
          <w:fldChar w:fldCharType="begin"/>
        </w:r>
        <w:r w:rsidR="001B4E3C">
          <w:rPr>
            <w:noProof/>
            <w:webHidden/>
          </w:rPr>
          <w:instrText xml:space="preserve"> PAGEREF _Toc109921794 \h </w:instrText>
        </w:r>
        <w:r w:rsidR="001B4E3C">
          <w:rPr>
            <w:noProof/>
            <w:webHidden/>
          </w:rPr>
        </w:r>
        <w:r w:rsidR="001B4E3C">
          <w:rPr>
            <w:noProof/>
            <w:webHidden/>
          </w:rPr>
          <w:fldChar w:fldCharType="separate"/>
        </w:r>
        <w:r w:rsidR="00F7481E">
          <w:rPr>
            <w:noProof/>
            <w:webHidden/>
          </w:rPr>
          <w:t>129</w:t>
        </w:r>
        <w:r w:rsidR="001B4E3C">
          <w:rPr>
            <w:noProof/>
            <w:webHidden/>
          </w:rPr>
          <w:fldChar w:fldCharType="end"/>
        </w:r>
      </w:hyperlink>
    </w:p>
    <w:p w14:paraId="7375EFA2" w14:textId="7E257462" w:rsidR="001B4E3C" w:rsidRDefault="00E63DDA">
      <w:pPr>
        <w:pStyle w:val="TOC1"/>
        <w:rPr>
          <w:rFonts w:eastAsiaTheme="minorEastAsia"/>
          <w:b w:val="0"/>
          <w:bCs w:val="0"/>
          <w:noProof/>
          <w:sz w:val="22"/>
          <w:szCs w:val="22"/>
        </w:rPr>
      </w:pPr>
      <w:hyperlink w:anchor="_Toc109921795" w:history="1">
        <w:r w:rsidR="001B4E3C" w:rsidRPr="0033797E">
          <w:rPr>
            <w:rStyle w:val="Hyperlink"/>
            <w:noProof/>
          </w:rPr>
          <w:t>Appendix C – Waiver Requests For:</w:t>
        </w:r>
        <w:r w:rsidR="001B4E3C">
          <w:rPr>
            <w:noProof/>
            <w:webHidden/>
          </w:rPr>
          <w:tab/>
        </w:r>
        <w:r w:rsidR="001B4E3C">
          <w:rPr>
            <w:noProof/>
            <w:webHidden/>
          </w:rPr>
          <w:fldChar w:fldCharType="begin"/>
        </w:r>
        <w:r w:rsidR="001B4E3C">
          <w:rPr>
            <w:noProof/>
            <w:webHidden/>
          </w:rPr>
          <w:instrText xml:space="preserve"> PAGEREF _Toc109921795 \h </w:instrText>
        </w:r>
        <w:r w:rsidR="001B4E3C">
          <w:rPr>
            <w:noProof/>
            <w:webHidden/>
          </w:rPr>
        </w:r>
        <w:r w:rsidR="001B4E3C">
          <w:rPr>
            <w:noProof/>
            <w:webHidden/>
          </w:rPr>
          <w:fldChar w:fldCharType="separate"/>
        </w:r>
        <w:r w:rsidR="00F7481E">
          <w:rPr>
            <w:noProof/>
            <w:webHidden/>
          </w:rPr>
          <w:t>131</w:t>
        </w:r>
        <w:r w:rsidR="001B4E3C">
          <w:rPr>
            <w:noProof/>
            <w:webHidden/>
          </w:rPr>
          <w:fldChar w:fldCharType="end"/>
        </w:r>
      </w:hyperlink>
    </w:p>
    <w:p w14:paraId="0E77144A" w14:textId="727617C5" w:rsidR="001B4E3C" w:rsidRDefault="00E63DDA">
      <w:pPr>
        <w:pStyle w:val="TOC1"/>
        <w:rPr>
          <w:rFonts w:eastAsiaTheme="minorEastAsia"/>
          <w:b w:val="0"/>
          <w:bCs w:val="0"/>
          <w:noProof/>
          <w:sz w:val="22"/>
          <w:szCs w:val="22"/>
        </w:rPr>
      </w:pPr>
      <w:hyperlink w:anchor="_Toc109921796" w:history="1">
        <w:r w:rsidR="001B4E3C" w:rsidRPr="0033797E">
          <w:rPr>
            <w:rStyle w:val="Hyperlink"/>
            <w:noProof/>
          </w:rPr>
          <w:t>Appendix D – Required Use of American Iron, Steel, Manufactured Products, and Construction Materials</w:t>
        </w:r>
        <w:r w:rsidR="001B4E3C">
          <w:rPr>
            <w:noProof/>
            <w:webHidden/>
          </w:rPr>
          <w:tab/>
        </w:r>
        <w:r w:rsidR="001B4E3C">
          <w:rPr>
            <w:noProof/>
            <w:webHidden/>
          </w:rPr>
          <w:fldChar w:fldCharType="begin"/>
        </w:r>
        <w:r w:rsidR="001B4E3C">
          <w:rPr>
            <w:noProof/>
            <w:webHidden/>
          </w:rPr>
          <w:instrText xml:space="preserve"> PAGEREF _Toc109921796 \h </w:instrText>
        </w:r>
        <w:r w:rsidR="001B4E3C">
          <w:rPr>
            <w:noProof/>
            <w:webHidden/>
          </w:rPr>
        </w:r>
        <w:r w:rsidR="001B4E3C">
          <w:rPr>
            <w:noProof/>
            <w:webHidden/>
          </w:rPr>
          <w:fldChar w:fldCharType="separate"/>
        </w:r>
        <w:r w:rsidR="00F7481E">
          <w:rPr>
            <w:noProof/>
            <w:webHidden/>
          </w:rPr>
          <w:t>134</w:t>
        </w:r>
        <w:r w:rsidR="001B4E3C">
          <w:rPr>
            <w:noProof/>
            <w:webHidden/>
          </w:rPr>
          <w:fldChar w:fldCharType="end"/>
        </w:r>
      </w:hyperlink>
    </w:p>
    <w:p w14:paraId="095206DF" w14:textId="2DE30C6D" w:rsidR="001B4E3C" w:rsidRDefault="00E63DDA">
      <w:pPr>
        <w:pStyle w:val="TOC1"/>
        <w:rPr>
          <w:rFonts w:eastAsiaTheme="minorEastAsia"/>
          <w:b w:val="0"/>
          <w:bCs w:val="0"/>
          <w:noProof/>
          <w:sz w:val="22"/>
          <w:szCs w:val="22"/>
        </w:rPr>
      </w:pPr>
      <w:hyperlink w:anchor="_Toc109921797" w:history="1">
        <w:r w:rsidR="001B4E3C" w:rsidRPr="0033797E">
          <w:rPr>
            <w:rStyle w:val="Hyperlink"/>
            <w:noProof/>
          </w:rPr>
          <w:t>Appendix E – Definition of Technology Readiness Levels</w:t>
        </w:r>
        <w:r w:rsidR="001B4E3C">
          <w:rPr>
            <w:noProof/>
            <w:webHidden/>
          </w:rPr>
          <w:tab/>
        </w:r>
        <w:r w:rsidR="001B4E3C">
          <w:rPr>
            <w:noProof/>
            <w:webHidden/>
          </w:rPr>
          <w:fldChar w:fldCharType="begin"/>
        </w:r>
        <w:r w:rsidR="001B4E3C">
          <w:rPr>
            <w:noProof/>
            <w:webHidden/>
          </w:rPr>
          <w:instrText xml:space="preserve"> PAGEREF _Toc109921797 \h </w:instrText>
        </w:r>
        <w:r w:rsidR="001B4E3C">
          <w:rPr>
            <w:noProof/>
            <w:webHidden/>
          </w:rPr>
        </w:r>
        <w:r w:rsidR="001B4E3C">
          <w:rPr>
            <w:noProof/>
            <w:webHidden/>
          </w:rPr>
          <w:fldChar w:fldCharType="separate"/>
        </w:r>
        <w:r w:rsidR="00F7481E">
          <w:rPr>
            <w:noProof/>
            <w:webHidden/>
          </w:rPr>
          <w:t>138</w:t>
        </w:r>
        <w:r w:rsidR="001B4E3C">
          <w:rPr>
            <w:noProof/>
            <w:webHidden/>
          </w:rPr>
          <w:fldChar w:fldCharType="end"/>
        </w:r>
      </w:hyperlink>
    </w:p>
    <w:p w14:paraId="2ADE3E07" w14:textId="4DA37226" w:rsidR="001B4E3C" w:rsidRDefault="00E63DDA">
      <w:pPr>
        <w:pStyle w:val="TOC1"/>
        <w:rPr>
          <w:rFonts w:eastAsiaTheme="minorEastAsia"/>
          <w:b w:val="0"/>
          <w:bCs w:val="0"/>
          <w:noProof/>
          <w:sz w:val="22"/>
          <w:szCs w:val="22"/>
        </w:rPr>
      </w:pPr>
      <w:hyperlink w:anchor="_Toc109921798" w:history="1">
        <w:r w:rsidR="001B4E3C" w:rsidRPr="0033797E">
          <w:rPr>
            <w:rStyle w:val="Hyperlink"/>
            <w:noProof/>
          </w:rPr>
          <w:t>Appendix F – List of Acronyms</w:t>
        </w:r>
        <w:r w:rsidR="001B4E3C">
          <w:rPr>
            <w:noProof/>
            <w:webHidden/>
          </w:rPr>
          <w:tab/>
        </w:r>
        <w:r w:rsidR="001B4E3C">
          <w:rPr>
            <w:noProof/>
            <w:webHidden/>
          </w:rPr>
          <w:fldChar w:fldCharType="begin"/>
        </w:r>
        <w:r w:rsidR="001B4E3C">
          <w:rPr>
            <w:noProof/>
            <w:webHidden/>
          </w:rPr>
          <w:instrText xml:space="preserve"> PAGEREF _Toc109921798 \h </w:instrText>
        </w:r>
        <w:r w:rsidR="001B4E3C">
          <w:rPr>
            <w:noProof/>
            <w:webHidden/>
          </w:rPr>
        </w:r>
        <w:r w:rsidR="001B4E3C">
          <w:rPr>
            <w:noProof/>
            <w:webHidden/>
          </w:rPr>
          <w:fldChar w:fldCharType="separate"/>
        </w:r>
        <w:r w:rsidR="00F7481E">
          <w:rPr>
            <w:noProof/>
            <w:webHidden/>
          </w:rPr>
          <w:t>139</w:t>
        </w:r>
        <w:r w:rsidR="001B4E3C">
          <w:rPr>
            <w:noProof/>
            <w:webHidden/>
          </w:rPr>
          <w:fldChar w:fldCharType="end"/>
        </w:r>
      </w:hyperlink>
    </w:p>
    <w:p w14:paraId="6AF606B8" w14:textId="28C19C2E" w:rsidR="00BF65D1" w:rsidRDefault="004E672B" w:rsidP="00D07031">
      <w:pPr>
        <w:rPr>
          <w:b/>
          <w:bCs/>
          <w:noProof/>
        </w:rPr>
      </w:pPr>
      <w:r>
        <w:rPr>
          <w:b/>
          <w:bCs/>
          <w:noProof/>
        </w:rPr>
        <w:fldChar w:fldCharType="end"/>
      </w:r>
    </w:p>
    <w:p w14:paraId="26914CE1" w14:textId="2F3F281C" w:rsidR="00F7481E" w:rsidRDefault="00F7481E">
      <w:pPr>
        <w:rPr>
          <w:b/>
          <w:bCs/>
          <w:noProof/>
        </w:rPr>
      </w:pPr>
      <w:r>
        <w:rPr>
          <w:b/>
          <w:bCs/>
          <w:noProof/>
        </w:rPr>
        <w:br w:type="page"/>
      </w:r>
    </w:p>
    <w:p w14:paraId="066D6810" w14:textId="77777777" w:rsidR="00F7481E" w:rsidRDefault="00F7481E" w:rsidP="00F7481E">
      <w:pPr>
        <w:outlineLvl w:val="0"/>
        <w:rPr>
          <w:b/>
          <w:bCs/>
          <w:sz w:val="36"/>
          <w:szCs w:val="36"/>
        </w:rPr>
      </w:pPr>
      <w:bookmarkStart w:id="5" w:name="_Toc70598551"/>
      <w:r>
        <w:rPr>
          <w:b/>
          <w:bCs/>
          <w:sz w:val="36"/>
          <w:szCs w:val="36"/>
        </w:rPr>
        <w:lastRenderedPageBreak/>
        <w:t>Modifications</w:t>
      </w:r>
      <w:bookmarkEnd w:id="5"/>
    </w:p>
    <w:p w14:paraId="2E3DE0B1" w14:textId="77777777" w:rsidR="00F7481E" w:rsidRDefault="00F7481E" w:rsidP="00F7481E">
      <w:pPr>
        <w:rPr>
          <w:szCs w:val="24"/>
        </w:rPr>
      </w:pPr>
    </w:p>
    <w:p w14:paraId="16E1A698" w14:textId="77777777" w:rsidR="00F7481E" w:rsidRDefault="00F7481E" w:rsidP="00F7481E">
      <w:pPr>
        <w:rPr>
          <w:szCs w:val="24"/>
        </w:rPr>
      </w:pPr>
      <w:r>
        <w:t xml:space="preserve">All modifications to the FOA are </w:t>
      </w:r>
      <w:sdt>
        <w:sdtPr>
          <w:rPr>
            <w:szCs w:val="24"/>
          </w:rPr>
          <w:id w:val="-1713263029"/>
          <w:temporary/>
          <w:showingPlcHdr/>
          <w:text/>
        </w:sdtPr>
        <w:sdtEndPr/>
        <w:sdtContent>
          <w:r w:rsidRPr="00977AB4">
            <w:rPr>
              <w:szCs w:val="24"/>
            </w:rPr>
            <w:t>[HIGHLIGHTED]</w:t>
          </w:r>
        </w:sdtContent>
      </w:sdt>
      <w:r>
        <w:rPr>
          <w:rStyle w:val="Style1"/>
        </w:rPr>
        <w:t xml:space="preserve"> </w:t>
      </w:r>
      <w:r>
        <w:t xml:space="preserve">in the body of the FOA.  Changes from modification 000001 are highlighted in </w:t>
      </w:r>
      <w:r w:rsidRPr="00977AB4">
        <w:rPr>
          <w:highlight w:val="yellow"/>
        </w:rPr>
        <w:t>yellow.</w:t>
      </w:r>
      <w:r>
        <w:t xml:space="preserve"> </w:t>
      </w:r>
    </w:p>
    <w:p w14:paraId="69C0C2D9" w14:textId="77777777" w:rsidR="00F7481E" w:rsidRDefault="00F7481E" w:rsidP="00F7481E">
      <w:pPr>
        <w:rPr>
          <w:szCs w:val="24"/>
        </w:rPr>
      </w:pPr>
    </w:p>
    <w:tbl>
      <w:tblPr>
        <w:tblStyle w:val="TableGrid"/>
        <w:tblW w:w="0" w:type="auto"/>
        <w:tblLook w:val="04A0" w:firstRow="1" w:lastRow="0" w:firstColumn="1" w:lastColumn="0" w:noHBand="0" w:noVBand="1"/>
      </w:tblPr>
      <w:tblGrid>
        <w:gridCol w:w="1347"/>
        <w:gridCol w:w="1414"/>
        <w:gridCol w:w="6589"/>
      </w:tblGrid>
      <w:tr w:rsidR="00F7481E" w14:paraId="21B6273D" w14:textId="77777777" w:rsidTr="00D16CA6">
        <w:tc>
          <w:tcPr>
            <w:tcW w:w="134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2FFF06D" w14:textId="77777777" w:rsidR="00F7481E" w:rsidRDefault="00F7481E" w:rsidP="00D16CA6">
            <w:pPr>
              <w:rPr>
                <w:b/>
                <w:bCs/>
              </w:rPr>
            </w:pPr>
            <w:r>
              <w:rPr>
                <w:b/>
                <w:bCs/>
              </w:rPr>
              <w:t>Mod. No.</w:t>
            </w:r>
          </w:p>
        </w:tc>
        <w:tc>
          <w:tcPr>
            <w:tcW w:w="14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FB74729" w14:textId="77777777" w:rsidR="00F7481E" w:rsidRDefault="00F7481E" w:rsidP="00D16CA6">
            <w:pPr>
              <w:rPr>
                <w:b/>
                <w:bCs/>
              </w:rPr>
            </w:pPr>
            <w:r>
              <w:rPr>
                <w:b/>
                <w:bCs/>
              </w:rPr>
              <w:t>Date</w:t>
            </w:r>
          </w:p>
        </w:tc>
        <w:tc>
          <w:tcPr>
            <w:tcW w:w="658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531C743" w14:textId="77777777" w:rsidR="00F7481E" w:rsidRDefault="00F7481E" w:rsidP="00D16CA6">
            <w:pPr>
              <w:rPr>
                <w:b/>
                <w:bCs/>
              </w:rPr>
            </w:pPr>
            <w:r>
              <w:rPr>
                <w:b/>
                <w:bCs/>
              </w:rPr>
              <w:t>Description of Modification</w:t>
            </w:r>
          </w:p>
        </w:tc>
      </w:tr>
      <w:tr w:rsidR="00F7481E" w14:paraId="01332825" w14:textId="77777777" w:rsidTr="00D16CA6">
        <w:tc>
          <w:tcPr>
            <w:tcW w:w="1347" w:type="dxa"/>
            <w:shd w:val="clear" w:color="auto" w:fill="auto"/>
          </w:tcPr>
          <w:p w14:paraId="640C1717" w14:textId="77777777" w:rsidR="00F7481E" w:rsidRPr="00D71E62" w:rsidRDefault="00F7481E" w:rsidP="00D16CA6">
            <w:pPr>
              <w:rPr>
                <w:szCs w:val="24"/>
              </w:rPr>
            </w:pPr>
            <w:r w:rsidRPr="00977AB4">
              <w:rPr>
                <w:szCs w:val="24"/>
                <w:highlight w:val="yellow"/>
              </w:rPr>
              <w:t>000001</w:t>
            </w:r>
          </w:p>
        </w:tc>
        <w:tc>
          <w:tcPr>
            <w:tcW w:w="1414" w:type="dxa"/>
            <w:shd w:val="clear" w:color="auto" w:fill="auto"/>
          </w:tcPr>
          <w:p w14:paraId="3EDEB595" w14:textId="77777777" w:rsidR="00F7481E" w:rsidRPr="00D71E62" w:rsidRDefault="00F7481E" w:rsidP="00D16CA6">
            <w:pPr>
              <w:rPr>
                <w:szCs w:val="24"/>
              </w:rPr>
            </w:pPr>
            <w:r>
              <w:rPr>
                <w:szCs w:val="24"/>
              </w:rPr>
              <w:t>08/05/2022</w:t>
            </w:r>
          </w:p>
        </w:tc>
        <w:tc>
          <w:tcPr>
            <w:tcW w:w="6589" w:type="dxa"/>
            <w:shd w:val="clear" w:color="auto" w:fill="auto"/>
          </w:tcPr>
          <w:p w14:paraId="00E8E202" w14:textId="7318C179" w:rsidR="00F7481E" w:rsidRPr="00D71E62" w:rsidRDefault="00F7481E" w:rsidP="00D16CA6">
            <w:pPr>
              <w:rPr>
                <w:szCs w:val="24"/>
              </w:rPr>
            </w:pPr>
            <w:r>
              <w:rPr>
                <w:szCs w:val="24"/>
              </w:rPr>
              <w:t xml:space="preserve">A broken link was fixed in Section I.A.vi - Teaming Partner List. The correct website link for the Teaming Partner List was added as well as specifying the list is available on EERE </w:t>
            </w:r>
            <w:proofErr w:type="spellStart"/>
            <w:r>
              <w:rPr>
                <w:szCs w:val="24"/>
              </w:rPr>
              <w:t>eXCHANGE</w:t>
            </w:r>
            <w:proofErr w:type="spellEnd"/>
            <w:r>
              <w:rPr>
                <w:szCs w:val="24"/>
              </w:rPr>
              <w:t>.</w:t>
            </w:r>
          </w:p>
        </w:tc>
      </w:tr>
      <w:tr w:rsidR="00094F67" w14:paraId="705EEB5F" w14:textId="77777777" w:rsidTr="00D16CA6">
        <w:tc>
          <w:tcPr>
            <w:tcW w:w="1347" w:type="dxa"/>
            <w:shd w:val="clear" w:color="auto" w:fill="auto"/>
          </w:tcPr>
          <w:p w14:paraId="79941851" w14:textId="11BE989F" w:rsidR="00094F67" w:rsidRPr="00977AB4" w:rsidRDefault="00094F67" w:rsidP="00D16CA6">
            <w:pPr>
              <w:rPr>
                <w:szCs w:val="24"/>
                <w:highlight w:val="yellow"/>
              </w:rPr>
            </w:pPr>
            <w:r>
              <w:rPr>
                <w:szCs w:val="24"/>
                <w:highlight w:val="yellow"/>
              </w:rPr>
              <w:t>000002</w:t>
            </w:r>
          </w:p>
        </w:tc>
        <w:tc>
          <w:tcPr>
            <w:tcW w:w="1414" w:type="dxa"/>
            <w:shd w:val="clear" w:color="auto" w:fill="auto"/>
          </w:tcPr>
          <w:p w14:paraId="4175C992" w14:textId="77F28A58" w:rsidR="00094F67" w:rsidRDefault="00094F67" w:rsidP="00D16CA6">
            <w:pPr>
              <w:rPr>
                <w:szCs w:val="24"/>
              </w:rPr>
            </w:pPr>
            <w:r>
              <w:rPr>
                <w:szCs w:val="24"/>
              </w:rPr>
              <w:t>08/23/2022</w:t>
            </w:r>
          </w:p>
        </w:tc>
        <w:tc>
          <w:tcPr>
            <w:tcW w:w="6589" w:type="dxa"/>
            <w:shd w:val="clear" w:color="auto" w:fill="auto"/>
          </w:tcPr>
          <w:p w14:paraId="5EC2C07A" w14:textId="045366D9" w:rsidR="00094F67" w:rsidRDefault="00094F67" w:rsidP="00D16CA6">
            <w:pPr>
              <w:rPr>
                <w:szCs w:val="24"/>
              </w:rPr>
            </w:pPr>
            <w:r>
              <w:rPr>
                <w:szCs w:val="24"/>
              </w:rPr>
              <w:t>Extended the Concept Paper Submission Deadline from 9/1/2022 to 9/15/2022. Updated the FOA timeline on the FOA cover page to accommodate th</w:t>
            </w:r>
            <w:r w:rsidR="00E37860">
              <w:rPr>
                <w:szCs w:val="24"/>
              </w:rPr>
              <w:t>is</w:t>
            </w:r>
            <w:r>
              <w:rPr>
                <w:szCs w:val="24"/>
              </w:rPr>
              <w:t xml:space="preserve"> change.</w:t>
            </w:r>
          </w:p>
        </w:tc>
      </w:tr>
      <w:tr w:rsidR="00973E02" w14:paraId="3E913657" w14:textId="77777777" w:rsidTr="00D16CA6">
        <w:tc>
          <w:tcPr>
            <w:tcW w:w="1347" w:type="dxa"/>
            <w:shd w:val="clear" w:color="auto" w:fill="auto"/>
          </w:tcPr>
          <w:p w14:paraId="7CB4F259" w14:textId="71EEBEB2" w:rsidR="00973E02" w:rsidRDefault="00973E02" w:rsidP="00D16CA6">
            <w:pPr>
              <w:rPr>
                <w:szCs w:val="24"/>
                <w:highlight w:val="yellow"/>
              </w:rPr>
            </w:pPr>
            <w:r>
              <w:rPr>
                <w:szCs w:val="24"/>
                <w:highlight w:val="yellow"/>
              </w:rPr>
              <w:t>000003</w:t>
            </w:r>
          </w:p>
        </w:tc>
        <w:tc>
          <w:tcPr>
            <w:tcW w:w="1414" w:type="dxa"/>
            <w:shd w:val="clear" w:color="auto" w:fill="auto"/>
          </w:tcPr>
          <w:p w14:paraId="44C23D16" w14:textId="1FA94B3E" w:rsidR="00973E02" w:rsidRDefault="00973E02" w:rsidP="00D16CA6">
            <w:pPr>
              <w:rPr>
                <w:szCs w:val="24"/>
              </w:rPr>
            </w:pPr>
            <w:r>
              <w:rPr>
                <w:szCs w:val="24"/>
              </w:rPr>
              <w:t>12/12/2022</w:t>
            </w:r>
          </w:p>
        </w:tc>
        <w:tc>
          <w:tcPr>
            <w:tcW w:w="6589" w:type="dxa"/>
            <w:shd w:val="clear" w:color="auto" w:fill="auto"/>
          </w:tcPr>
          <w:p w14:paraId="6AAE5F77" w14:textId="087BEF7F" w:rsidR="00973E02" w:rsidRDefault="00973E02" w:rsidP="00D16CA6">
            <w:pPr>
              <w:rPr>
                <w:szCs w:val="24"/>
              </w:rPr>
            </w:pPr>
            <w:r>
              <w:rPr>
                <w:szCs w:val="24"/>
              </w:rPr>
              <w:t xml:space="preserve">Extended the Submission Deadline for Replies to Reviewer Comments from </w:t>
            </w:r>
            <w:r w:rsidR="00913CB8">
              <w:rPr>
                <w:szCs w:val="24"/>
              </w:rPr>
              <w:t>12/15/</w:t>
            </w:r>
            <w:r w:rsidR="008F1744">
              <w:rPr>
                <w:szCs w:val="24"/>
              </w:rPr>
              <w:t>2022 to 12/</w:t>
            </w:r>
            <w:r w:rsidR="00E63DDA">
              <w:rPr>
                <w:szCs w:val="24"/>
              </w:rPr>
              <w:t>20</w:t>
            </w:r>
            <w:r w:rsidR="008F1744">
              <w:rPr>
                <w:szCs w:val="24"/>
              </w:rPr>
              <w:t>/2022. Updated the FOA timeline on the FOA cover page to accommodate this change.</w:t>
            </w:r>
          </w:p>
        </w:tc>
      </w:tr>
    </w:tbl>
    <w:p w14:paraId="72EB2E80" w14:textId="48ADF43E" w:rsidR="00D07031" w:rsidRPr="00F7481E" w:rsidRDefault="00D07031" w:rsidP="00D07031">
      <w:pPr>
        <w:rPr>
          <w:rFonts w:ascii="Calibri" w:eastAsiaTheme="minorHAnsi" w:hAnsi="Calibri" w:cstheme="minorBidi"/>
          <w:b/>
          <w:color w:val="000000" w:themeColor="text1"/>
          <w:sz w:val="36"/>
          <w:szCs w:val="22"/>
        </w:rPr>
        <w:sectPr w:rsidR="00D07031" w:rsidRPr="00F7481E" w:rsidSect="003F2B17">
          <w:headerReference w:type="default" r:id="rId35"/>
          <w:footerReference w:type="default" r:id="rId36"/>
          <w:pgSz w:w="12240" w:h="15840" w:code="1"/>
          <w:pgMar w:top="1440" w:right="1440" w:bottom="1440" w:left="1440" w:header="720" w:footer="432" w:gutter="0"/>
          <w:pgNumType w:fmt="lowerRoman" w:start="1"/>
          <w:cols w:space="720"/>
          <w:docGrid w:linePitch="360"/>
        </w:sectPr>
      </w:pPr>
    </w:p>
    <w:p w14:paraId="6935AB8D" w14:textId="77777777" w:rsidR="00D07031" w:rsidRPr="00126FBB" w:rsidRDefault="004E672B" w:rsidP="0017729B">
      <w:pPr>
        <w:pStyle w:val="FOAHeading1"/>
      </w:pPr>
      <w:bookmarkStart w:id="6" w:name="_Toc517798889"/>
      <w:bookmarkStart w:id="7" w:name="_Toc519602221"/>
      <w:bookmarkStart w:id="8" w:name="_Toc519602302"/>
      <w:bookmarkStart w:id="9" w:name="_Toc109921640"/>
      <w:r w:rsidRPr="00126FBB">
        <w:lastRenderedPageBreak/>
        <w:t>Funding Opportunity Description</w:t>
      </w:r>
      <w:bookmarkEnd w:id="6"/>
      <w:bookmarkEnd w:id="7"/>
      <w:bookmarkEnd w:id="8"/>
      <w:bookmarkEnd w:id="9"/>
    </w:p>
    <w:p w14:paraId="4B032C92" w14:textId="77777777" w:rsidR="00D07031" w:rsidRPr="00161071" w:rsidRDefault="00D07031" w:rsidP="00D07031"/>
    <w:p w14:paraId="53D1A98A" w14:textId="77777777" w:rsidR="00D07031" w:rsidRPr="00872882" w:rsidRDefault="004E672B" w:rsidP="0017595D">
      <w:pPr>
        <w:pStyle w:val="FOAHeading2"/>
      </w:pPr>
      <w:bookmarkStart w:id="10" w:name="_Toc517798890"/>
      <w:bookmarkStart w:id="11" w:name="_Toc519602222"/>
      <w:bookmarkStart w:id="12" w:name="_Toc519602303"/>
      <w:bookmarkStart w:id="13" w:name="_Toc109921641"/>
      <w:r w:rsidRPr="003B7075">
        <w:t>Background</w:t>
      </w:r>
      <w:bookmarkEnd w:id="10"/>
      <w:bookmarkEnd w:id="11"/>
      <w:bookmarkEnd w:id="12"/>
      <w:r>
        <w:t xml:space="preserve"> and Context</w:t>
      </w:r>
      <w:bookmarkEnd w:id="13"/>
    </w:p>
    <w:p w14:paraId="2D61FE6E" w14:textId="620BDAD7" w:rsidR="00D07031" w:rsidRDefault="00D07031" w:rsidP="00D07031">
      <w:pPr>
        <w:ind w:left="1080"/>
      </w:pPr>
    </w:p>
    <w:p w14:paraId="10CE791E" w14:textId="26AFC9DF" w:rsidR="006E6B91" w:rsidRDefault="006E6B91" w:rsidP="006E6B91">
      <w:pPr>
        <w:ind w:left="1080"/>
      </w:pPr>
      <w:r>
        <w:t>The U.S Department of Energy’s (DOE) Office of Energy Efficiency and Renewable Energy (EERE) is issuing, on behalf of the Solar Energy Technologies Office (SETO) and Wind Energy Technologies Office (WETO), this Funding Opportunity Announcement (FOA). Projects awarded under this FOA will be funded, in whole or in part, with funds appropriated by the Infrastructure Investment and Jobs Act, Public Law 117-58,</w:t>
      </w:r>
      <w:r w:rsidR="00BA104C">
        <w:rPr>
          <w:rStyle w:val="FootnoteReference"/>
        </w:rPr>
        <w:footnoteReference w:id="2"/>
      </w:r>
      <w:r>
        <w:t xml:space="preserve"> also known as the Bipartisan Infrastructure Law (BIL).  </w:t>
      </w:r>
    </w:p>
    <w:p w14:paraId="5C09305D" w14:textId="77777777" w:rsidR="006E6B91" w:rsidRDefault="006E6B91" w:rsidP="006E6B91">
      <w:pPr>
        <w:ind w:left="1080"/>
      </w:pPr>
    </w:p>
    <w:p w14:paraId="67915007" w14:textId="40842B79" w:rsidR="006E6B91" w:rsidRDefault="006E6B91" w:rsidP="006E6B91">
      <w:pPr>
        <w:ind w:left="1080"/>
      </w:pPr>
      <w:r>
        <w:t xml:space="preserve">The </w:t>
      </w:r>
      <w:r w:rsidR="00AD1AC0">
        <w:t xml:space="preserve">BIL </w:t>
      </w:r>
      <w:r>
        <w:t>is a once-in-a-generation investment in infrastructure, which will grow a more sustainable, resilient, and equitable economy through enhancing U.S. competitiveness, creating good jobs, ensuring stronger access to economic</w:t>
      </w:r>
      <w:r w:rsidR="00002FF5">
        <w:t>, environmental, and other</w:t>
      </w:r>
      <w:r>
        <w:t xml:space="preserve"> benefits for disadvantaged communities. The </w:t>
      </w:r>
      <w:r w:rsidR="00AD1AC0">
        <w:t xml:space="preserve">BIL </w:t>
      </w:r>
      <w:r>
        <w:t>appropriates more than $62 billion to DOE</w:t>
      </w:r>
      <w:r w:rsidR="00BA104C">
        <w:rPr>
          <w:rStyle w:val="FootnoteReference"/>
        </w:rPr>
        <w:footnoteReference w:id="3"/>
      </w:r>
      <w:r>
        <w:t xml:space="preserve"> to deliver a more equitable clean energy future for the American people. </w:t>
      </w:r>
    </w:p>
    <w:p w14:paraId="4CB7FA21" w14:textId="77777777" w:rsidR="006E6B91" w:rsidRDefault="006E6B91" w:rsidP="006E6B91">
      <w:pPr>
        <w:ind w:left="1080"/>
      </w:pPr>
    </w:p>
    <w:p w14:paraId="6F4CB79D" w14:textId="7948E483" w:rsidR="00AD1AC0" w:rsidRDefault="00AD1AC0" w:rsidP="006E6B91">
      <w:pPr>
        <w:ind w:left="1080"/>
      </w:pPr>
      <w:r>
        <w:t>Over the four-year period encompassing fiscal years (FYs) 2022 through 2026, the BIL will invest $</w:t>
      </w:r>
      <w:r w:rsidR="00A6302F">
        <w:t>4</w:t>
      </w:r>
      <w:r>
        <w:t xml:space="preserve">0 million </w:t>
      </w:r>
      <w:r w:rsidR="002136B8">
        <w:t xml:space="preserve">for solar </w:t>
      </w:r>
      <w:r w:rsidR="003923B7">
        <w:t>energy—and $60 million for wind energy--</w:t>
      </w:r>
      <w:r w:rsidR="002136B8">
        <w:t>research, development, demonstration, and commercialization activities</w:t>
      </w:r>
      <w:r w:rsidR="00646C5C">
        <w:rPr>
          <w:rStyle w:val="FootnoteReference"/>
        </w:rPr>
        <w:footnoteReference w:id="4"/>
      </w:r>
      <w:r w:rsidR="002136B8">
        <w:t xml:space="preserve">. This includes </w:t>
      </w:r>
      <w:r w:rsidR="00032C9C">
        <w:t xml:space="preserve">establishing demonstration facilities and projects, </w:t>
      </w:r>
      <w:r w:rsidR="008001C7">
        <w:t xml:space="preserve">conducting </w:t>
      </w:r>
      <w:proofErr w:type="gramStart"/>
      <w:r w:rsidR="008001C7">
        <w:t>analyses  and</w:t>
      </w:r>
      <w:proofErr w:type="gramEnd"/>
      <w:r w:rsidR="008001C7">
        <w:t xml:space="preserve"> studies, and conducting education and outreach in support of solar and wind technologies.</w:t>
      </w:r>
    </w:p>
    <w:p w14:paraId="6C1D912C" w14:textId="5F9C7DCA" w:rsidR="00A6302F" w:rsidRDefault="00A6302F" w:rsidP="006E6B91">
      <w:pPr>
        <w:ind w:left="1080"/>
      </w:pPr>
    </w:p>
    <w:p w14:paraId="72AF3C89" w14:textId="735ABEF8" w:rsidR="00A6302F" w:rsidRDefault="00A6302F" w:rsidP="00A6302F">
      <w:pPr>
        <w:ind w:left="1080"/>
        <w:rPr>
          <w:color w:val="000000" w:themeColor="text1"/>
        </w:rPr>
      </w:pPr>
      <w:r>
        <w:rPr>
          <w:color w:val="000000" w:themeColor="text1"/>
        </w:rPr>
        <w:t>Under this FOA, EERE expects to make a total of approximately $26</w:t>
      </w:r>
      <w:r w:rsidR="00157354">
        <w:rPr>
          <w:color w:val="000000" w:themeColor="text1"/>
        </w:rPr>
        <w:t xml:space="preserve"> million</w:t>
      </w:r>
      <w:r>
        <w:rPr>
          <w:color w:val="000000" w:themeColor="text1"/>
        </w:rPr>
        <w:t xml:space="preserve"> of federal funding available for new awards. EERE anticipates making approximately </w:t>
      </w:r>
      <w:r>
        <w:rPr>
          <w:rStyle w:val="Style1"/>
          <w:color w:val="000000" w:themeColor="text1"/>
        </w:rPr>
        <w:t>6 to 9</w:t>
      </w:r>
      <w:r>
        <w:rPr>
          <w:color w:val="000000" w:themeColor="text1"/>
        </w:rPr>
        <w:t xml:space="preserve"> awards under this FOA</w:t>
      </w:r>
      <w:r w:rsidR="00157354">
        <w:rPr>
          <w:color w:val="000000" w:themeColor="text1"/>
        </w:rPr>
        <w:t xml:space="preserve"> between two topic areas</w:t>
      </w:r>
      <w:r>
        <w:rPr>
          <w:color w:val="000000" w:themeColor="text1"/>
        </w:rPr>
        <w:t>. EERE may issue one, multiple, or no awards. Individual awards may vary between $</w:t>
      </w:r>
      <w:r>
        <w:rPr>
          <w:rStyle w:val="Style1"/>
          <w:color w:val="000000" w:themeColor="text1"/>
        </w:rPr>
        <w:t>2,250,000</w:t>
      </w:r>
      <w:r>
        <w:rPr>
          <w:color w:val="000000" w:themeColor="text1"/>
        </w:rPr>
        <w:t xml:space="preserve"> and $</w:t>
      </w:r>
      <w:r>
        <w:rPr>
          <w:rStyle w:val="Style1"/>
          <w:color w:val="000000" w:themeColor="text1"/>
        </w:rPr>
        <w:t>5,600,000</w:t>
      </w:r>
      <w:r w:rsidR="00157354">
        <w:rPr>
          <w:rStyle w:val="Style1"/>
          <w:color w:val="000000" w:themeColor="text1"/>
        </w:rPr>
        <w:t>, depending on the topic area</w:t>
      </w:r>
      <w:r>
        <w:rPr>
          <w:color w:val="000000" w:themeColor="text1"/>
        </w:rPr>
        <w:t>.</w:t>
      </w:r>
    </w:p>
    <w:p w14:paraId="119289B9" w14:textId="77777777" w:rsidR="00A6302F" w:rsidRDefault="00A6302F" w:rsidP="006E6B91">
      <w:pPr>
        <w:ind w:left="1080"/>
      </w:pPr>
    </w:p>
    <w:p w14:paraId="059B7ADB" w14:textId="7E0301BA" w:rsidR="002136B8" w:rsidRDefault="002136B8" w:rsidP="006E6B91">
      <w:pPr>
        <w:ind w:left="1080"/>
      </w:pPr>
      <w:r>
        <w:t>This FOA and any related activities support BIL section</w:t>
      </w:r>
      <w:r w:rsidR="00033C8E">
        <w:t>s 41007(b) and 41007(c)</w:t>
      </w:r>
      <w:r>
        <w:t xml:space="preserve">. </w:t>
      </w:r>
      <w:r w:rsidR="00FC5DC4">
        <w:t xml:space="preserve">The programmatic authorizing statutes are 42 U.S.C. 16238(b)(2) and 42 U.S.C. 16237(b)(2). </w:t>
      </w:r>
      <w:r>
        <w:t xml:space="preserve">The sections are focused on </w:t>
      </w:r>
      <w:r w:rsidR="00033C8E">
        <w:t xml:space="preserve">carrying out </w:t>
      </w:r>
      <w:r w:rsidR="00B20FF8">
        <w:t>research, development, and deployment</w:t>
      </w:r>
      <w:r>
        <w:t xml:space="preserve"> </w:t>
      </w:r>
      <w:r w:rsidR="0099226D">
        <w:t xml:space="preserve">of solar and wind technologies through a broad set of </w:t>
      </w:r>
      <w:r w:rsidR="00033C8E">
        <w:t>activities</w:t>
      </w:r>
      <w:r>
        <w:t xml:space="preserve">, </w:t>
      </w:r>
      <w:r w:rsidR="0099226D">
        <w:t xml:space="preserve">such as awarding grants, providing small business vouchers, establishing prize competitions, </w:t>
      </w:r>
      <w:r w:rsidR="0099226D">
        <w:lastRenderedPageBreak/>
        <w:t xml:space="preserve">conducting education and workforce development activities, and funding competitive awards on a merit-review basis, which is the goal of this FOA. In these sections, these activities may be carried out on a broad range of subject areas, such as new materials, advanced manufacturing practices, </w:t>
      </w:r>
      <w:r w:rsidR="00E331EC">
        <w:t>and system integration. The subject areas from this list pertaining to this FOA are</w:t>
      </w:r>
      <w:r>
        <w:t>:</w:t>
      </w:r>
    </w:p>
    <w:p w14:paraId="4AF3DEAF" w14:textId="1F3FA937" w:rsidR="002136B8" w:rsidRDefault="00B20FF8" w:rsidP="00F836F4">
      <w:pPr>
        <w:pStyle w:val="ListParagraph"/>
        <w:numPr>
          <w:ilvl w:val="0"/>
          <w:numId w:val="81"/>
        </w:numPr>
        <w:ind w:left="1800"/>
      </w:pPr>
      <w:r>
        <w:t>Developing new hardware and software to enable advanced technologies</w:t>
      </w:r>
    </w:p>
    <w:p w14:paraId="684B5CF9" w14:textId="35EF0EAA" w:rsidR="00B20FF8" w:rsidRDefault="00B20FF8" w:rsidP="00F836F4">
      <w:pPr>
        <w:pStyle w:val="ListParagraph"/>
        <w:numPr>
          <w:ilvl w:val="0"/>
          <w:numId w:val="81"/>
        </w:numPr>
        <w:ind w:left="1800"/>
      </w:pPr>
      <w:r>
        <w:t>Integrating solar and wind energy systems with the electric grid and other energy technologies, such as other generation, demand response, and energy storage.</w:t>
      </w:r>
    </w:p>
    <w:p w14:paraId="558B87F0" w14:textId="77777777" w:rsidR="00AD1AC0" w:rsidRDefault="00AD1AC0" w:rsidP="006E6B91">
      <w:pPr>
        <w:ind w:left="1080"/>
      </w:pPr>
    </w:p>
    <w:p w14:paraId="5DEF45A7" w14:textId="75B46420" w:rsidR="006E6B91" w:rsidRDefault="006E6B91" w:rsidP="006E6B91">
      <w:pPr>
        <w:ind w:left="1080"/>
      </w:pPr>
      <w:r>
        <w:t xml:space="preserve">It is critical that the projects not only contribute to the energy technology goals, but also (1) support the </w:t>
      </w:r>
      <w:r w:rsidR="005F06B5">
        <w:t>BIL</w:t>
      </w:r>
      <w:r>
        <w:t xml:space="preserve"> objectives to invest in America’s workforce by including specific elements to accelerate job growth and job quality</w:t>
      </w:r>
      <w:r w:rsidR="00B00F4A">
        <w:t>, including the free and fair chance to join a union</w:t>
      </w:r>
      <w:r>
        <w:t>; and (2) advance DOE’s equity, environmental and energy justice priorities, including DOE’s commitment to the Justice40 Initiative.</w:t>
      </w:r>
      <w:r w:rsidR="00BA104C">
        <w:rPr>
          <w:rStyle w:val="FootnoteReference"/>
        </w:rPr>
        <w:footnoteReference w:id="5"/>
      </w:r>
      <w:r>
        <w:t xml:space="preserve"> The Justice40 Initiative establishes a goal that 40% of the overall benefits of certain federal investments flow to disadvantaged communities.</w:t>
      </w:r>
    </w:p>
    <w:p w14:paraId="7BD761C3" w14:textId="77777777" w:rsidR="006E6B91" w:rsidRDefault="006E6B91" w:rsidP="00D07031">
      <w:pPr>
        <w:ind w:left="1080"/>
      </w:pPr>
    </w:p>
    <w:p w14:paraId="236A9FFF" w14:textId="77777777" w:rsidR="00D07031" w:rsidRDefault="004E672B" w:rsidP="00D07031">
      <w:pPr>
        <w:pStyle w:val="FOAHeading3"/>
        <w:ind w:left="1440"/>
        <w:contextualSpacing w:val="0"/>
        <w:outlineLvl w:val="2"/>
      </w:pPr>
      <w:bookmarkStart w:id="14" w:name="_Toc109921642"/>
      <w:r>
        <w:t>Background and Purpose</w:t>
      </w:r>
      <w:bookmarkEnd w:id="14"/>
    </w:p>
    <w:p w14:paraId="447E9BEF" w14:textId="7FFE5684" w:rsidR="009354F0" w:rsidRDefault="009354F0" w:rsidP="009354F0">
      <w:pPr>
        <w:ind w:left="1440"/>
        <w:rPr>
          <w:color w:val="000000"/>
          <w:szCs w:val="24"/>
        </w:rPr>
      </w:pPr>
      <w:r w:rsidRPr="002E112C">
        <w:rPr>
          <w:color w:val="000000"/>
          <w:szCs w:val="24"/>
        </w:rPr>
        <w:t xml:space="preserve">This FOA is being issued by </w:t>
      </w:r>
      <w:r>
        <w:rPr>
          <w:color w:val="000000"/>
          <w:szCs w:val="24"/>
        </w:rPr>
        <w:t xml:space="preserve">EERE on behalf of </w:t>
      </w:r>
      <w:r w:rsidRPr="002E112C">
        <w:rPr>
          <w:color w:val="000000"/>
          <w:szCs w:val="24"/>
        </w:rPr>
        <w:t xml:space="preserve">SETO </w:t>
      </w:r>
      <w:r>
        <w:rPr>
          <w:color w:val="000000"/>
          <w:szCs w:val="24"/>
        </w:rPr>
        <w:t xml:space="preserve">and WETO </w:t>
      </w:r>
      <w:r w:rsidRPr="002E112C">
        <w:rPr>
          <w:color w:val="000000"/>
          <w:szCs w:val="24"/>
        </w:rPr>
        <w:t xml:space="preserve">to invest in innovative research and development (R&amp;D) that accelerates the large-scale development and deployment of solar </w:t>
      </w:r>
      <w:r>
        <w:rPr>
          <w:color w:val="000000"/>
          <w:szCs w:val="24"/>
        </w:rPr>
        <w:t xml:space="preserve">and wind </w:t>
      </w:r>
      <w:r w:rsidRPr="002E112C">
        <w:rPr>
          <w:color w:val="000000"/>
          <w:szCs w:val="24"/>
        </w:rPr>
        <w:t>technolog</w:t>
      </w:r>
      <w:r>
        <w:rPr>
          <w:color w:val="000000"/>
          <w:szCs w:val="24"/>
        </w:rPr>
        <w:t>ies</w:t>
      </w:r>
      <w:r w:rsidRPr="002E112C">
        <w:rPr>
          <w:color w:val="000000"/>
          <w:szCs w:val="24"/>
        </w:rPr>
        <w:t xml:space="preserve"> to support an equitable transition to a decarbonized electricity system by 2035</w:t>
      </w:r>
      <w:r w:rsidR="00604D0E">
        <w:rPr>
          <w:color w:val="000000"/>
          <w:szCs w:val="24"/>
        </w:rPr>
        <w:t>,</w:t>
      </w:r>
      <w:r w:rsidRPr="002E112C">
        <w:rPr>
          <w:color w:val="000000"/>
          <w:szCs w:val="24"/>
        </w:rPr>
        <w:t xml:space="preserve"> and </w:t>
      </w:r>
      <w:r w:rsidR="00604D0E">
        <w:rPr>
          <w:color w:val="000000"/>
          <w:szCs w:val="24"/>
        </w:rPr>
        <w:t>a</w:t>
      </w:r>
      <w:r w:rsidRPr="002E112C">
        <w:rPr>
          <w:color w:val="000000"/>
          <w:szCs w:val="24"/>
        </w:rPr>
        <w:t xml:space="preserve"> decarbonized energy sector by 2050. Achieving this goal will support the nationwide effort to meet the threat of climate change and ensure that </w:t>
      </w:r>
      <w:r w:rsidR="00604D0E">
        <w:rPr>
          <w:color w:val="000000"/>
          <w:szCs w:val="24"/>
        </w:rPr>
        <w:t xml:space="preserve">workers and communities </w:t>
      </w:r>
      <w:proofErr w:type="gramStart"/>
      <w:r w:rsidR="00604D0E">
        <w:rPr>
          <w:color w:val="000000"/>
          <w:szCs w:val="24"/>
        </w:rPr>
        <w:t>all across</w:t>
      </w:r>
      <w:proofErr w:type="gramEnd"/>
      <w:r w:rsidR="00604D0E">
        <w:rPr>
          <w:color w:val="000000"/>
          <w:szCs w:val="24"/>
        </w:rPr>
        <w:t xml:space="preserve"> America</w:t>
      </w:r>
      <w:r w:rsidRPr="002E112C">
        <w:rPr>
          <w:color w:val="000000"/>
          <w:szCs w:val="24"/>
        </w:rPr>
        <w:t xml:space="preserve"> benefit from the transition to a clean energy economy. </w:t>
      </w:r>
    </w:p>
    <w:p w14:paraId="34F1F4CE" w14:textId="77777777" w:rsidR="004D5EC4" w:rsidRDefault="004D5EC4" w:rsidP="004D5EC4">
      <w:pPr>
        <w:ind w:left="1440"/>
      </w:pPr>
    </w:p>
    <w:p w14:paraId="3624C191" w14:textId="037E1177" w:rsidR="00C00F47" w:rsidRDefault="00C00F47" w:rsidP="00C00F47">
      <w:pPr>
        <w:ind w:left="1440"/>
      </w:pPr>
      <w:r>
        <w:t xml:space="preserve">With </w:t>
      </w:r>
      <w:r w:rsidRPr="0050639F">
        <w:t>this FOA</w:t>
      </w:r>
      <w:r>
        <w:t>,</w:t>
      </w:r>
      <w:r w:rsidRPr="0050639F">
        <w:t xml:space="preserve"> </w:t>
      </w:r>
      <w:r w:rsidRPr="00C2515F">
        <w:t xml:space="preserve">SETO and WETO plan to support demonstration projects that integrate </w:t>
      </w:r>
      <w:r>
        <w:t xml:space="preserve">variable </w:t>
      </w:r>
      <w:r w:rsidRPr="00C2515F">
        <w:t>renewable generation with other large-scale or aggregated distributed energy resource (DER) technologies</w:t>
      </w:r>
      <w:r w:rsidR="00686188">
        <w:t xml:space="preserve"> to provide critical </w:t>
      </w:r>
      <w:r w:rsidR="00101035">
        <w:t>grid-supporting services</w:t>
      </w:r>
      <w:r>
        <w:t xml:space="preserve">. </w:t>
      </w:r>
      <w:r w:rsidR="00FA1E29">
        <w:t>These</w:t>
      </w:r>
      <w:r>
        <w:t xml:space="preserve"> demonstrations, </w:t>
      </w:r>
      <w:r w:rsidR="00FA1E29">
        <w:t>which will last for 6-12 months</w:t>
      </w:r>
      <w:r w:rsidR="00E331EC">
        <w:t xml:space="preserve"> of the </w:t>
      </w:r>
      <w:r w:rsidR="00157354">
        <w:t xml:space="preserve">anticipated </w:t>
      </w:r>
      <w:r w:rsidR="00E331EC">
        <w:t xml:space="preserve">36 month award period, </w:t>
      </w:r>
      <w:r w:rsidR="00FA1E29">
        <w:t>at wind, solar, or hybrid power plant</w:t>
      </w:r>
      <w:r w:rsidR="00E331EC">
        <w:t>s</w:t>
      </w:r>
      <w:r w:rsidR="00FA1E29">
        <w:t xml:space="preserve"> </w:t>
      </w:r>
      <w:r w:rsidR="00E331EC">
        <w:t xml:space="preserve">(plants comprised of a mix of solar, wind, or other generation or storage technology) </w:t>
      </w:r>
      <w:r w:rsidR="00FA1E29">
        <w:t>at least 10 MW in size,</w:t>
      </w:r>
      <w:r>
        <w:t xml:space="preserve"> are </w:t>
      </w:r>
      <w:r w:rsidRPr="5EE5C11A">
        <w:rPr>
          <w:color w:val="000000"/>
        </w:rPr>
        <w:t xml:space="preserve">critical to understanding and addressing the unique challenges related to integrating hundreds of gigawatts of wind and solar generation onto an electricity grid historically designed for large-scale centralized energy generation located far from consumers. </w:t>
      </w:r>
      <w:r>
        <w:t xml:space="preserve">This FOA will support </w:t>
      </w:r>
      <w:r>
        <w:lastRenderedPageBreak/>
        <w:t>projects that demonstrate innovative approaches to essential grid services such as voltage and frequency control and power recovery during system-wide outages (among others</w:t>
      </w:r>
      <w:r>
        <w:rPr>
          <w:rStyle w:val="FootnoteReference"/>
        </w:rPr>
        <w:footnoteReference w:id="6"/>
      </w:r>
      <w:r>
        <w:t xml:space="preserve">). </w:t>
      </w:r>
    </w:p>
    <w:p w14:paraId="3B22ABAC" w14:textId="77777777" w:rsidR="00C00F47" w:rsidRDefault="00C00F47" w:rsidP="00C00F47">
      <w:pPr>
        <w:ind w:left="1440"/>
      </w:pPr>
    </w:p>
    <w:p w14:paraId="3C20B0B7" w14:textId="49E84509" w:rsidR="00C00F47" w:rsidRPr="00B376DE" w:rsidRDefault="00C00F47" w:rsidP="00C00F47">
      <w:pPr>
        <w:ind w:left="1440"/>
        <w:rPr>
          <w:color w:val="000000"/>
          <w:szCs w:val="24"/>
        </w:rPr>
      </w:pPr>
      <w:r w:rsidRPr="00C2515F">
        <w:t xml:space="preserve">Additionally, this FOA will support </w:t>
      </w:r>
      <w:r>
        <w:t xml:space="preserve">the development of new tools and technologies </w:t>
      </w:r>
      <w:r w:rsidRPr="00C2515F">
        <w:t xml:space="preserve">to ensure </w:t>
      </w:r>
      <w:r>
        <w:t xml:space="preserve">that when </w:t>
      </w:r>
      <w:r w:rsidR="002B3C2A">
        <w:t xml:space="preserve">more </w:t>
      </w:r>
      <w:r>
        <w:t xml:space="preserve">solar and wind generation </w:t>
      </w:r>
      <w:r w:rsidR="002B3C2A">
        <w:t xml:space="preserve">are deployed </w:t>
      </w:r>
      <w:r>
        <w:t xml:space="preserve">on the grid, </w:t>
      </w:r>
      <w:r w:rsidRPr="00C2515F">
        <w:t>the transmission grid’s protection system</w:t>
      </w:r>
      <w:r>
        <w:t xml:space="preserve"> will continue to</w:t>
      </w:r>
      <w:r w:rsidRPr="00E21211">
        <w:t xml:space="preserve"> </w:t>
      </w:r>
      <w:r>
        <w:t>mitigate grid disturbances and protect against cyber and physical risks</w:t>
      </w:r>
      <w:r w:rsidRPr="00E331EC">
        <w:rPr>
          <w:color w:val="000000" w:themeColor="text1"/>
        </w:rPr>
        <w:t>.</w:t>
      </w:r>
    </w:p>
    <w:p w14:paraId="4D281E0B" w14:textId="77777777" w:rsidR="00C00F47" w:rsidRPr="002E112C" w:rsidRDefault="00C00F47" w:rsidP="00C00F47">
      <w:pPr>
        <w:ind w:left="1440"/>
        <w:rPr>
          <w:color w:val="000000"/>
          <w:szCs w:val="24"/>
        </w:rPr>
      </w:pPr>
    </w:p>
    <w:p w14:paraId="1715635E" w14:textId="180896EB" w:rsidR="00C00F47" w:rsidRDefault="00C00F47" w:rsidP="5EE5C11A">
      <w:pPr>
        <w:ind w:left="1440"/>
        <w:rPr>
          <w:color w:val="000000"/>
        </w:rPr>
      </w:pPr>
      <w:r w:rsidRPr="5EE5C11A">
        <w:rPr>
          <w:color w:val="000000"/>
        </w:rPr>
        <w:t>SETO supports solar energy research, development, demonstration, and technical assistance in five areas—photovoltaics (PV), concentrating solar-thermal power (CSP), systems integration, manufacturing and competitiveness, and soft costs—to improve the affordability, reliability, and domestic benefit of solar technologies on the electric grid. In May 2021, SETO released its Multi-Year Program Plan</w:t>
      </w:r>
      <w:r w:rsidRPr="00D93AB3">
        <w:rPr>
          <w:color w:val="000000" w:themeColor="text1"/>
        </w:rPr>
        <w:t>,</w:t>
      </w:r>
      <w:bookmarkStart w:id="15" w:name="_Ref93488513"/>
      <w:r w:rsidRPr="5EE5C11A">
        <w:rPr>
          <w:i/>
          <w:iCs/>
          <w:color w:val="000000"/>
          <w:vertAlign w:val="superscript"/>
        </w:rPr>
        <w:footnoteReference w:id="7"/>
      </w:r>
      <w:bookmarkEnd w:id="15"/>
      <w:r w:rsidRPr="5EE5C11A">
        <w:rPr>
          <w:color w:val="000000"/>
        </w:rPr>
        <w:t xml:space="preserve"> which describes </w:t>
      </w:r>
      <w:r w:rsidRPr="00D93AB3">
        <w:rPr>
          <w:color w:val="000000" w:themeColor="text1"/>
        </w:rPr>
        <w:t>its</w:t>
      </w:r>
      <w:r w:rsidR="00D93AB3">
        <w:rPr>
          <w:color w:val="000000" w:themeColor="text1"/>
        </w:rPr>
        <w:t xml:space="preserve"> </w:t>
      </w:r>
      <w:r w:rsidRPr="5EE5C11A">
        <w:rPr>
          <w:color w:val="000000"/>
        </w:rPr>
        <w:t>activities and specific goals for 2025. In September 2021, DOE released the Solar Futures Study,</w:t>
      </w:r>
      <w:bookmarkStart w:id="16" w:name="_Ref93488544"/>
      <w:r w:rsidRPr="5EE5C11A">
        <w:rPr>
          <w:color w:val="000000"/>
          <w:vertAlign w:val="superscript"/>
        </w:rPr>
        <w:footnoteReference w:id="8"/>
      </w:r>
      <w:bookmarkEnd w:id="16"/>
      <w:r w:rsidRPr="5EE5C11A">
        <w:rPr>
          <w:color w:val="000000"/>
        </w:rPr>
        <w:t xml:space="preserve"> which examined solar power’s role in </w:t>
      </w:r>
      <w:proofErr w:type="gramStart"/>
      <w:r w:rsidRPr="00D93AB3">
        <w:rPr>
          <w:color w:val="000000" w:themeColor="text1"/>
        </w:rPr>
        <w:t xml:space="preserve">decarbonizing </w:t>
      </w:r>
      <w:r w:rsidRPr="5EE5C11A">
        <w:rPr>
          <w:color w:val="000000"/>
        </w:rPr>
        <w:t xml:space="preserve"> the</w:t>
      </w:r>
      <w:proofErr w:type="gramEnd"/>
      <w:r w:rsidRPr="5EE5C11A">
        <w:rPr>
          <w:color w:val="000000"/>
        </w:rPr>
        <w:t xml:space="preserve"> grid by 2035 and 2050. </w:t>
      </w:r>
      <w:proofErr w:type="gramStart"/>
      <w:r w:rsidRPr="5EE5C11A">
        <w:rPr>
          <w:color w:val="000000"/>
        </w:rPr>
        <w:t>Both of these</w:t>
      </w:r>
      <w:proofErr w:type="gramEnd"/>
      <w:r w:rsidRPr="5EE5C11A">
        <w:rPr>
          <w:color w:val="000000"/>
        </w:rPr>
        <w:t xml:space="preserve"> documents guide </w:t>
      </w:r>
      <w:r w:rsidRPr="00D93AB3">
        <w:rPr>
          <w:color w:val="000000" w:themeColor="text1"/>
        </w:rPr>
        <w:t xml:space="preserve">SETO’s </w:t>
      </w:r>
      <w:r w:rsidRPr="5EE5C11A">
        <w:rPr>
          <w:color w:val="000000"/>
        </w:rPr>
        <w:t xml:space="preserve">research, development, and demonstration efforts. </w:t>
      </w:r>
    </w:p>
    <w:p w14:paraId="2A91B8AF" w14:textId="77777777" w:rsidR="00C00F47" w:rsidRPr="002E112C" w:rsidRDefault="00C00F47" w:rsidP="00C00F47">
      <w:pPr>
        <w:ind w:left="1440"/>
        <w:rPr>
          <w:color w:val="000000"/>
          <w:szCs w:val="24"/>
        </w:rPr>
      </w:pPr>
    </w:p>
    <w:p w14:paraId="3366D982" w14:textId="4040CAF4" w:rsidR="00C00F47" w:rsidRDefault="00C00F47" w:rsidP="00C00F47">
      <w:pPr>
        <w:ind w:left="1440"/>
      </w:pPr>
      <w:r>
        <w:t xml:space="preserve">WETO plans and executes a diversified portfolio of research, development, and </w:t>
      </w:r>
      <w:r w:rsidRPr="5EE5C11A">
        <w:rPr>
          <w:color w:val="000000" w:themeColor="text1"/>
        </w:rPr>
        <w:t xml:space="preserve">demonstration </w:t>
      </w:r>
      <w:r>
        <w:t xml:space="preserve">to reduce the cost of wind energy by advancing technologies for offshore, land-based, and distributed wind energy. WETO also supports research to understand wind-related siting and environmental challenges and to ensure reliable and resilient wind integration to the electric grid.   </w:t>
      </w:r>
    </w:p>
    <w:p w14:paraId="0BB31218" w14:textId="77777777" w:rsidR="00C00F47" w:rsidRDefault="00C00F47" w:rsidP="00C00F47">
      <w:pPr>
        <w:ind w:left="1080"/>
        <w:rPr>
          <w:color w:val="000000"/>
          <w:szCs w:val="24"/>
        </w:rPr>
      </w:pPr>
    </w:p>
    <w:p w14:paraId="6FC9C93B" w14:textId="691AF834" w:rsidR="00C00F47" w:rsidRPr="0050639F" w:rsidRDefault="00C00F47" w:rsidP="00C00F47">
      <w:pPr>
        <w:ind w:left="1440"/>
      </w:pPr>
      <w:r w:rsidRPr="5EE5C11A">
        <w:rPr>
          <w:color w:val="000000"/>
        </w:rPr>
        <w:t xml:space="preserve">Building a clean and equitable energy economy </w:t>
      </w:r>
      <w:r w:rsidR="0066261A">
        <w:rPr>
          <w:color w:val="000000"/>
        </w:rPr>
        <w:t>while</w:t>
      </w:r>
      <w:r w:rsidR="0066261A" w:rsidRPr="5EE5C11A">
        <w:rPr>
          <w:color w:val="000000"/>
        </w:rPr>
        <w:t xml:space="preserve"> </w:t>
      </w:r>
      <w:r w:rsidRPr="5EE5C11A">
        <w:rPr>
          <w:color w:val="000000"/>
        </w:rPr>
        <w:t xml:space="preserve">addressing the climate crisis is a top priority of the Biden Administration. </w:t>
      </w:r>
      <w:r w:rsidRPr="0050639F">
        <w:t>This FOA will advance the Biden Administration’s goals to achieve carbon pollution-free electricity by 2035 and to “deliver an equitable, clean energy future, and put the United States on a path to achieve net-zero emissions, economy-wide, by no later than 2050“</w:t>
      </w:r>
      <w:r w:rsidRPr="0050639F">
        <w:rPr>
          <w:rStyle w:val="FootnoteReference"/>
        </w:rPr>
        <w:footnoteReference w:id="9"/>
      </w:r>
      <w:r w:rsidRPr="0050639F">
        <w:t xml:space="preserve"> to the benefit of all Americans. </w:t>
      </w:r>
      <w:r w:rsidRPr="5EE5C11A">
        <w:rPr>
          <w:color w:val="000000"/>
        </w:rPr>
        <w:t>The Department of Energy is committed to pushing the frontiers of science and engineering</w:t>
      </w:r>
      <w:r w:rsidRPr="00D93AB3">
        <w:rPr>
          <w:color w:val="000000" w:themeColor="text1"/>
        </w:rPr>
        <w:t>;</w:t>
      </w:r>
      <w:r w:rsidRPr="5EE5C11A">
        <w:rPr>
          <w:color w:val="000000"/>
        </w:rPr>
        <w:t xml:space="preserve"> catalyzing </w:t>
      </w:r>
      <w:r w:rsidR="00945BC6">
        <w:rPr>
          <w:color w:val="000000"/>
        </w:rPr>
        <w:t>quality</w:t>
      </w:r>
      <w:r w:rsidR="00CB799C">
        <w:rPr>
          <w:color w:val="000000"/>
        </w:rPr>
        <w:t xml:space="preserve"> </w:t>
      </w:r>
      <w:r w:rsidRPr="5EE5C11A">
        <w:rPr>
          <w:color w:val="000000"/>
        </w:rPr>
        <w:t>clean energy jobs through research, development, demonstration, and deployment (RDD&amp;D)</w:t>
      </w:r>
      <w:r w:rsidRPr="00D93AB3">
        <w:rPr>
          <w:color w:val="000000" w:themeColor="text1"/>
        </w:rPr>
        <w:t>;</w:t>
      </w:r>
      <w:r w:rsidRPr="5EE5C11A">
        <w:rPr>
          <w:color w:val="000000"/>
        </w:rPr>
        <w:t xml:space="preserve"> and ensuring environmental justice and inclusion of underserved communities. </w:t>
      </w:r>
    </w:p>
    <w:p w14:paraId="2B39C436" w14:textId="77777777" w:rsidR="00C00F47" w:rsidRPr="0050639F" w:rsidRDefault="00C00F47" w:rsidP="00C00F47">
      <w:pPr>
        <w:ind w:left="1440"/>
      </w:pPr>
    </w:p>
    <w:p w14:paraId="206865D6" w14:textId="71D8513B" w:rsidR="004D5EC4" w:rsidRDefault="00C00F47" w:rsidP="00C00F47">
      <w:pPr>
        <w:ind w:left="1440"/>
      </w:pPr>
      <w:r>
        <w:t xml:space="preserve">Solar and wind energy technologies are essential to achieving a 100% clean electricity system by 2035 and a net-zero energy system by 2050. According to </w:t>
      </w:r>
      <w:r>
        <w:lastRenderedPageBreak/>
        <w:t>the Solar Futures Study, solar power will need to grow from 3% of the U.S. electricity supply in 2020 to 40% by 2035 and 45% by 2050.</w:t>
      </w:r>
      <w:r w:rsidR="00533FE1">
        <w:rPr>
          <w:rStyle w:val="FootnoteReference"/>
        </w:rPr>
        <w:footnoteReference w:id="10"/>
      </w:r>
      <w:r>
        <w:t xml:space="preserve"> This will require the U.S. to install 30 gigawatts (</w:t>
      </w:r>
      <w:proofErr w:type="spellStart"/>
      <w:r>
        <w:t>GW</w:t>
      </w:r>
      <w:r w:rsidRPr="5EE5C11A">
        <w:rPr>
          <w:vertAlign w:val="subscript"/>
        </w:rPr>
        <w:t>ac</w:t>
      </w:r>
      <w:proofErr w:type="spellEnd"/>
      <w:r>
        <w:t xml:space="preserve">) of solar capacity each year between now and 2025 and ramp up to 60 </w:t>
      </w:r>
      <w:proofErr w:type="spellStart"/>
      <w:r>
        <w:t>GW</w:t>
      </w:r>
      <w:r w:rsidRPr="5EE5C11A">
        <w:rPr>
          <w:vertAlign w:val="subscript"/>
        </w:rPr>
        <w:t>ac</w:t>
      </w:r>
      <w:proofErr w:type="spellEnd"/>
      <w:r>
        <w:t xml:space="preserve"> per year from 2025-2030. </w:t>
      </w:r>
      <w:r w:rsidR="003944C5">
        <w:t>A s</w:t>
      </w:r>
      <w:r>
        <w:t xml:space="preserve">imilar amount of electricity will </w:t>
      </w:r>
      <w:r w:rsidR="003944C5">
        <w:t xml:space="preserve">need to </w:t>
      </w:r>
      <w:r>
        <w:t xml:space="preserve">come from wind energy in 2035 and 2050. </w:t>
      </w:r>
      <w:r w:rsidR="00751E01">
        <w:t>Accelerated</w:t>
      </w:r>
      <w:r>
        <w:t xml:space="preserve"> wind deployment is also expected between now and 2035. It is worth noting that the Solar Futures Study investigated a 95% decarbonized grid by 2035, so the solar and wind values presented here will need to be even higher to achieve the Biden Administration’s goal of a fully decarbonized electric grid by 2035. With supportive policies, electrification, and aggressive cost reductions, solar could provide 1 terawatt (</w:t>
      </w:r>
      <w:proofErr w:type="spellStart"/>
      <w:r>
        <w:t>TW</w:t>
      </w:r>
      <w:r w:rsidRPr="5EE5C11A">
        <w:rPr>
          <w:vertAlign w:val="subscript"/>
        </w:rPr>
        <w:t>ac</w:t>
      </w:r>
      <w:proofErr w:type="spellEnd"/>
      <w:r>
        <w:t xml:space="preserve">) of capacity to the grid by 2035 and 1.6 </w:t>
      </w:r>
      <w:proofErr w:type="spellStart"/>
      <w:r>
        <w:t>TW</w:t>
      </w:r>
      <w:r w:rsidRPr="5EE5C11A">
        <w:rPr>
          <w:vertAlign w:val="subscript"/>
        </w:rPr>
        <w:t>ac</w:t>
      </w:r>
      <w:proofErr w:type="spellEnd"/>
      <w:r>
        <w:t xml:space="preserve"> of capacity by 2050</w:t>
      </w:r>
      <w:r w:rsidR="006F044F">
        <w:t xml:space="preserve"> for a scenario </w:t>
      </w:r>
      <w:r w:rsidR="00DB5997">
        <w:t xml:space="preserve">resulting in </w:t>
      </w:r>
      <w:r w:rsidR="006F044F">
        <w:t xml:space="preserve">CO2 emission </w:t>
      </w:r>
      <w:r w:rsidR="00325538">
        <w:t xml:space="preserve">reduction </w:t>
      </w:r>
      <w:r w:rsidR="00DB5997">
        <w:t>by</w:t>
      </w:r>
      <w:r w:rsidR="006F044F">
        <w:t xml:space="preserve"> 62%</w:t>
      </w:r>
      <w:r>
        <w:t xml:space="preserve">. Preliminary modeling shows that decarbonizing the entire energy system could result in the need for as much as 3 </w:t>
      </w:r>
      <w:proofErr w:type="spellStart"/>
      <w:r>
        <w:t>TW</w:t>
      </w:r>
      <w:r w:rsidRPr="5EE5C11A">
        <w:rPr>
          <w:vertAlign w:val="subscript"/>
        </w:rPr>
        <w:t>ac</w:t>
      </w:r>
      <w:proofErr w:type="spellEnd"/>
      <w:r>
        <w:t xml:space="preserve"> of solar capacity due to increased electrification across the energy system.</w:t>
      </w:r>
    </w:p>
    <w:p w14:paraId="6017741E" w14:textId="77777777" w:rsidR="004D5EC4" w:rsidRDefault="004D5EC4" w:rsidP="004D5EC4">
      <w:pPr>
        <w:ind w:left="1440"/>
      </w:pPr>
      <w:r>
        <w:t xml:space="preserve"> </w:t>
      </w:r>
    </w:p>
    <w:p w14:paraId="3750EF52" w14:textId="3373B76F" w:rsidR="004D5EC4" w:rsidRPr="00491406" w:rsidRDefault="004D5EC4" w:rsidP="00746CAF">
      <w:pPr>
        <w:ind w:left="720"/>
        <w:jc w:val="center"/>
      </w:pPr>
      <w:r w:rsidRPr="00491406">
        <w:rPr>
          <w:noProof/>
        </w:rPr>
        <w:drawing>
          <wp:inline distT="0" distB="0" distL="0" distR="0" wp14:anchorId="2D213F8D" wp14:editId="10858830">
            <wp:extent cx="5673423" cy="3054314"/>
            <wp:effectExtent l="0" t="0" r="3810" b="0"/>
            <wp:docPr id="387506036" name="picture"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733585" cy="3086702"/>
                    </a:xfrm>
                    <a:prstGeom prst="rect">
                      <a:avLst/>
                    </a:prstGeom>
                  </pic:spPr>
                </pic:pic>
              </a:graphicData>
            </a:graphic>
          </wp:inline>
        </w:drawing>
      </w:r>
    </w:p>
    <w:p w14:paraId="36F9EDB6" w14:textId="77777777" w:rsidR="004D5EC4" w:rsidRPr="00E630F9" w:rsidRDefault="004D5EC4" w:rsidP="004D5EC4">
      <w:pPr>
        <w:ind w:left="1440"/>
        <w:rPr>
          <w:i/>
          <w:iCs/>
          <w:sz w:val="20"/>
          <w:szCs w:val="16"/>
        </w:rPr>
      </w:pPr>
      <w:r w:rsidRPr="00E630F9">
        <w:rPr>
          <w:i/>
          <w:iCs/>
          <w:sz w:val="20"/>
          <w:szCs w:val="16"/>
        </w:rPr>
        <w:t xml:space="preserve">Figure </w:t>
      </w:r>
      <w:r w:rsidRPr="00E630F9">
        <w:rPr>
          <w:i/>
          <w:iCs/>
          <w:sz w:val="20"/>
          <w:szCs w:val="16"/>
        </w:rPr>
        <w:fldChar w:fldCharType="begin"/>
      </w:r>
      <w:r w:rsidRPr="00E630F9">
        <w:rPr>
          <w:i/>
          <w:iCs/>
          <w:sz w:val="20"/>
          <w:szCs w:val="16"/>
        </w:rPr>
        <w:instrText>SEQ Figure \* ARABIC</w:instrText>
      </w:r>
      <w:r w:rsidRPr="00E630F9">
        <w:rPr>
          <w:i/>
          <w:iCs/>
          <w:sz w:val="20"/>
          <w:szCs w:val="16"/>
        </w:rPr>
        <w:fldChar w:fldCharType="separate"/>
      </w:r>
      <w:r>
        <w:rPr>
          <w:i/>
          <w:iCs/>
          <w:noProof/>
          <w:sz w:val="20"/>
          <w:szCs w:val="16"/>
        </w:rPr>
        <w:t>1</w:t>
      </w:r>
      <w:r w:rsidRPr="00E630F9">
        <w:rPr>
          <w:sz w:val="20"/>
          <w:szCs w:val="16"/>
        </w:rPr>
        <w:fldChar w:fldCharType="end"/>
      </w:r>
      <w:r w:rsidRPr="00E630F9">
        <w:rPr>
          <w:i/>
          <w:iCs/>
          <w:sz w:val="20"/>
          <w:szCs w:val="16"/>
        </w:rPr>
        <w:t xml:space="preserve">: Solar power grows from 3% of the electricity mix </w:t>
      </w:r>
      <w:r>
        <w:rPr>
          <w:i/>
          <w:iCs/>
          <w:sz w:val="20"/>
          <w:szCs w:val="16"/>
        </w:rPr>
        <w:t>in 2020</w:t>
      </w:r>
      <w:r w:rsidRPr="00E630F9">
        <w:rPr>
          <w:i/>
          <w:iCs/>
          <w:sz w:val="20"/>
          <w:szCs w:val="16"/>
        </w:rPr>
        <w:t xml:space="preserve"> to 45% in 2050, serving more building, industry and transportation end uses in the decarbonization + electrification scenario. SOURCE: NREL/DOE Solar Futures Study</w:t>
      </w:r>
    </w:p>
    <w:p w14:paraId="569C21E7" w14:textId="77777777" w:rsidR="004D5EC4" w:rsidRDefault="004D5EC4" w:rsidP="004D5EC4">
      <w:pPr>
        <w:ind w:left="1440"/>
      </w:pPr>
    </w:p>
    <w:p w14:paraId="5303A9F9" w14:textId="54BCEE2F" w:rsidR="00C00F47" w:rsidRDefault="00C00F47" w:rsidP="00C00F47">
      <w:pPr>
        <w:ind w:left="1440"/>
      </w:pPr>
      <w:r w:rsidRPr="00E630F9">
        <w:t>Achieving this transition requires that the industry achieve SETO’s 2030 cost targets,</w:t>
      </w:r>
      <w:r>
        <w:rPr>
          <w:rStyle w:val="FootnoteReference"/>
        </w:rPr>
        <w:footnoteReference w:id="11"/>
      </w:r>
      <w:r w:rsidRPr="00E630F9">
        <w:t xml:space="preserve"> which would halve the cost of solar from 2020-2030. In many parts of the country, solar electricity is already the lowest-cost form of new electricity </w:t>
      </w:r>
      <w:r w:rsidRPr="00E630F9">
        <w:lastRenderedPageBreak/>
        <w:t>generation capacity, but solar electricity is not yet cost-effective everywhere. There are multiple pathways to achieve these goals, but all require sustained innovation across solar energy technologies.</w:t>
      </w:r>
    </w:p>
    <w:p w14:paraId="4E9C9477" w14:textId="77777777" w:rsidR="00C00F47" w:rsidRPr="00491406" w:rsidRDefault="00C00F47" w:rsidP="00C00F47">
      <w:pPr>
        <w:ind w:left="1440"/>
        <w:rPr>
          <w:i/>
          <w:iCs/>
        </w:rPr>
      </w:pPr>
    </w:p>
    <w:p w14:paraId="67F87F5B" w14:textId="735A99DA" w:rsidR="00C00F47" w:rsidRDefault="00C00F47" w:rsidP="00C00F47">
      <w:pPr>
        <w:ind w:left="1440"/>
      </w:pPr>
      <w:r>
        <w:t xml:space="preserve">To achieve this transition, not only must solar generation be an economically viable alternative to traditional generation sources, </w:t>
      </w:r>
      <w:proofErr w:type="gramStart"/>
      <w:r>
        <w:t>it</w:t>
      </w:r>
      <w:proofErr w:type="gramEnd"/>
      <w:r>
        <w:t xml:space="preserve"> must also be a reliable source of electricity to maintain the quality of electricity service expected by the American people. To achieve a completely carbon</w:t>
      </w:r>
      <w:r w:rsidR="00FA1E29">
        <w:t>-</w:t>
      </w:r>
      <w:r>
        <w:t xml:space="preserve">free bulk power system, renewable sources, </w:t>
      </w:r>
      <w:r w:rsidR="007014E3">
        <w:t xml:space="preserve">including </w:t>
      </w:r>
      <w:r>
        <w:t xml:space="preserve">solar and wind generation and energy storage, must be able to support the grid during power and voltage fluctuations and disturbances. The research funded by this FOA will further develop and demonstrate technologies that maintain grid reliability and provide recommendations for how these technologies can be incorporated into grid operations. Additionally, the demonstrations hosted by this FOA will provide real-world system operation data </w:t>
      </w:r>
      <w:r w:rsidR="0036197D">
        <w:t>to build</w:t>
      </w:r>
      <w:r>
        <w:t xml:space="preserve"> evidence that the bulk power grid will continue to balance electricity supply and demand in real-time, maintain quality of service standards, and remain resilient to disturbances, even at times when </w:t>
      </w:r>
      <w:proofErr w:type="gramStart"/>
      <w:r>
        <w:t>the large majority of</w:t>
      </w:r>
      <w:proofErr w:type="gramEnd"/>
      <w:r>
        <w:t xml:space="preserve"> generation is supplied by solar and wind sources.</w:t>
      </w:r>
    </w:p>
    <w:p w14:paraId="433AB600" w14:textId="77777777" w:rsidR="00C00F47" w:rsidRDefault="00C00F47" w:rsidP="00C00F47">
      <w:pPr>
        <w:ind w:left="1440"/>
      </w:pPr>
    </w:p>
    <w:p w14:paraId="3E650613" w14:textId="04DFF7A7" w:rsidR="00C00F47" w:rsidRPr="00775123" w:rsidRDefault="00C00F47" w:rsidP="00C00F47">
      <w:pPr>
        <w:ind w:left="1440"/>
        <w:rPr>
          <w:sz w:val="28"/>
          <w:szCs w:val="28"/>
        </w:rPr>
      </w:pPr>
      <w:r w:rsidRPr="00E630F9">
        <w:t xml:space="preserve">Decarbonization of the grid will not realize its full potential unless the resulting benefits are distributed equitably across all communities regardless of geography, demographics, and income level. Low-cost solar energy can help relieve energy burdens and provide clean, local electricity that can increase community resiliency across the country. Increasing equitable access to solar </w:t>
      </w:r>
      <w:r>
        <w:t xml:space="preserve">energy </w:t>
      </w:r>
      <w:r w:rsidRPr="00E630F9">
        <w:t>includes driving down the “soft” costs of solar</w:t>
      </w:r>
      <w:r>
        <w:t xml:space="preserve"> energy</w:t>
      </w:r>
      <w:r w:rsidRPr="00E630F9">
        <w:t xml:space="preserve">, as well as developing business models like community solar that are designed to engage these communities that are less likely to adopt solar </w:t>
      </w:r>
      <w:r>
        <w:t>energy</w:t>
      </w:r>
      <w:r w:rsidRPr="00E630F9">
        <w:t>.</w:t>
      </w:r>
      <w:r>
        <w:t xml:space="preserve"> </w:t>
      </w:r>
      <w:r w:rsidRPr="5EE5C11A">
        <w:rPr>
          <w:rFonts w:ascii="Calibri" w:hAnsi="Calibri"/>
        </w:rPr>
        <w:t>Solar and wind generation are expected to greatly increase their role in energy production over the next decade, as access to renewable energy expands to more communities</w:t>
      </w:r>
      <w:r w:rsidR="004249CD">
        <w:rPr>
          <w:rFonts w:ascii="Calibri" w:hAnsi="Calibri"/>
        </w:rPr>
        <w:t xml:space="preserve"> and creating good-paying jobs</w:t>
      </w:r>
      <w:r w:rsidRPr="5EE5C11A">
        <w:rPr>
          <w:rFonts w:ascii="Calibri" w:hAnsi="Calibri"/>
        </w:rPr>
        <w:t xml:space="preserve">.  These increases, along with the increased adoption of energy storage systems, will require a more advanced power system. </w:t>
      </w:r>
    </w:p>
    <w:p w14:paraId="44A6EC35" w14:textId="77777777" w:rsidR="00C00F47" w:rsidRDefault="00C00F47" w:rsidP="00C00F47">
      <w:pPr>
        <w:ind w:left="1080"/>
      </w:pPr>
    </w:p>
    <w:p w14:paraId="0439BB77" w14:textId="4003CCDE" w:rsidR="00EC6CAB" w:rsidRPr="0050639F" w:rsidRDefault="14F44844" w:rsidP="00C00F47">
      <w:pPr>
        <w:ind w:left="1440"/>
      </w:pPr>
      <w:r>
        <w:t xml:space="preserve">The research, </w:t>
      </w:r>
      <w:proofErr w:type="gramStart"/>
      <w:r>
        <w:t>development</w:t>
      </w:r>
      <w:proofErr w:type="gramEnd"/>
      <w:r>
        <w:t xml:space="preserve"> and demonstration (RD&amp;D) activities to be funded under this FOA will support the government-wide approach to climate change by driving the innovation that can lead to an increase in the deployment of clean energy technologies. The projects funded by this FOA will demonstrate that renewable energy sources can support the reliable operation of a decarbonized grid. These projects will lead to the development of new technologies and strategic recommendations to bulk power system planners and operators on best practices to incorporate these technologies to ensure the safe and reliable </w:t>
      </w:r>
      <w:r>
        <w:lastRenderedPageBreak/>
        <w:t>interaction between solar and wind resources and the bulk power system as it transitions to these cleaner electricity sources</w:t>
      </w:r>
      <w:r w:rsidR="7A321424">
        <w:t>.</w:t>
      </w:r>
      <w:r w:rsidR="58A8EC79">
        <w:t xml:space="preserve"> </w:t>
      </w:r>
    </w:p>
    <w:p w14:paraId="64D1D674" w14:textId="77777777" w:rsidR="00EC6CAB" w:rsidRPr="0050639F" w:rsidRDefault="00EC6CAB" w:rsidP="00FC3AF0">
      <w:pPr>
        <w:ind w:left="1440"/>
      </w:pPr>
    </w:p>
    <w:p w14:paraId="0FA2F9F6" w14:textId="77777777" w:rsidR="00D07031" w:rsidRDefault="004E672B" w:rsidP="00D07031">
      <w:pPr>
        <w:pStyle w:val="FOAHeading3"/>
        <w:ind w:left="1440"/>
        <w:outlineLvl w:val="2"/>
      </w:pPr>
      <w:bookmarkStart w:id="17" w:name="_Toc109921643"/>
      <w:r>
        <w:t>Technology Space and Strategic Goals</w:t>
      </w:r>
      <w:bookmarkEnd w:id="17"/>
    </w:p>
    <w:p w14:paraId="6ADBA0FB" w14:textId="5EFA43C7" w:rsidR="00C00F47" w:rsidRDefault="00C00F47" w:rsidP="00C00F47">
      <w:pPr>
        <w:ind w:left="1440"/>
      </w:pPr>
      <w:r>
        <w:t xml:space="preserve">As solar and wind energy systems become a larger proportion of nation’s electricity supply, it is DOE’s goal to ensure these technologies provide a reliable source of electricity. This funding opportunity will support </w:t>
      </w:r>
      <w:r w:rsidR="00515772">
        <w:t xml:space="preserve">EERE’s </w:t>
      </w:r>
      <w:r>
        <w:t xml:space="preserve">near-term goal of demonstrating the reliable operation of a power system that has at up to 100% of its power contribution coming from solar, wind, and battery storage resources. </w:t>
      </w:r>
      <w:r w:rsidR="008706AD">
        <w:t>T</w:t>
      </w:r>
      <w:r>
        <w:t xml:space="preserve">his funding opportunity will support the development of </w:t>
      </w:r>
      <w:r w:rsidR="008706AD">
        <w:t>control</w:t>
      </w:r>
      <w:r w:rsidR="0000250C">
        <w:t xml:space="preserve"> systems, strategies, and tools</w:t>
      </w:r>
      <w:r>
        <w:t xml:space="preserve"> to ensure the grid’s reliable operation</w:t>
      </w:r>
      <w:r w:rsidR="0000250C">
        <w:t xml:space="preserve"> when supplied primarily by these inverter-based resources (IBRs)</w:t>
      </w:r>
      <w:r>
        <w:t xml:space="preserve">. </w:t>
      </w:r>
      <w:r w:rsidR="0000250C">
        <w:t xml:space="preserve">These controls will be deployed at solar and wind plants and the tools and strategies developed by this research will be utilized by </w:t>
      </w:r>
      <w:r>
        <w:t>system planners and operators in various regions across the country who develop control and protection strategies, continually monitor the grid</w:t>
      </w:r>
      <w:r w:rsidR="0000250C">
        <w:t>,</w:t>
      </w:r>
      <w:r>
        <w:t xml:space="preserve"> and dispatch resources and control actions as needed.</w:t>
      </w:r>
    </w:p>
    <w:p w14:paraId="06BBB094" w14:textId="77777777" w:rsidR="00C00F47" w:rsidRDefault="00C00F47" w:rsidP="00C00F47">
      <w:pPr>
        <w:ind w:left="1440"/>
      </w:pPr>
    </w:p>
    <w:p w14:paraId="6971C6C0" w14:textId="7459796D" w:rsidR="00C00F47" w:rsidRPr="00C2515F" w:rsidRDefault="00C00F47" w:rsidP="00C00F47">
      <w:pPr>
        <w:ind w:left="1440"/>
      </w:pPr>
      <w:r>
        <w:t xml:space="preserve">In this context, reliability refers to the ability of the grid to supply all demand for electricity, which largely involves maintaining the voltage and frequency stability of the grid. </w:t>
      </w:r>
      <w:r w:rsidR="003212DC">
        <w:t xml:space="preserve">Grid </w:t>
      </w:r>
      <w:r w:rsidR="003212DC" w:rsidRPr="004B46CA">
        <w:t>services</w:t>
      </w:r>
      <w:r w:rsidR="003212DC">
        <w:t xml:space="preserve">, which are also called ancillary services, are some of the tools employed to maintain the reliability of the system. </w:t>
      </w:r>
      <w:r>
        <w:t>These services may be provided by generators intentionally reserving some of their generation capacity to respond when needed by the system, such as in response to a sudden loss of other generation, increase in load, or other cause for frequency deviation. Alternatively, non-generating resources such as synchronous condensers or grid</w:t>
      </w:r>
      <w:r w:rsidR="00EF0051">
        <w:t>-</w:t>
      </w:r>
      <w:r>
        <w:t xml:space="preserve">connected power electronic devices may supply other grid services such as supporting voltage levels. These services may be established contractually between transmission and generation operators or provided by independent operators responding to an electricity market. Grid services may be either automated or dispatched by a grid operator, depending on the application. Section </w:t>
      </w:r>
      <w:proofErr w:type="spellStart"/>
      <w:r>
        <w:t>B.i</w:t>
      </w:r>
      <w:proofErr w:type="spellEnd"/>
      <w:r>
        <w:t xml:space="preserve"> provides more details on the range of grid services and applications considered in this FOA.</w:t>
      </w:r>
    </w:p>
    <w:p w14:paraId="4CE29B4D" w14:textId="77777777" w:rsidR="00C00F47" w:rsidRDefault="00C00F47" w:rsidP="00C00F47">
      <w:pPr>
        <w:ind w:left="1440"/>
      </w:pPr>
    </w:p>
    <w:p w14:paraId="2C6CB3DD" w14:textId="40BE5508" w:rsidR="00C00F47" w:rsidRDefault="00C00F47" w:rsidP="00C00F47">
      <w:pPr>
        <w:ind w:left="1440"/>
      </w:pPr>
      <w:r>
        <w:t xml:space="preserve">Grid services have traditionally been supplied by synchronous machines, such as in gas turbine or </w:t>
      </w:r>
      <w:r w:rsidR="00515772">
        <w:t>hydro</w:t>
      </w:r>
      <w:r>
        <w:t>power plants. Because new wind and solar generation are</w:t>
      </w:r>
      <w:r w:rsidR="006304C9">
        <w:t xml:space="preserve"> </w:t>
      </w:r>
      <w:r w:rsidR="00945675">
        <w:t>IBRs</w:t>
      </w:r>
      <w:r w:rsidR="00E45641">
        <w:t xml:space="preserve">, </w:t>
      </w:r>
      <w:r>
        <w:t>interfaced with the grid through a power electronic inverter</w:t>
      </w:r>
      <w:r w:rsidR="00E45641">
        <w:t>,</w:t>
      </w:r>
      <w:r w:rsidR="007D750E">
        <w:t xml:space="preserve"> </w:t>
      </w:r>
      <w:r>
        <w:t xml:space="preserve">they have different characteristics and dynamics than synchronous machines. As the transmission systems begins to operate with fewer synchronous machines and more IBRs, these critical services that have been offset from traditional generation must now be provided by the IBR plants. Much work has already been done to develop the controls and methods for inverters to provide the needed grid services. Projects responding to Topic Area 1 of this FOA will further </w:t>
      </w:r>
      <w:r>
        <w:lastRenderedPageBreak/>
        <w:t xml:space="preserve">support this development through long-duration demonstrations at existing large-scale wind and solar generation facilities connected to bulk power systems with high penetrations of IBR to show the capability </w:t>
      </w:r>
      <w:r w:rsidDel="00A628AF">
        <w:t>of</w:t>
      </w:r>
      <w:r>
        <w:t xml:space="preserve"> inverter-based resources to provide grid services at scale.</w:t>
      </w:r>
    </w:p>
    <w:p w14:paraId="613CE56C" w14:textId="77777777" w:rsidR="00C00F47" w:rsidRDefault="00C00F47" w:rsidP="00C00F47">
      <w:pPr>
        <w:ind w:left="1440"/>
      </w:pPr>
    </w:p>
    <w:p w14:paraId="783A4CA7" w14:textId="77777777" w:rsidR="00C00F47" w:rsidRDefault="00C00F47" w:rsidP="00C00F47">
      <w:pPr>
        <w:ind w:left="1440"/>
      </w:pPr>
      <w:r w:rsidRPr="00855E3C">
        <w:t xml:space="preserve">The transmission protection system </w:t>
      </w:r>
      <w:r>
        <w:t>is also employed by grid planners and operators to support grid reliability. This system automatically activates switching devices to separate healthy sections of the transmission grid from those experiencing disturbances. Disturbances may be electrical faults caused by the environment (trees, lightning, wildfires, animals, etc.), unstable power oscillations or other unsafe operating conditions. This system consists of measurement devices, control devices programmed to identify disturbances, and switching devices to reconfigure the grid and interrupt dangerous fault currents and unstable operating conditions. Communication networks are also employed in these protection systems to alert operators and perform coordinated switching operations across hundreds of miles.</w:t>
      </w:r>
    </w:p>
    <w:p w14:paraId="6F9B9C80" w14:textId="77777777" w:rsidR="00C00F47" w:rsidRDefault="00C00F47" w:rsidP="00C00F47">
      <w:pPr>
        <w:ind w:left="1440"/>
      </w:pPr>
    </w:p>
    <w:p w14:paraId="3FCFC1D4" w14:textId="27DE5764" w:rsidR="00C00F47" w:rsidRDefault="00C00F47" w:rsidP="00C00F47">
      <w:pPr>
        <w:ind w:left="1440"/>
      </w:pPr>
      <w:r>
        <w:t>The systems used to identify faults and other disturbances on the grid are largely based on the physics of the transmission system and the various sources and loads connected to it. These protection systems must continue to operate reliably as grid generation transitions away from synchronous machine</w:t>
      </w:r>
      <w:r w:rsidR="00C80BA8">
        <w:t>-</w:t>
      </w:r>
      <w:r>
        <w:t>based generation towards IBRs. Projects responding to Topic Area 2 of this FOA will support this effort through improved large-scale studies of protection systems and IBR</w:t>
      </w:r>
      <w:r w:rsidR="001101A0">
        <w:t>s</w:t>
      </w:r>
      <w:r>
        <w:t xml:space="preserve"> responding to various fault scenarios and the development of technologies to ensure system reliability at any level of IBR generation.</w:t>
      </w:r>
    </w:p>
    <w:p w14:paraId="204BA813" w14:textId="77777777" w:rsidR="00C00F47" w:rsidRDefault="00C00F47" w:rsidP="00C00F47">
      <w:pPr>
        <w:ind w:left="1080"/>
      </w:pPr>
    </w:p>
    <w:p w14:paraId="29A736ED" w14:textId="2E6C52BA" w:rsidR="00C00F47" w:rsidRDefault="00C00F47" w:rsidP="007F5044">
      <w:pPr>
        <w:ind w:left="1440"/>
      </w:pPr>
      <w:r>
        <w:t xml:space="preserve">Applicants will find descriptions of past funding efforts that </w:t>
      </w:r>
      <w:r w:rsidR="00C96403">
        <w:t xml:space="preserve">EERE </w:t>
      </w:r>
      <w:r>
        <w:t>has made in each of these topic areas in Section B</w:t>
      </w:r>
      <w:r w:rsidR="007C29DE">
        <w:t>.</w:t>
      </w:r>
    </w:p>
    <w:p w14:paraId="24A116E4" w14:textId="77777777" w:rsidR="001101A0" w:rsidRPr="001E501E" w:rsidRDefault="001101A0" w:rsidP="007F5044">
      <w:pPr>
        <w:ind w:left="1440"/>
      </w:pPr>
    </w:p>
    <w:p w14:paraId="595C8A37" w14:textId="6B962ACB" w:rsidR="00FF4EAA" w:rsidRPr="00FF4EAA" w:rsidRDefault="00FF4EAA" w:rsidP="002C2703">
      <w:pPr>
        <w:pStyle w:val="FOAHeading3"/>
        <w:ind w:left="1440"/>
        <w:outlineLvl w:val="2"/>
        <w:rPr>
          <w:rFonts w:ascii="TT13Et00" w:hAnsi="TT13Et00"/>
        </w:rPr>
      </w:pPr>
      <w:bookmarkStart w:id="18" w:name="_Toc102367623"/>
      <w:bookmarkStart w:id="19" w:name="_Toc109921644"/>
      <w:bookmarkStart w:id="20" w:name="_Toc103174778"/>
      <w:bookmarkStart w:id="21" w:name="_Toc98511721"/>
      <w:r w:rsidRPr="00FF4EAA">
        <w:t xml:space="preserve">Community Benefits Plan: </w:t>
      </w:r>
      <w:r w:rsidRPr="00FF4EAA" w:rsidDel="007C0350">
        <w:t>Job</w:t>
      </w:r>
      <w:r w:rsidRPr="00FF4EAA">
        <w:t xml:space="preserve"> Quality and </w:t>
      </w:r>
      <w:bookmarkEnd w:id="18"/>
      <w:r w:rsidRPr="00FF4EAA" w:rsidDel="007D40CD">
        <w:t>Equity</w:t>
      </w:r>
      <w:bookmarkEnd w:id="19"/>
      <w:r w:rsidRPr="002C2703" w:rsidDel="007D40CD">
        <w:rPr>
          <w:bCs/>
        </w:rPr>
        <w:t xml:space="preserve"> </w:t>
      </w:r>
      <w:bookmarkEnd w:id="20"/>
    </w:p>
    <w:p w14:paraId="083C7743" w14:textId="12CC8D1D" w:rsidR="00FF4EAA" w:rsidRPr="00FF4EAA" w:rsidRDefault="00FF4EAA" w:rsidP="00FF4EAA">
      <w:pPr>
        <w:ind w:left="1440"/>
      </w:pPr>
      <w:r w:rsidRPr="00FF4EAA">
        <w:t>To achiev</w:t>
      </w:r>
      <w:r w:rsidRPr="00FF4EAA">
        <w:rPr>
          <w:color w:val="000000"/>
          <w:szCs w:val="24"/>
        </w:rPr>
        <w:t>e</w:t>
      </w:r>
      <w:r w:rsidRPr="00FF4EAA">
        <w:t xml:space="preserve"> the greatest impact for all Americans with this once-in-a-generation investment in infrastructure, it is critical that the BIL-funded projects not only contribute to the country’s energy technology and climate goals, but also (1) support community and worker engagement; (2) invest in America’s workforce; </w:t>
      </w:r>
      <w:r w:rsidR="00FA148D">
        <w:t xml:space="preserve">and </w:t>
      </w:r>
      <w:r w:rsidRPr="00FF4EAA">
        <w:t xml:space="preserve">(3) </w:t>
      </w:r>
      <w:r w:rsidR="00057614">
        <w:t>further</w:t>
      </w:r>
      <w:r w:rsidRPr="00FF4EAA">
        <w:t xml:space="preserve"> DOE’s equity, environmental and energy justice priorities; and (4) advance DOE’s commitment to the Justice40 Initiative</w:t>
      </w:r>
      <w:r>
        <w:t>.</w:t>
      </w:r>
      <w:r w:rsidRPr="00FF4EAA">
        <w:rPr>
          <w:sz w:val="22"/>
          <w:szCs w:val="22"/>
          <w:vertAlign w:val="superscript"/>
        </w:rPr>
        <w:footnoteReference w:id="12"/>
      </w:r>
      <w:r w:rsidRPr="00FF4EAA">
        <w:rPr>
          <w:sz w:val="22"/>
          <w:szCs w:val="22"/>
        </w:rPr>
        <w:t xml:space="preserve"> </w:t>
      </w:r>
      <w:r w:rsidRPr="00FF4EAA">
        <w:t xml:space="preserve"> </w:t>
      </w:r>
    </w:p>
    <w:p w14:paraId="12B7F931" w14:textId="77777777" w:rsidR="00FF4EAA" w:rsidRPr="00FF4EAA" w:rsidRDefault="00FF4EAA" w:rsidP="00FF4EAA">
      <w:pPr>
        <w:ind w:left="1440"/>
      </w:pPr>
    </w:p>
    <w:p w14:paraId="6AC90980" w14:textId="433683ED" w:rsidR="00133A43" w:rsidRDefault="00FF4EAA" w:rsidP="00133A43">
      <w:pPr>
        <w:ind w:left="1440"/>
      </w:pPr>
      <w:r w:rsidRPr="00FF4EAA">
        <w:t xml:space="preserve">To ensure these critical priorities are met, applications must include a Community Benefits Plan that illustrates how the proposed project will </w:t>
      </w:r>
      <w:r w:rsidRPr="00FF4EAA">
        <w:lastRenderedPageBreak/>
        <w:t xml:space="preserve">incorporate the four priorities stated above. </w:t>
      </w:r>
      <w:r w:rsidR="00133A43" w:rsidRPr="00133A43">
        <w:t xml:space="preserve">Within the Community Benefits Plan, the applicant must provide detail on how to ensure accountability, such as through the negotiation of a community benefits agreement (CBA) or other such agreement. These priorities are explained in more detail below. See Section </w:t>
      </w:r>
      <w:proofErr w:type="spellStart"/>
      <w:r w:rsidR="00133A43" w:rsidRPr="00133A43">
        <w:t>IV.D.xvi</w:t>
      </w:r>
      <w:proofErr w:type="spellEnd"/>
      <w:r w:rsidR="00133A43" w:rsidRPr="00133A43">
        <w:t xml:space="preserve"> for the Community Benefits Plan content requirements.</w:t>
      </w:r>
      <w:r w:rsidR="00133A43">
        <w:t xml:space="preserve"> </w:t>
      </w:r>
    </w:p>
    <w:p w14:paraId="3B48476D" w14:textId="3D7E550F" w:rsidR="00FF4EAA" w:rsidRPr="00FF4EAA" w:rsidRDefault="00FF4EAA" w:rsidP="00746CAF">
      <w:pPr>
        <w:ind w:left="1800"/>
      </w:pPr>
    </w:p>
    <w:p w14:paraId="5EE8F0B2" w14:textId="77777777" w:rsidR="00FF4EAA" w:rsidRPr="00FF4EAA" w:rsidRDefault="00FF4EAA" w:rsidP="00F836F4">
      <w:pPr>
        <w:keepNext/>
        <w:numPr>
          <w:ilvl w:val="1"/>
          <w:numId w:val="40"/>
        </w:numPr>
        <w:ind w:left="1800"/>
        <w:contextualSpacing/>
        <w:outlineLvl w:val="3"/>
        <w:rPr>
          <w:rFonts w:ascii="TT13Et00" w:hAnsi="TT13Et00"/>
          <w:b/>
          <w:sz w:val="28"/>
          <w:szCs w:val="28"/>
        </w:rPr>
      </w:pPr>
      <w:r w:rsidRPr="00FF4EAA">
        <w:rPr>
          <w:rFonts w:ascii="TT13Et00" w:hAnsi="TT13Et00"/>
          <w:b/>
          <w:sz w:val="28"/>
          <w:szCs w:val="28"/>
        </w:rPr>
        <w:t>Community and Labor Engagement</w:t>
      </w:r>
    </w:p>
    <w:p w14:paraId="2966BD2C" w14:textId="1BB67EED" w:rsidR="00FF4EAA" w:rsidRPr="00FF4EAA" w:rsidRDefault="00FF4EAA" w:rsidP="00746CAF">
      <w:pPr>
        <w:ind w:left="1800"/>
      </w:pPr>
      <w:r w:rsidRPr="00FF4EAA">
        <w:t xml:space="preserve">The project planning should include engagement with an inclusive collection of local stakeholders </w:t>
      </w:r>
      <w:r w:rsidRPr="00FF4EAA">
        <w:rPr>
          <w:rFonts w:eastAsia="Segoe UI" w:cs="Segoe UI"/>
        </w:rPr>
        <w:t xml:space="preserve">such as residents and businesses, entities that carry out workforce development programs, labor unions and worker organizations, local government, and community-based organizations that support or work with disadvantaged communities. </w:t>
      </w:r>
      <w:r w:rsidRPr="00FF4EAA">
        <w:t xml:space="preserve">Considering the importance of the four priorities listed above and the financial investment in the projects to be funded under this FOA, stakeholder engagement is a relatively small cost that delivers high value. Proactive and meaningful engagement with stakeholders ensures stakeholders’ perspectives can be incorporated into the project plan, allows for transparency, and helps reduce or eliminate certain risks associated with the project. </w:t>
      </w:r>
    </w:p>
    <w:p w14:paraId="65741906" w14:textId="77777777" w:rsidR="00FF4EAA" w:rsidRPr="00FF4EAA" w:rsidRDefault="00FF4EAA" w:rsidP="00746CAF">
      <w:pPr>
        <w:ind w:left="1800"/>
      </w:pPr>
    </w:p>
    <w:p w14:paraId="31F0E56E" w14:textId="77777777" w:rsidR="00FF4EAA" w:rsidRPr="00FF4EAA" w:rsidRDefault="00FF4EAA" w:rsidP="00F836F4">
      <w:pPr>
        <w:keepNext/>
        <w:numPr>
          <w:ilvl w:val="1"/>
          <w:numId w:val="40"/>
        </w:numPr>
        <w:ind w:left="1800"/>
        <w:contextualSpacing/>
        <w:outlineLvl w:val="3"/>
        <w:rPr>
          <w:rFonts w:ascii="TT13Et00" w:hAnsi="TT13Et00"/>
          <w:b/>
          <w:sz w:val="28"/>
          <w:szCs w:val="28"/>
        </w:rPr>
      </w:pPr>
      <w:r w:rsidRPr="00FF4EAA">
        <w:rPr>
          <w:rFonts w:ascii="Calibri" w:hAnsi="Calibri"/>
          <w:b/>
          <w:sz w:val="28"/>
          <w:szCs w:val="28"/>
        </w:rPr>
        <w:t>Quality Jobs</w:t>
      </w:r>
    </w:p>
    <w:p w14:paraId="7BEA2CED" w14:textId="77777777" w:rsidR="00133A43" w:rsidRPr="00133A43" w:rsidRDefault="00133A43" w:rsidP="00746CAF">
      <w:pPr>
        <w:ind w:left="1800"/>
      </w:pPr>
      <w:r w:rsidRPr="00133A43">
        <w:t>In keeping with the administration’s goals</w:t>
      </w:r>
      <w:r w:rsidRPr="007330C5">
        <w:rPr>
          <w:vertAlign w:val="superscript"/>
        </w:rPr>
        <w:footnoteReference w:id="13"/>
      </w:r>
      <w:r w:rsidRPr="00133A43">
        <w:t xml:space="preserve">, and to ensure the agency’s energy projects contribute to overall economic prosperity, the DOE strongly supports investments that expand good-paying jobs, with assurances that workers will have a free and fair chance to join a union; promote worker power for marginalized workers and in hard-to-organize and changing industries; improve job quality through the adoption of strong labor standards; support responsible employers; and foster safe, healthy, and inclusive workplaces and communities free from harassment and discrimination, and support strategies that develop a skilled and inclusive local workforce to build and maintain the country’s energy infrastructure and grow domestic manufacturing.  </w:t>
      </w:r>
    </w:p>
    <w:p w14:paraId="21D82402" w14:textId="77777777" w:rsidR="00133A43" w:rsidRPr="00FF4EAA" w:rsidRDefault="00133A43" w:rsidP="00746CAF">
      <w:pPr>
        <w:ind w:left="1800"/>
      </w:pPr>
    </w:p>
    <w:p w14:paraId="125F840F" w14:textId="77777777" w:rsidR="00FF4EAA" w:rsidRPr="00FF4EAA" w:rsidRDefault="00FF4EAA" w:rsidP="00F836F4">
      <w:pPr>
        <w:keepNext/>
        <w:numPr>
          <w:ilvl w:val="1"/>
          <w:numId w:val="40"/>
        </w:numPr>
        <w:ind w:left="1800"/>
        <w:contextualSpacing/>
        <w:outlineLvl w:val="3"/>
        <w:rPr>
          <w:rFonts w:ascii="Calibri" w:hAnsi="Calibri"/>
          <w:b/>
          <w:sz w:val="28"/>
          <w:szCs w:val="28"/>
        </w:rPr>
      </w:pPr>
      <w:r w:rsidRPr="00FF4EAA">
        <w:rPr>
          <w:rFonts w:ascii="Calibri" w:hAnsi="Calibri"/>
          <w:b/>
          <w:sz w:val="28"/>
          <w:szCs w:val="28"/>
        </w:rPr>
        <w:lastRenderedPageBreak/>
        <w:t>Diversity, Equity, Inclusion, and Accessibility</w:t>
      </w:r>
    </w:p>
    <w:p w14:paraId="13DA90D6" w14:textId="5EFBC058" w:rsidR="00FF4EAA" w:rsidRPr="00FF4EAA" w:rsidRDefault="00FF4EAA" w:rsidP="00746CAF">
      <w:pPr>
        <w:ind w:left="1800"/>
      </w:pPr>
      <w:r w:rsidRPr="00FF4EAA">
        <w:rPr>
          <w:rFonts w:eastAsia="Segoe UI" w:cs="Segoe UI"/>
        </w:rPr>
        <w:t xml:space="preserve">Advancing equity, civil rights, racial justice, and equal </w:t>
      </w:r>
      <w:r w:rsidRPr="00FF4EAA" w:rsidDel="00C33FE9">
        <w:rPr>
          <w:rFonts w:eastAsia="Segoe UI" w:cs="Segoe UI"/>
        </w:rPr>
        <w:t xml:space="preserve">opportunity is </w:t>
      </w:r>
      <w:r w:rsidRPr="00FF4EAA">
        <w:rPr>
          <w:rFonts w:eastAsia="Segoe UI" w:cs="Segoe UI"/>
        </w:rPr>
        <w:t>a key priority of the Biden Administration.</w:t>
      </w:r>
      <w:r w:rsidRPr="00FF4EAA">
        <w:t xml:space="preserve"> The term “equity” means the consistent and systematic fair, just, and impartial treatment of all individuals, including individuals who belong to underserved communities that have been denied such treatment, such as Black, Latino, and Indigenous and Native American persons</w:t>
      </w:r>
      <w:r>
        <w:t>;</w:t>
      </w:r>
      <w:r w:rsidRPr="00FF4EAA">
        <w:t xml:space="preserve">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r w:rsidRPr="00FF4EAA">
        <w:rPr>
          <w:vertAlign w:val="superscript"/>
        </w:rPr>
        <w:footnoteReference w:id="14"/>
      </w:r>
      <w:r w:rsidRPr="00FF4EAA">
        <w:t xml:space="preserve"> </w:t>
      </w:r>
    </w:p>
    <w:p w14:paraId="42F30F13" w14:textId="77777777" w:rsidR="00FF4EAA" w:rsidRPr="00FF4EAA" w:rsidRDefault="00FF4EAA" w:rsidP="00746CAF">
      <w:pPr>
        <w:shd w:val="clear" w:color="auto" w:fill="FFFFFF" w:themeFill="background1"/>
        <w:ind w:left="1800"/>
      </w:pPr>
    </w:p>
    <w:p w14:paraId="019621A0" w14:textId="1D6FFBE8" w:rsidR="00FF4EAA" w:rsidRPr="00FF4EAA" w:rsidRDefault="00FF4EAA" w:rsidP="00746CAF">
      <w:pPr>
        <w:shd w:val="clear" w:color="auto" w:fill="FFFFFF" w:themeFill="background1"/>
        <w:ind w:left="1800"/>
        <w:rPr>
          <w:rFonts w:eastAsia="Segoe UI" w:cs="Segoe UI"/>
        </w:rPr>
      </w:pPr>
      <w:r w:rsidRPr="00FF4EAA">
        <w:t>As part of a whole of government approach to advancing equity, this FOA seeks to encourage the participation of underserved communities</w:t>
      </w:r>
      <w:r w:rsidRPr="00FF4EAA">
        <w:rPr>
          <w:vertAlign w:val="superscript"/>
        </w:rPr>
        <w:footnoteReference w:id="15"/>
      </w:r>
      <w:r w:rsidRPr="00FF4EAA">
        <w:t xml:space="preserve"> and underrepresented groups</w:t>
      </w:r>
      <w:r>
        <w:t xml:space="preserve"> and to </w:t>
      </w:r>
      <w:r w:rsidRPr="00FF4EAA">
        <w:rPr>
          <w:rFonts w:eastAsia="Segoe UI" w:cs="Segoe UI"/>
        </w:rPr>
        <w:t xml:space="preserve">ensure equitable access to business opportunities, </w:t>
      </w:r>
      <w:r w:rsidR="00C15E8A">
        <w:rPr>
          <w:rFonts w:eastAsia="Segoe UI" w:cs="Segoe UI"/>
        </w:rPr>
        <w:t>good-paying</w:t>
      </w:r>
      <w:r w:rsidRPr="00FF4EAA">
        <w:rPr>
          <w:rFonts w:eastAsia="Segoe UI" w:cs="Segoe UI"/>
        </w:rPr>
        <w:t xml:space="preserve"> jobs, career-track training, </w:t>
      </w:r>
      <w:r w:rsidRPr="65366BD3">
        <w:rPr>
          <w:rFonts w:eastAsia="Segoe UI" w:cs="Segoe UI"/>
        </w:rPr>
        <w:t xml:space="preserve">and </w:t>
      </w:r>
      <w:r w:rsidRPr="00FF4EAA">
        <w:rPr>
          <w:rFonts w:eastAsia="Segoe UI" w:cs="Segoe UI"/>
        </w:rPr>
        <w:t>other economic opportunities. Partnerships with community</w:t>
      </w:r>
      <w:r w:rsidRPr="65366BD3">
        <w:rPr>
          <w:rFonts w:eastAsia="Segoe UI" w:cs="Segoe UI"/>
        </w:rPr>
        <w:t>-</w:t>
      </w:r>
      <w:r w:rsidRPr="00FF4EAA">
        <w:rPr>
          <w:rFonts w:eastAsia="Segoe UI" w:cs="Segoe UI"/>
        </w:rPr>
        <w:t xml:space="preserve">based organizations, comprehensive support services to reduce barriers to opportunities, and ensuring business and employment opportunities for members of </w:t>
      </w:r>
      <w:r w:rsidR="0091714F">
        <w:rPr>
          <w:rFonts w:eastAsia="Segoe UI" w:cs="Segoe UI"/>
        </w:rPr>
        <w:t>d</w:t>
      </w:r>
      <w:r w:rsidR="00BF115F">
        <w:rPr>
          <w:rFonts w:eastAsia="Segoe UI" w:cs="Segoe UI"/>
        </w:rPr>
        <w:t>isadvantaged communities</w:t>
      </w:r>
      <w:r w:rsidRPr="00FF4EAA">
        <w:rPr>
          <w:rFonts w:eastAsia="Segoe UI" w:cs="Segoe UI"/>
        </w:rPr>
        <w:t xml:space="preserve"> are key tools. Applicants are required to describe how diversity, equity,</w:t>
      </w:r>
      <w:r w:rsidRPr="00FF4EAA" w:rsidDel="001B7C2C">
        <w:rPr>
          <w:rFonts w:eastAsia="Segoe UI" w:cs="Segoe UI"/>
        </w:rPr>
        <w:t xml:space="preserve"> </w:t>
      </w:r>
      <w:r w:rsidRPr="00FF4EAA">
        <w:rPr>
          <w:rFonts w:eastAsia="Segoe UI" w:cs="Segoe UI"/>
        </w:rPr>
        <w:t>inclusion, and accessibility</w:t>
      </w:r>
      <w:r w:rsidRPr="00FF4EAA" w:rsidDel="001B7C2C">
        <w:rPr>
          <w:rFonts w:eastAsia="Segoe UI" w:cs="Segoe UI"/>
        </w:rPr>
        <w:t xml:space="preserve"> </w:t>
      </w:r>
      <w:r w:rsidRPr="00FF4EAA">
        <w:rPr>
          <w:rFonts w:eastAsia="Segoe UI" w:cs="Segoe UI"/>
        </w:rPr>
        <w:t xml:space="preserve">objectives will be incorporated in the project. </w:t>
      </w:r>
    </w:p>
    <w:p w14:paraId="7794A2CE" w14:textId="77777777" w:rsidR="00FF4EAA" w:rsidRPr="00FF4EAA" w:rsidRDefault="00FF4EAA" w:rsidP="00746CAF">
      <w:pPr>
        <w:shd w:val="clear" w:color="auto" w:fill="FFFFFF" w:themeFill="background1"/>
        <w:ind w:left="1800"/>
      </w:pPr>
    </w:p>
    <w:p w14:paraId="1C36B512" w14:textId="77777777" w:rsidR="00FF4EAA" w:rsidRPr="00FF4EAA" w:rsidRDefault="00FF4EAA" w:rsidP="00746CAF">
      <w:pPr>
        <w:shd w:val="clear" w:color="auto" w:fill="FFFFFF" w:themeFill="background1"/>
        <w:ind w:left="1800"/>
      </w:pPr>
      <w:r w:rsidRPr="00FF4EAA">
        <w:lastRenderedPageBreak/>
        <w:t>Further, applicants are highly encouraged to include individuals from groups historically underrepresented</w:t>
      </w:r>
      <w:r w:rsidRPr="00FF4EAA">
        <w:rPr>
          <w:vertAlign w:val="superscript"/>
        </w:rPr>
        <w:footnoteReference w:id="16"/>
      </w:r>
      <w:r w:rsidRPr="00FF4EAA">
        <w:rPr>
          <w:vertAlign w:val="superscript"/>
        </w:rPr>
        <w:t>,</w:t>
      </w:r>
      <w:r w:rsidRPr="00FF4EAA">
        <w:rPr>
          <w:vertAlign w:val="superscript"/>
        </w:rPr>
        <w:footnoteReference w:id="17"/>
      </w:r>
      <w:r w:rsidRPr="00FF4EAA">
        <w:rPr>
          <w:vertAlign w:val="superscript"/>
        </w:rPr>
        <w:t xml:space="preserve"> </w:t>
      </w:r>
      <w:r w:rsidRPr="00FF4EAA">
        <w:t xml:space="preserve">in STEM on their project teams. </w:t>
      </w:r>
    </w:p>
    <w:p w14:paraId="79CD38B2" w14:textId="77777777" w:rsidR="00FF4EAA" w:rsidRPr="00FF4EAA" w:rsidRDefault="00FF4EAA" w:rsidP="00746CAF">
      <w:pPr>
        <w:shd w:val="clear" w:color="auto" w:fill="FFFFFF" w:themeFill="background1"/>
        <w:ind w:left="1800"/>
      </w:pPr>
    </w:p>
    <w:p w14:paraId="5104F79A" w14:textId="34F5B220" w:rsidR="00FF4EAA" w:rsidRPr="00FF4EAA" w:rsidRDefault="00FF4EAA" w:rsidP="00746CAF">
      <w:pPr>
        <w:shd w:val="clear" w:color="auto" w:fill="FFFFFF" w:themeFill="background1"/>
        <w:ind w:left="1800"/>
      </w:pPr>
      <w:r w:rsidRPr="001101A0">
        <w:rPr>
          <w:rFonts w:ascii="Calibri" w:hAnsi="Calibri"/>
        </w:rPr>
        <w:t>Minority Serving Institutions</w:t>
      </w:r>
      <w:r w:rsidRPr="65366BD3">
        <w:rPr>
          <w:rFonts w:ascii="Calibri" w:eastAsia="Calibri" w:hAnsi="Calibri" w:cs="Calibri"/>
        </w:rPr>
        <w:t>,</w:t>
      </w:r>
      <w:r w:rsidRPr="001101A0">
        <w:rPr>
          <w:rFonts w:ascii="Calibri" w:hAnsi="Calibri"/>
          <w:vertAlign w:val="superscript"/>
        </w:rPr>
        <w:footnoteReference w:id="18"/>
      </w:r>
      <w:r w:rsidRPr="001101A0">
        <w:rPr>
          <w:rFonts w:ascii="Calibri" w:hAnsi="Calibri"/>
        </w:rPr>
        <w:t xml:space="preserve"> Minority Business Enterprises, Minority Owned Businesses, Woman Owned Businesses, </w:t>
      </w:r>
      <w:r w:rsidRPr="001101A0">
        <w:rPr>
          <w:rFonts w:ascii="Calibri" w:eastAsiaTheme="minorHAnsi" w:hAnsi="Calibri"/>
        </w:rPr>
        <w:t xml:space="preserve">Veteran Owned Businesses, Tribal Colleges and Universities, </w:t>
      </w:r>
      <w:r w:rsidRPr="001101A0">
        <w:rPr>
          <w:rFonts w:ascii="Calibri" w:hAnsi="Calibri"/>
        </w:rPr>
        <w:t>or entities located in an underserved community that meet the eligibility requirements</w:t>
      </w:r>
      <w:r w:rsidRPr="00FF4EAA">
        <w:t xml:space="preserve"> (See Section III) are encouraged to apply as the prime applicant or participate on an application as a proposed partner to the prime applicant. The Selection Official may consider the inclusion of these types of entities as part of the selection decision (See Section </w:t>
      </w:r>
      <w:proofErr w:type="spellStart"/>
      <w:r w:rsidRPr="00FF4EAA">
        <w:t>V.E.i</w:t>
      </w:r>
      <w:proofErr w:type="spellEnd"/>
      <w:r w:rsidRPr="00FF4EAA">
        <w:t xml:space="preserve">. Program Policy Factors). </w:t>
      </w:r>
    </w:p>
    <w:p w14:paraId="469BC15C" w14:textId="77777777" w:rsidR="00FF4EAA" w:rsidRPr="00FF4EAA" w:rsidRDefault="00FF4EAA" w:rsidP="00746CAF">
      <w:pPr>
        <w:ind w:left="1800"/>
      </w:pPr>
    </w:p>
    <w:p w14:paraId="6055CE45" w14:textId="77777777" w:rsidR="00FF4EAA" w:rsidRPr="00FF4EAA" w:rsidRDefault="00FF4EAA" w:rsidP="00F836F4">
      <w:pPr>
        <w:keepNext/>
        <w:numPr>
          <w:ilvl w:val="1"/>
          <w:numId w:val="40"/>
        </w:numPr>
        <w:ind w:left="1800"/>
        <w:contextualSpacing/>
        <w:outlineLvl w:val="3"/>
        <w:rPr>
          <w:rFonts w:ascii="Calibri" w:hAnsi="Calibri"/>
          <w:b/>
          <w:sz w:val="28"/>
          <w:szCs w:val="28"/>
        </w:rPr>
      </w:pPr>
      <w:r w:rsidRPr="00FF4EAA">
        <w:rPr>
          <w:rFonts w:ascii="Calibri" w:hAnsi="Calibri"/>
          <w:b/>
          <w:sz w:val="28"/>
          <w:szCs w:val="28"/>
        </w:rPr>
        <w:t>Justice40 Initiative</w:t>
      </w:r>
    </w:p>
    <w:p w14:paraId="2EF8D18F" w14:textId="58ABC16A" w:rsidR="00C00F47" w:rsidRDefault="00FF4EAA" w:rsidP="00746CAF">
      <w:pPr>
        <w:tabs>
          <w:tab w:val="left" w:pos="90"/>
          <w:tab w:val="left" w:pos="1440"/>
        </w:tabs>
        <w:ind w:left="1800"/>
        <w:rPr>
          <w:color w:val="000000" w:themeColor="text1"/>
        </w:rPr>
      </w:pPr>
      <w:r w:rsidRPr="00FF4EAA">
        <w:t xml:space="preserve">In addition to the Federal government’s initiative to achieve greater participation from underserved communities and underrepresented groups, </w:t>
      </w:r>
      <w:r w:rsidR="006C3418">
        <w:t xml:space="preserve">this FOA supports the goal that </w:t>
      </w:r>
      <w:r w:rsidRPr="00FF4EAA">
        <w:t xml:space="preserve">40% of the overall benefits </w:t>
      </w:r>
      <w:r w:rsidR="006C3418">
        <w:t>of certain investments</w:t>
      </w:r>
      <w:r w:rsidRPr="00FF4EAA">
        <w:t xml:space="preserve"> flow to </w:t>
      </w:r>
      <w:r w:rsidR="0091714F">
        <w:t>d</w:t>
      </w:r>
      <w:r w:rsidR="00BF115F">
        <w:t>isadvantaged communities</w:t>
      </w:r>
      <w:r w:rsidRPr="00FF4EAA">
        <w:t xml:space="preserve"> to support DOE’s commitment to the </w:t>
      </w:r>
      <w:r w:rsidRPr="00FF4EAA">
        <w:rPr>
          <w:color w:val="000000" w:themeColor="text1"/>
        </w:rPr>
        <w:t>Justice40 Initiative.</w:t>
      </w:r>
      <w:r w:rsidRPr="00FF4EAA">
        <w:rPr>
          <w:rFonts w:cstheme="minorHAnsi"/>
          <w:color w:val="000000" w:themeColor="text1"/>
          <w:vertAlign w:val="superscript"/>
        </w:rPr>
        <w:footnoteReference w:id="19"/>
      </w:r>
      <w:r w:rsidRPr="00FF4EAA">
        <w:rPr>
          <w:color w:val="000000" w:themeColor="text1"/>
        </w:rPr>
        <w:t xml:space="preserve"> Benefits include (but are not </w:t>
      </w:r>
      <w:r w:rsidRPr="00FF4EAA">
        <w:rPr>
          <w:color w:val="000000" w:themeColor="text1"/>
        </w:rPr>
        <w:lastRenderedPageBreak/>
        <w:t xml:space="preserve">limited to) measurable direct or indirect investments or positive project outcomes that achieve or contribute to the following in </w:t>
      </w:r>
      <w:r w:rsidR="0091714F">
        <w:rPr>
          <w:color w:val="000000" w:themeColor="text1"/>
        </w:rPr>
        <w:t>d</w:t>
      </w:r>
      <w:r w:rsidR="00BF115F">
        <w:rPr>
          <w:color w:val="000000" w:themeColor="text1"/>
        </w:rPr>
        <w:t>isadvantaged communities</w:t>
      </w:r>
      <w:r w:rsidRPr="00FF4EAA">
        <w:rPr>
          <w:color w:val="000000" w:themeColor="text1"/>
        </w:rPr>
        <w:t xml:space="preserve">: (1) a decrease in energy burden; (2) a decrease in environmental exposure and burdens; (3) an increase in access to low-cost capital; (4) an increase in </w:t>
      </w:r>
      <w:r w:rsidR="00A36254">
        <w:rPr>
          <w:color w:val="000000" w:themeColor="text1"/>
        </w:rPr>
        <w:t xml:space="preserve">quality </w:t>
      </w:r>
      <w:r w:rsidRPr="00FF4EAA">
        <w:rPr>
          <w:color w:val="000000" w:themeColor="text1"/>
        </w:rPr>
        <w:t>job creation, the clean energy job pipeline, and job training for individuals; (5) increases in clean energy enterprise creation and contracting (e.g., minority-owned or disadvantaged business enterprises); (6) increases in energy democracy, including community ownership; (7) increased parity in clean energy technology access and adoption; and (8) an increase in energy resilience.</w:t>
      </w:r>
      <w:bookmarkEnd w:id="21"/>
    </w:p>
    <w:p w14:paraId="411E1881" w14:textId="77777777" w:rsidR="00CD3283" w:rsidRDefault="00CD3283" w:rsidP="00CD3283">
      <w:pPr>
        <w:tabs>
          <w:tab w:val="left" w:pos="90"/>
          <w:tab w:val="left" w:pos="1440"/>
        </w:tabs>
        <w:ind w:left="1440"/>
      </w:pPr>
    </w:p>
    <w:p w14:paraId="2379CA78" w14:textId="3A1ABE06" w:rsidR="007C29DE" w:rsidRDefault="00E96008" w:rsidP="007C29DE">
      <w:pPr>
        <w:pStyle w:val="FOAHeading3"/>
        <w:ind w:left="1440"/>
        <w:outlineLvl w:val="2"/>
      </w:pPr>
      <w:bookmarkStart w:id="22" w:name="_Toc109921645"/>
      <w:bookmarkStart w:id="23" w:name="_Hlk108795203"/>
      <w:r>
        <w:t>Cross-Office Coordination</w:t>
      </w:r>
      <w:bookmarkEnd w:id="22"/>
    </w:p>
    <w:p w14:paraId="60D5ECC7" w14:textId="77777777" w:rsidR="00C00F47" w:rsidRDefault="00C00F47" w:rsidP="00C00F47">
      <w:pPr>
        <w:ind w:left="1440"/>
      </w:pPr>
      <w:r>
        <w:t>SETO collaborates with EERE’s Wind Energy Technologies Office (WETO) to competitively select and fund projects that demonstrate the viability of wind and solar resources to rapidly integrate with the nation’s electric grid in an affordable and reliable manner to achieve the goal of decarbonizing the electricity sector.</w:t>
      </w:r>
    </w:p>
    <w:p w14:paraId="09E9691C" w14:textId="77777777" w:rsidR="00C00F47" w:rsidRDefault="00C00F47" w:rsidP="00C00F47">
      <w:pPr>
        <w:ind w:left="1440"/>
      </w:pPr>
    </w:p>
    <w:p w14:paraId="49F6FDF7" w14:textId="2CB0C333" w:rsidR="007C29DE" w:rsidRDefault="00C00F47" w:rsidP="00C00F47">
      <w:pPr>
        <w:ind w:left="1440"/>
      </w:pPr>
      <w:r>
        <w:t xml:space="preserve">EERE, together with the DOE Office of Electricity and the Office of Clean Energy Demonstrations, engages with regional and local partners, to develop, demonstrate, and deploy innovative technologies and to conduct community planning that enhances resilience against physical hazards, leveraging distributed solar generation, energy storage, EVs, and other distributed energy resources. The research and demonstrations funded by this FOA will further increase electricity resilience for </w:t>
      </w:r>
      <w:r w:rsidR="00A30815">
        <w:t xml:space="preserve">disadvantaged </w:t>
      </w:r>
      <w:r>
        <w:t>communities and allow for more energy to be provided by clean resources</w:t>
      </w:r>
      <w:r w:rsidR="00E96008">
        <w:t>.</w:t>
      </w:r>
    </w:p>
    <w:bookmarkEnd w:id="23"/>
    <w:p w14:paraId="5E60430E" w14:textId="2DF960A1" w:rsidR="00E96008" w:rsidRDefault="00E96008" w:rsidP="00E96008">
      <w:pPr>
        <w:ind w:left="1440"/>
      </w:pPr>
    </w:p>
    <w:p w14:paraId="6F76C2AA" w14:textId="11F6DFCE" w:rsidR="00E96008" w:rsidRDefault="00E96008" w:rsidP="00E96008">
      <w:pPr>
        <w:pStyle w:val="FOAHeading3"/>
        <w:ind w:left="1440"/>
        <w:outlineLvl w:val="2"/>
      </w:pPr>
      <w:bookmarkStart w:id="24" w:name="_Toc109921646"/>
      <w:r>
        <w:t>Priority Research Areas</w:t>
      </w:r>
      <w:bookmarkEnd w:id="24"/>
    </w:p>
    <w:p w14:paraId="15BB8072" w14:textId="4BA3D5E2" w:rsidR="00C00F47" w:rsidRDefault="00C00F47" w:rsidP="00C00F47">
      <w:pPr>
        <w:ind w:left="1440"/>
      </w:pPr>
      <w:r>
        <w:t xml:space="preserve">The </w:t>
      </w:r>
      <w:r>
        <w:rPr>
          <w:i/>
          <w:iCs/>
        </w:rPr>
        <w:t>Solar and Wind Grid Services</w:t>
      </w:r>
      <w:r w:rsidR="00B56C3E">
        <w:rPr>
          <w:i/>
          <w:iCs/>
        </w:rPr>
        <w:t xml:space="preserve"> and Reliability Demonstration</w:t>
      </w:r>
      <w:r>
        <w:rPr>
          <w:i/>
          <w:iCs/>
        </w:rPr>
        <w:t xml:space="preserve"> </w:t>
      </w:r>
      <w:r>
        <w:t>FOA focuses on the research, development, and demonstration of clean energy technologies on the bulk power grid. The objective is to improve the reliability, resilience, safety, and security of the operation of the bulk power grid while simultaneously allowing for a greater amount of wind and solar energy at a reduced cost to be connected to the grid. To accomplish these objectives, SETO is interested in the following two topic areas:</w:t>
      </w:r>
    </w:p>
    <w:p w14:paraId="553B5062" w14:textId="77777777" w:rsidR="00C00F47" w:rsidRDefault="00C00F47" w:rsidP="00C00F47">
      <w:pPr>
        <w:ind w:left="1440"/>
      </w:pPr>
    </w:p>
    <w:p w14:paraId="5F879791" w14:textId="26B9403D" w:rsidR="00C00F47" w:rsidRDefault="00C00F47" w:rsidP="00F836F4">
      <w:pPr>
        <w:pStyle w:val="FOATemplateBody"/>
        <w:numPr>
          <w:ilvl w:val="3"/>
          <w:numId w:val="96"/>
        </w:numPr>
        <w:ind w:left="1890" w:hanging="450"/>
      </w:pPr>
      <w:r>
        <w:rPr>
          <w:u w:val="single"/>
        </w:rPr>
        <w:t>WIND AND SOLAR GRID SERVICES DESIGN, IMPLEMENTATION AND DEMONSTRATION</w:t>
      </w:r>
      <w:r>
        <w:t xml:space="preserve">. </w:t>
      </w:r>
      <w:r w:rsidRPr="008D1C5D">
        <w:t>Th</w:t>
      </w:r>
      <w:r>
        <w:t xml:space="preserve">is topic area </w:t>
      </w:r>
      <w:r w:rsidRPr="008D1C5D">
        <w:t>support</w:t>
      </w:r>
      <w:r>
        <w:t>s</w:t>
      </w:r>
      <w:r w:rsidRPr="008D1C5D">
        <w:t xml:space="preserve"> demonstration projects that integrate renewable generation with other large-scale or aggregated </w:t>
      </w:r>
      <w:r w:rsidRPr="008D1C5D">
        <w:lastRenderedPageBreak/>
        <w:t>distributed energy resource (DER) technologies to provide grid services. Successful projects will</w:t>
      </w:r>
      <w:r w:rsidR="0023706C">
        <w:t>:</w:t>
      </w:r>
      <w:r>
        <w:t xml:space="preserve"> (</w:t>
      </w:r>
      <w:r w:rsidRPr="008D1C5D">
        <w:t xml:space="preserve">1) identify barriers and opportunities for various combinations of solar, wind and energy storage </w:t>
      </w:r>
      <w:r>
        <w:t xml:space="preserve">resources </w:t>
      </w:r>
      <w:r w:rsidRPr="008D1C5D">
        <w:t xml:space="preserve">with or without other aggregated DERs to provide grid services; </w:t>
      </w:r>
      <w:r>
        <w:t>(</w:t>
      </w:r>
      <w:r w:rsidRPr="008D1C5D">
        <w:t xml:space="preserve">2) research and develop grid services solutions offered by these technologies; and </w:t>
      </w:r>
      <w:r>
        <w:t>(</w:t>
      </w:r>
      <w:r w:rsidRPr="008D1C5D">
        <w:t>3) design, develop and implement central, local or hybrid controls with large-scale field demonstrations of these grid services.</w:t>
      </w:r>
      <w:r>
        <w:t xml:space="preserve"> </w:t>
      </w:r>
      <w:r w:rsidRPr="008D1C5D">
        <w:t>The projects will also need to define and validate the technology and deployment specifications required for the proposed solutions to ensure reliable and resilient planning and operations of electric grids with high generation contribution from IBRs.</w:t>
      </w:r>
    </w:p>
    <w:p w14:paraId="6FCE78F4" w14:textId="77777777" w:rsidR="00C00F47" w:rsidRDefault="00C00F47" w:rsidP="00C00F47">
      <w:pPr>
        <w:pStyle w:val="FOATemplateBody"/>
        <w:ind w:left="1890"/>
      </w:pPr>
    </w:p>
    <w:p w14:paraId="5F031C54" w14:textId="640CE696" w:rsidR="00C00F47" w:rsidRDefault="00C00F47" w:rsidP="00F836F4">
      <w:pPr>
        <w:pStyle w:val="FOATemplateBody"/>
        <w:numPr>
          <w:ilvl w:val="3"/>
          <w:numId w:val="96"/>
        </w:numPr>
        <w:ind w:left="1890" w:hanging="450"/>
      </w:pPr>
      <w:r>
        <w:rPr>
          <w:u w:val="single"/>
        </w:rPr>
        <w:t>PROTECTION OF BULK POWER SYSTEMS WITH HIGH CONTRIBUTION FROM INVERTER-BASED RESOURCES</w:t>
      </w:r>
      <w:r>
        <w:t xml:space="preserve">. </w:t>
      </w:r>
      <w:r w:rsidRPr="00D43058">
        <w:t xml:space="preserve">This topic area seeks to support the development of power system protection strategies for the bulk power electric transmission system as it transitions to and operates under scenarios where </w:t>
      </w:r>
      <w:proofErr w:type="gramStart"/>
      <w:r w:rsidRPr="00D43058">
        <w:t>the majority of</w:t>
      </w:r>
      <w:proofErr w:type="gramEnd"/>
      <w:r w:rsidRPr="00D43058">
        <w:t xml:space="preserve"> electrical generation is provided by IBRs. </w:t>
      </w:r>
      <w:r>
        <w:t xml:space="preserve">Projects in this area will investigate how </w:t>
      </w:r>
      <w:r w:rsidRPr="00D43058">
        <w:t xml:space="preserve">existing protection devices </w:t>
      </w:r>
      <w:r>
        <w:t xml:space="preserve">are impacted by the behavior of IBRs responding to grid disturbances, such as faults. </w:t>
      </w:r>
      <w:r w:rsidRPr="00D43058">
        <w:t xml:space="preserve">The goal of this topic area is to </w:t>
      </w:r>
      <w:r>
        <w:t xml:space="preserve">advance </w:t>
      </w:r>
      <w:r w:rsidRPr="00D43058">
        <w:t xml:space="preserve">modeling and simulation capabilities </w:t>
      </w:r>
      <w:r>
        <w:t xml:space="preserve">to perform protection studies in high IBR penetration scenarios to </w:t>
      </w:r>
      <w:r w:rsidRPr="00D43058">
        <w:t xml:space="preserve">develop a better understanding of how </w:t>
      </w:r>
      <w:r>
        <w:t xml:space="preserve">the </w:t>
      </w:r>
      <w:r w:rsidRPr="00D43058">
        <w:t>protection systems will operate</w:t>
      </w:r>
      <w:r>
        <w:t xml:space="preserve"> in these future scenarios.</w:t>
      </w:r>
      <w:r w:rsidR="00290B70">
        <w:t xml:space="preserve"> </w:t>
      </w:r>
      <w:r>
        <w:t xml:space="preserve">Additionally, projects in this topic area will develop strategies and new technologies to maintain system protection at any level of IBR penetration. </w:t>
      </w:r>
      <w:r w:rsidR="00634C68">
        <w:t>Validating</w:t>
      </w:r>
      <w:r>
        <w:t xml:space="preserve"> these </w:t>
      </w:r>
      <w:r w:rsidR="00634C68">
        <w:t xml:space="preserve">studies and </w:t>
      </w:r>
      <w:r>
        <w:t xml:space="preserve">technologies through </w:t>
      </w:r>
      <w:r w:rsidR="00634C68">
        <w:t>laboratory testing, or preferably field demonstrations,</w:t>
      </w:r>
      <w:r>
        <w:t xml:space="preserve"> </w:t>
      </w:r>
      <w:r w:rsidRPr="00D43058">
        <w:t>will lead to improved confidence in the transmission system protection, operation, and planning industry that the grid can operate safely</w:t>
      </w:r>
      <w:r>
        <w:t xml:space="preserve"> </w:t>
      </w:r>
      <w:r w:rsidRPr="00D43058">
        <w:t>and reliably at any mix of synchronous and IBR generation, including up to 100% IBR generation.</w:t>
      </w:r>
      <w:r>
        <w:br/>
      </w:r>
    </w:p>
    <w:p w14:paraId="4415DE36" w14:textId="7797A0FC" w:rsidR="00E96008" w:rsidRDefault="00C00F47" w:rsidP="00C00F47">
      <w:pPr>
        <w:ind w:left="1440"/>
      </w:pPr>
      <w:r>
        <w:t xml:space="preserve">Projects funded by </w:t>
      </w:r>
      <w:r w:rsidR="006304C9">
        <w:t>EERE</w:t>
      </w:r>
      <w:r>
        <w:t xml:space="preserve"> are expected to produce high-impact outcomes with a view toward commercialization and wide dissemination, including publication of the results in high-visibility, high-impact, peer-reviewed journals</w:t>
      </w:r>
      <w:r w:rsidR="00E96008">
        <w:t>.</w:t>
      </w:r>
    </w:p>
    <w:p w14:paraId="15FA8F84" w14:textId="77777777" w:rsidR="00E96008" w:rsidRDefault="00E96008" w:rsidP="00E96008">
      <w:pPr>
        <w:ind w:left="1440"/>
      </w:pPr>
    </w:p>
    <w:p w14:paraId="10AF00F4" w14:textId="57D7222B" w:rsidR="00E96008" w:rsidRDefault="00E96008" w:rsidP="00E96008">
      <w:pPr>
        <w:pStyle w:val="FOAHeading3"/>
        <w:ind w:left="1440"/>
        <w:outlineLvl w:val="2"/>
      </w:pPr>
      <w:bookmarkStart w:id="25" w:name="_Toc109921647"/>
      <w:r>
        <w:t>Teaming Partner List</w:t>
      </w:r>
      <w:bookmarkEnd w:id="25"/>
    </w:p>
    <w:p w14:paraId="0FC61771" w14:textId="0DF1E099" w:rsidR="00E96008" w:rsidRDefault="00E96008" w:rsidP="00E96008">
      <w:pPr>
        <w:ind w:left="1440"/>
      </w:pPr>
      <w:r>
        <w:t>Under all topics of this FOA, teams that include multiple partners are preferred over applications that include a single organization. Teams are encouraged to include representation from diverse entities, such as Historically Black Colleges and Universities (HBCU) or Minority Serving Institutions (MSI), or through linkages with Opportunity Zones</w:t>
      </w:r>
      <w:r w:rsidR="00783C63">
        <w:t>, and well as with relevant labor unions</w:t>
      </w:r>
      <w:r w:rsidR="004C607B">
        <w:t xml:space="preserve"> where appropriate</w:t>
      </w:r>
      <w:r>
        <w:t xml:space="preserve">. To facilitate the formation of teams, </w:t>
      </w:r>
      <w:r w:rsidR="006304C9">
        <w:t>EERE</w:t>
      </w:r>
      <w:r>
        <w:t xml:space="preserve"> is providing a forum where interested parties can add themselves to a Teaming Partner List, which </w:t>
      </w:r>
      <w:r>
        <w:lastRenderedPageBreak/>
        <w:t>allows organizations that may wish to apply to the FOA but not as the prime applicant, to express interest to potential partners.</w:t>
      </w:r>
    </w:p>
    <w:p w14:paraId="3D7DF0F0" w14:textId="77777777" w:rsidR="00E96008" w:rsidRDefault="00E96008" w:rsidP="00E96008">
      <w:pPr>
        <w:ind w:left="1440"/>
      </w:pPr>
    </w:p>
    <w:p w14:paraId="23910B72" w14:textId="7D27D208" w:rsidR="00E96008" w:rsidRDefault="00E96008" w:rsidP="00E96008">
      <w:pPr>
        <w:ind w:left="1440"/>
      </w:pPr>
      <w:r>
        <w:t xml:space="preserve">The Teaming Partner List and instructions will be available </w:t>
      </w:r>
      <w:r w:rsidR="008B2F1C">
        <w:t xml:space="preserve">at </w:t>
      </w:r>
      <w:hyperlink r:id="rId38" w:history="1">
        <w:r w:rsidR="008B2F1C" w:rsidRPr="00F7481E">
          <w:rPr>
            <w:rStyle w:val="Hyperlink"/>
            <w:highlight w:val="yellow"/>
          </w:rPr>
          <w:t>https://www.energy.gov/eere/solar/articles/funding-notice-solar-and-wind-grid-services-and-reliability-demonstration</w:t>
        </w:r>
      </w:hyperlink>
      <w:r w:rsidR="008B2F1C" w:rsidRPr="00F7481E">
        <w:rPr>
          <w:highlight w:val="yellow"/>
        </w:rPr>
        <w:t xml:space="preserve">, as well as </w:t>
      </w:r>
      <w:r w:rsidR="00CD1596" w:rsidRPr="00F7481E">
        <w:rPr>
          <w:highlight w:val="yellow"/>
        </w:rPr>
        <w:t xml:space="preserve">on EERE </w:t>
      </w:r>
      <w:proofErr w:type="spellStart"/>
      <w:r w:rsidR="00652450" w:rsidRPr="00F7481E">
        <w:rPr>
          <w:highlight w:val="yellow"/>
        </w:rPr>
        <w:t>eXCHANGE</w:t>
      </w:r>
      <w:proofErr w:type="spellEnd"/>
      <w:r w:rsidR="008B2F1C">
        <w:t>,</w:t>
      </w:r>
      <w:r w:rsidR="00652450">
        <w:t xml:space="preserve"> </w:t>
      </w:r>
      <w:r w:rsidR="00B56C3E">
        <w:t xml:space="preserve">during </w:t>
      </w:r>
      <w:r>
        <w:t xml:space="preserve">the FOA application period. The list will be updated at least weekly until the close of the full application period, to reflect new teaming partners who have provided their information. </w:t>
      </w:r>
    </w:p>
    <w:p w14:paraId="0E70C93E" w14:textId="77777777" w:rsidR="00E96008" w:rsidRDefault="00E96008" w:rsidP="00E96008">
      <w:pPr>
        <w:ind w:left="1440"/>
      </w:pPr>
    </w:p>
    <w:p w14:paraId="17E5052D" w14:textId="77777777" w:rsidR="00E96008" w:rsidRDefault="00E96008" w:rsidP="00E96008">
      <w:pPr>
        <w:ind w:left="2160"/>
      </w:pPr>
      <w:r w:rsidRPr="00E96008">
        <w:rPr>
          <w:b/>
          <w:bCs/>
        </w:rPr>
        <w:t>Disclaimer:</w:t>
      </w:r>
      <w:r>
        <w:t xml:space="preserve"> By submitting a request to be included on the Teaming Partner List, the requesting organization consents to the publication of its contact information. By enabling and publishing the Teaming Partner List, EERE is not endorsing, sponsoring, or otherwise evaluating the qualifications of the individuals and organizations that are identifying themselves for placement on this Teaming Partner List. EERE will not pay for the provision of any information, nor will it compensate any applicants or requesting organizations for the development of such information.</w:t>
      </w:r>
    </w:p>
    <w:p w14:paraId="480444EC" w14:textId="77777777" w:rsidR="00E96008" w:rsidRDefault="00E96008" w:rsidP="00E96008">
      <w:pPr>
        <w:ind w:left="1440"/>
      </w:pPr>
    </w:p>
    <w:p w14:paraId="58CD05E5" w14:textId="66D4E6B3" w:rsidR="00E96008" w:rsidRPr="00E95938" w:rsidRDefault="00E96008" w:rsidP="00E96008">
      <w:pPr>
        <w:ind w:left="1440"/>
      </w:pPr>
      <w:r>
        <w:t>Applicants should indicate which topic area they are interested in within the Teaming Partner List. Each topic area has specific team partner requirements. See the requirements table in each topic in Section B for these requirements.</w:t>
      </w:r>
    </w:p>
    <w:p w14:paraId="042EB9FF" w14:textId="695686A8" w:rsidR="00C87B68" w:rsidRDefault="00C87B68" w:rsidP="009C2DE9">
      <w:pPr>
        <w:ind w:left="1440"/>
      </w:pPr>
    </w:p>
    <w:p w14:paraId="2012BC21" w14:textId="0E60D0CB" w:rsidR="00E96008" w:rsidRPr="00253AB8" w:rsidRDefault="004E672B" w:rsidP="0017595D">
      <w:pPr>
        <w:pStyle w:val="FOAHeading2"/>
        <w:rPr>
          <w:rStyle w:val="14Calibri"/>
          <w:rFonts w:ascii="Calibri" w:hAnsi="Calibri"/>
          <w:sz w:val="32"/>
        </w:rPr>
      </w:pPr>
      <w:bookmarkStart w:id="26" w:name="_Toc109921648"/>
      <w:r w:rsidRPr="008175CB">
        <w:rPr>
          <w:rStyle w:val="14Calibri"/>
          <w:sz w:val="32"/>
        </w:rPr>
        <w:t>Topic</w:t>
      </w:r>
      <w:r>
        <w:rPr>
          <w:rStyle w:val="14Calibri"/>
          <w:sz w:val="32"/>
        </w:rPr>
        <w:t xml:space="preserve"> Areas</w:t>
      </w:r>
      <w:bookmarkEnd w:id="26"/>
    </w:p>
    <w:p w14:paraId="3336B9DD" w14:textId="77777777" w:rsidR="00253AB8" w:rsidRPr="00253AB8" w:rsidRDefault="00253AB8" w:rsidP="007F5044">
      <w:pPr>
        <w:rPr>
          <w:rStyle w:val="14Calibri"/>
          <w:rFonts w:ascii="Calibri" w:hAnsi="Calibri"/>
          <w:sz w:val="32"/>
        </w:rPr>
      </w:pPr>
    </w:p>
    <w:p w14:paraId="1FA84E41" w14:textId="0D48466B" w:rsidR="00253AB8" w:rsidRDefault="00253AB8" w:rsidP="00F836F4">
      <w:pPr>
        <w:pStyle w:val="FOAHeading3"/>
        <w:numPr>
          <w:ilvl w:val="2"/>
          <w:numId w:val="26"/>
        </w:numPr>
        <w:ind w:left="1440" w:hanging="360"/>
        <w:outlineLvl w:val="2"/>
      </w:pPr>
      <w:bookmarkStart w:id="27" w:name="_Toc109921649"/>
      <w:r>
        <w:t>Topic Area 1: Wind and Solar Grid Services Design, Implementation, and Demonstratio</w:t>
      </w:r>
      <w:r w:rsidR="001816B5">
        <w:t>n</w:t>
      </w:r>
      <w:bookmarkEnd w:id="27"/>
    </w:p>
    <w:p w14:paraId="4FC57ECF" w14:textId="77777777" w:rsidR="007B0BD6" w:rsidRDefault="007B0BD6" w:rsidP="00253AB8">
      <w:pPr>
        <w:ind w:left="1296"/>
      </w:pPr>
    </w:p>
    <w:p w14:paraId="71C084B0" w14:textId="33DB0E31" w:rsidR="007B0BD6" w:rsidRPr="007B0BD6" w:rsidRDefault="007B0BD6" w:rsidP="00746CAF">
      <w:pPr>
        <w:ind w:left="1440"/>
        <w:rPr>
          <w:b/>
          <w:bCs/>
        </w:rPr>
      </w:pPr>
      <w:r>
        <w:rPr>
          <w:b/>
          <w:bCs/>
        </w:rPr>
        <w:t>Background and Context</w:t>
      </w:r>
    </w:p>
    <w:p w14:paraId="7AB0FAE5" w14:textId="77777777" w:rsidR="004B4DBC" w:rsidRDefault="004B4DBC" w:rsidP="00253AB8">
      <w:pPr>
        <w:ind w:left="1296"/>
      </w:pPr>
    </w:p>
    <w:p w14:paraId="021114E1" w14:textId="3D684DE4" w:rsidR="00C00F47" w:rsidRPr="009437B9" w:rsidRDefault="00C00F47" w:rsidP="00F76881">
      <w:pPr>
        <w:ind w:left="1440"/>
        <w:rPr>
          <w:szCs w:val="24"/>
        </w:rPr>
      </w:pPr>
      <w:r w:rsidRPr="009437B9">
        <w:rPr>
          <w:szCs w:val="24"/>
        </w:rPr>
        <w:t xml:space="preserve">The grid services for </w:t>
      </w:r>
      <w:r>
        <w:rPr>
          <w:szCs w:val="24"/>
        </w:rPr>
        <w:t xml:space="preserve">the </w:t>
      </w:r>
      <w:r w:rsidRPr="009437B9">
        <w:rPr>
          <w:szCs w:val="24"/>
        </w:rPr>
        <w:t xml:space="preserve">electric power </w:t>
      </w:r>
      <w:r>
        <w:rPr>
          <w:szCs w:val="24"/>
        </w:rPr>
        <w:t xml:space="preserve">system </w:t>
      </w:r>
      <w:r w:rsidR="002E5EE6">
        <w:t>are</w:t>
      </w:r>
      <w:r w:rsidR="002E5EE6" w:rsidRPr="3BEBE8B7">
        <w:t xml:space="preserve"> </w:t>
      </w:r>
      <w:r w:rsidRPr="009437B9">
        <w:rPr>
          <w:szCs w:val="24"/>
        </w:rPr>
        <w:t xml:space="preserve">traditionally defined as </w:t>
      </w:r>
      <w:r w:rsidR="00B56C3E">
        <w:rPr>
          <w:szCs w:val="24"/>
        </w:rPr>
        <w:t>a</w:t>
      </w:r>
      <w:r w:rsidRPr="009437B9">
        <w:rPr>
          <w:szCs w:val="24"/>
        </w:rPr>
        <w:t xml:space="preserve">ncillary </w:t>
      </w:r>
      <w:r w:rsidR="00B56C3E">
        <w:rPr>
          <w:szCs w:val="24"/>
        </w:rPr>
        <w:t>s</w:t>
      </w:r>
      <w:r w:rsidRPr="009437B9">
        <w:rPr>
          <w:szCs w:val="24"/>
        </w:rPr>
        <w:t xml:space="preserve">ervices, such as </w:t>
      </w:r>
      <w:r>
        <w:rPr>
          <w:szCs w:val="24"/>
        </w:rPr>
        <w:t>power</w:t>
      </w:r>
      <w:r w:rsidRPr="009437B9">
        <w:rPr>
          <w:szCs w:val="24"/>
        </w:rPr>
        <w:t xml:space="preserve"> regulation and frequency response, spinning and non-spinning reserves, etc., to support the reliable and stable operations of electric power systems.</w:t>
      </w:r>
      <w:r w:rsidRPr="009437B9">
        <w:rPr>
          <w:szCs w:val="24"/>
          <w:vertAlign w:val="superscript"/>
        </w:rPr>
        <w:footnoteReference w:id="20"/>
      </w:r>
      <w:r w:rsidRPr="009437B9">
        <w:rPr>
          <w:szCs w:val="24"/>
          <w:vertAlign w:val="superscript"/>
        </w:rPr>
        <w:t>,</w:t>
      </w:r>
      <w:r w:rsidRPr="009437B9">
        <w:rPr>
          <w:szCs w:val="24"/>
          <w:vertAlign w:val="superscript"/>
        </w:rPr>
        <w:footnoteReference w:id="21"/>
      </w:r>
      <w:r w:rsidRPr="009437B9">
        <w:rPr>
          <w:szCs w:val="24"/>
          <w:vertAlign w:val="superscript"/>
        </w:rPr>
        <w:t xml:space="preserve"> </w:t>
      </w:r>
      <w:r w:rsidRPr="009437B9">
        <w:rPr>
          <w:szCs w:val="24"/>
        </w:rPr>
        <w:t xml:space="preserve">They </w:t>
      </w:r>
      <w:r w:rsidR="002E5EE6">
        <w:t>are</w:t>
      </w:r>
      <w:r w:rsidR="002E5EE6" w:rsidRPr="3BEBE8B7">
        <w:t xml:space="preserve"> </w:t>
      </w:r>
      <w:r w:rsidRPr="009437B9">
        <w:rPr>
          <w:szCs w:val="24"/>
        </w:rPr>
        <w:t xml:space="preserve">used by vertically integrated utilities and </w:t>
      </w:r>
      <w:r w:rsidR="00634C68">
        <w:rPr>
          <w:szCs w:val="24"/>
        </w:rPr>
        <w:t xml:space="preserve">regional </w:t>
      </w:r>
      <w:r w:rsidRPr="009437B9">
        <w:rPr>
          <w:szCs w:val="24"/>
        </w:rPr>
        <w:t xml:space="preserve">transmission </w:t>
      </w:r>
      <w:r w:rsidR="00634C68">
        <w:rPr>
          <w:szCs w:val="24"/>
        </w:rPr>
        <w:t>system operators</w:t>
      </w:r>
      <w:r w:rsidRPr="009437B9">
        <w:rPr>
          <w:szCs w:val="24"/>
        </w:rPr>
        <w:t xml:space="preserve"> to </w:t>
      </w:r>
      <w:r>
        <w:rPr>
          <w:szCs w:val="24"/>
        </w:rPr>
        <w:t xml:space="preserve">support the real-time </w:t>
      </w:r>
      <w:r w:rsidRPr="009437B9">
        <w:rPr>
          <w:szCs w:val="24"/>
        </w:rPr>
        <w:t xml:space="preserve">balance </w:t>
      </w:r>
      <w:r>
        <w:rPr>
          <w:szCs w:val="24"/>
        </w:rPr>
        <w:t xml:space="preserve">of </w:t>
      </w:r>
      <w:r>
        <w:rPr>
          <w:szCs w:val="24"/>
        </w:rPr>
        <w:lastRenderedPageBreak/>
        <w:t>electric</w:t>
      </w:r>
      <w:r w:rsidRPr="009437B9">
        <w:rPr>
          <w:szCs w:val="24"/>
        </w:rPr>
        <w:t xml:space="preserve"> loads </w:t>
      </w:r>
      <w:r>
        <w:rPr>
          <w:szCs w:val="24"/>
        </w:rPr>
        <w:t>with</w:t>
      </w:r>
      <w:r w:rsidRPr="009437B9">
        <w:rPr>
          <w:szCs w:val="24"/>
        </w:rPr>
        <w:t xml:space="preserve"> supply from generation units. In its Order No. 888 in 1996, the Federal Energy Regulatory Commission (FERC) stated that six </w:t>
      </w:r>
      <w:r>
        <w:rPr>
          <w:szCs w:val="24"/>
        </w:rPr>
        <w:t xml:space="preserve">services </w:t>
      </w:r>
      <w:r w:rsidRPr="009437B9">
        <w:rPr>
          <w:szCs w:val="24"/>
        </w:rPr>
        <w:t>must be offered in “open access non-discriminatory transmission tariffs</w:t>
      </w:r>
      <w:r w:rsidR="006304C9">
        <w:rPr>
          <w:szCs w:val="24"/>
        </w:rPr>
        <w:t>.</w:t>
      </w:r>
      <w:r w:rsidRPr="009437B9">
        <w:rPr>
          <w:szCs w:val="24"/>
        </w:rPr>
        <w:t>”</w:t>
      </w:r>
      <w:bookmarkStart w:id="28" w:name="_Ref108197971"/>
      <w:r w:rsidRPr="009437B9">
        <w:rPr>
          <w:szCs w:val="24"/>
          <w:vertAlign w:val="superscript"/>
        </w:rPr>
        <w:footnoteReference w:id="22"/>
      </w:r>
      <w:bookmarkEnd w:id="28"/>
      <w:r w:rsidRPr="009437B9">
        <w:rPr>
          <w:szCs w:val="24"/>
        </w:rPr>
        <w:t xml:space="preserve"> These were: </w:t>
      </w:r>
      <w:r>
        <w:t>(</w:t>
      </w:r>
      <w:r w:rsidRPr="009437B9">
        <w:rPr>
          <w:szCs w:val="24"/>
        </w:rPr>
        <w:t>1) Scheduling, system control</w:t>
      </w:r>
      <w:r>
        <w:rPr>
          <w:szCs w:val="24"/>
        </w:rPr>
        <w:t>,</w:t>
      </w:r>
      <w:r w:rsidRPr="009437B9">
        <w:rPr>
          <w:szCs w:val="24"/>
        </w:rPr>
        <w:t xml:space="preserve"> and dispatching</w:t>
      </w:r>
      <w:r w:rsidR="009B1E91">
        <w:t>;</w:t>
      </w:r>
      <w:r w:rsidRPr="3BEBE8B7">
        <w:t xml:space="preserve"> </w:t>
      </w:r>
      <w:r>
        <w:t>(</w:t>
      </w:r>
      <w:r w:rsidRPr="009437B9">
        <w:rPr>
          <w:szCs w:val="24"/>
        </w:rPr>
        <w:t xml:space="preserve">2) Reactive supply and voltage control from generation </w:t>
      </w:r>
      <w:r w:rsidRPr="3BEBE8B7">
        <w:t xml:space="preserve">resources </w:t>
      </w:r>
      <w:r>
        <w:t>(</w:t>
      </w:r>
      <w:r w:rsidRPr="009437B9">
        <w:rPr>
          <w:szCs w:val="24"/>
        </w:rPr>
        <w:t>3) Regulation and frequency response</w:t>
      </w:r>
      <w:r w:rsidR="009B1E91">
        <w:t>;</w:t>
      </w:r>
      <w:r w:rsidRPr="3BEBE8B7">
        <w:t xml:space="preserve"> </w:t>
      </w:r>
      <w:r>
        <w:t>(</w:t>
      </w:r>
      <w:r w:rsidRPr="009437B9">
        <w:rPr>
          <w:szCs w:val="24"/>
        </w:rPr>
        <w:t>4) Energy imbalance</w:t>
      </w:r>
      <w:r w:rsidR="009B1E91">
        <w:t>;</w:t>
      </w:r>
      <w:r w:rsidRPr="3BEBE8B7">
        <w:t xml:space="preserve"> </w:t>
      </w:r>
      <w:r>
        <w:t>(</w:t>
      </w:r>
      <w:r w:rsidRPr="009437B9">
        <w:rPr>
          <w:szCs w:val="24"/>
        </w:rPr>
        <w:t xml:space="preserve">5) </w:t>
      </w:r>
      <w:r w:rsidR="00B56C3E">
        <w:rPr>
          <w:szCs w:val="24"/>
        </w:rPr>
        <w:t>o</w:t>
      </w:r>
      <w:r w:rsidRPr="009437B9">
        <w:rPr>
          <w:szCs w:val="24"/>
        </w:rPr>
        <w:t>perating (spinning) reserve</w:t>
      </w:r>
      <w:r w:rsidR="009B1E91">
        <w:t>;</w:t>
      </w:r>
      <w:r w:rsidRPr="009437B9">
        <w:rPr>
          <w:szCs w:val="24"/>
        </w:rPr>
        <w:t xml:space="preserve"> and </w:t>
      </w:r>
      <w:r>
        <w:t>(</w:t>
      </w:r>
      <w:r w:rsidRPr="009437B9">
        <w:rPr>
          <w:szCs w:val="24"/>
        </w:rPr>
        <w:t>6) Operating (supplemental) reserve services.</w:t>
      </w:r>
      <w:r w:rsidR="00AE4F15" w:rsidRPr="00AE4F15">
        <w:rPr>
          <w:sz w:val="20"/>
          <w:vertAlign w:val="superscript"/>
        </w:rPr>
        <w:fldChar w:fldCharType="begin"/>
      </w:r>
      <w:r w:rsidR="00AE4F15" w:rsidRPr="00AE4F15">
        <w:rPr>
          <w:sz w:val="20"/>
          <w:vertAlign w:val="superscript"/>
        </w:rPr>
        <w:instrText xml:space="preserve"> NOTEREF _Ref108197971 \h  \* MERGEFORMAT </w:instrText>
      </w:r>
      <w:r w:rsidR="00AE4F15" w:rsidRPr="00AE4F15">
        <w:rPr>
          <w:sz w:val="20"/>
          <w:vertAlign w:val="superscript"/>
        </w:rPr>
      </w:r>
      <w:r w:rsidR="00AE4F15" w:rsidRPr="00AE4F15">
        <w:rPr>
          <w:sz w:val="20"/>
          <w:vertAlign w:val="superscript"/>
        </w:rPr>
        <w:fldChar w:fldCharType="separate"/>
      </w:r>
      <w:r w:rsidR="00AE4F15" w:rsidRPr="00AE4F15">
        <w:rPr>
          <w:sz w:val="20"/>
          <w:vertAlign w:val="superscript"/>
        </w:rPr>
        <w:t>21</w:t>
      </w:r>
      <w:r w:rsidR="00AE4F15" w:rsidRPr="00AE4F15">
        <w:rPr>
          <w:sz w:val="20"/>
          <w:vertAlign w:val="superscript"/>
        </w:rPr>
        <w:fldChar w:fldCharType="end"/>
      </w:r>
    </w:p>
    <w:p w14:paraId="645AABFD" w14:textId="77777777" w:rsidR="00C00F47" w:rsidRPr="009437B9" w:rsidRDefault="00C00F47" w:rsidP="00F76881">
      <w:pPr>
        <w:ind w:left="1440"/>
        <w:rPr>
          <w:szCs w:val="24"/>
        </w:rPr>
      </w:pPr>
    </w:p>
    <w:p w14:paraId="05850838" w14:textId="4833E51B" w:rsidR="00C00F47" w:rsidRPr="009437B9" w:rsidRDefault="00C00F47" w:rsidP="00F76881">
      <w:pPr>
        <w:ind w:left="1440"/>
        <w:rPr>
          <w:szCs w:val="24"/>
        </w:rPr>
      </w:pPr>
      <w:r w:rsidRPr="009437B9">
        <w:rPr>
          <w:szCs w:val="24"/>
        </w:rPr>
        <w:t xml:space="preserve">Over the course of </w:t>
      </w:r>
      <w:r>
        <w:rPr>
          <w:szCs w:val="24"/>
        </w:rPr>
        <w:t>power market</w:t>
      </w:r>
      <w:r w:rsidRPr="009437B9">
        <w:rPr>
          <w:szCs w:val="24"/>
        </w:rPr>
        <w:t xml:space="preserve"> deregulation</w:t>
      </w:r>
      <w:r>
        <w:rPr>
          <w:szCs w:val="24"/>
        </w:rPr>
        <w:t>,</w:t>
      </w:r>
      <w:r w:rsidRPr="009437B9">
        <w:rPr>
          <w:szCs w:val="24"/>
        </w:rPr>
        <w:t xml:space="preserve"> Independent System Operators (ISOs) and Regional Transmission Organizations </w:t>
      </w:r>
      <w:r w:rsidR="009F53BA">
        <w:rPr>
          <w:szCs w:val="24"/>
        </w:rPr>
        <w:t>(</w:t>
      </w:r>
      <w:r w:rsidRPr="009437B9">
        <w:rPr>
          <w:szCs w:val="24"/>
        </w:rPr>
        <w:t xml:space="preserve">RTOs) introduced several market products and services to ensure economic and efficient operations while maintaining reliability and stability. </w:t>
      </w:r>
      <w:r w:rsidRPr="009437B9">
        <w:rPr>
          <w:szCs w:val="24"/>
          <w:vertAlign w:val="superscript"/>
        </w:rPr>
        <w:footnoteReference w:id="23"/>
      </w:r>
      <w:r w:rsidRPr="009437B9">
        <w:rPr>
          <w:szCs w:val="24"/>
          <w:vertAlign w:val="superscript"/>
        </w:rPr>
        <w:t>,</w:t>
      </w:r>
      <w:r w:rsidRPr="009437B9">
        <w:rPr>
          <w:szCs w:val="24"/>
          <w:vertAlign w:val="superscript"/>
        </w:rPr>
        <w:footnoteReference w:id="24"/>
      </w:r>
      <w:r w:rsidRPr="009437B9">
        <w:rPr>
          <w:szCs w:val="24"/>
        </w:rPr>
        <w:t xml:space="preserve">  These markets and their products are still evolving as the generation mix and other societal needs change.</w:t>
      </w:r>
      <w:bookmarkStart w:id="29" w:name="_Ref93499324"/>
      <w:r w:rsidRPr="009437B9">
        <w:rPr>
          <w:szCs w:val="24"/>
          <w:vertAlign w:val="superscript"/>
        </w:rPr>
        <w:footnoteReference w:id="25"/>
      </w:r>
      <w:bookmarkEnd w:id="29"/>
      <w:r w:rsidRPr="009437B9">
        <w:rPr>
          <w:szCs w:val="24"/>
          <w:vertAlign w:val="superscript"/>
        </w:rPr>
        <w:t>,</w:t>
      </w:r>
      <w:r w:rsidRPr="009437B9">
        <w:rPr>
          <w:szCs w:val="24"/>
          <w:vertAlign w:val="superscript"/>
        </w:rPr>
        <w:footnoteReference w:id="26"/>
      </w:r>
    </w:p>
    <w:p w14:paraId="5B9907C3" w14:textId="77777777" w:rsidR="00C00F47" w:rsidRPr="009437B9" w:rsidRDefault="00C00F47" w:rsidP="00F76881">
      <w:pPr>
        <w:ind w:left="1440"/>
        <w:rPr>
          <w:szCs w:val="24"/>
        </w:rPr>
      </w:pPr>
    </w:p>
    <w:p w14:paraId="18CB9F41" w14:textId="0D7EF111" w:rsidR="00C00F47" w:rsidRPr="009437B9" w:rsidRDefault="00C00F47" w:rsidP="00F76881">
      <w:pPr>
        <w:ind w:left="1440"/>
        <w:rPr>
          <w:szCs w:val="24"/>
        </w:rPr>
      </w:pPr>
      <w:r w:rsidRPr="009437B9">
        <w:rPr>
          <w:szCs w:val="24"/>
        </w:rPr>
        <w:t xml:space="preserve">Over time, the number and definition of grid services have also significantly evolved. In late 2016, </w:t>
      </w:r>
      <w:r>
        <w:rPr>
          <w:szCs w:val="24"/>
        </w:rPr>
        <w:t xml:space="preserve">a </w:t>
      </w:r>
      <w:r w:rsidRPr="3BEBE8B7">
        <w:t>paper</w:t>
      </w:r>
      <w:r>
        <w:rPr>
          <w:szCs w:val="24"/>
        </w:rPr>
        <w:t xml:space="preserve"> published by</w:t>
      </w:r>
      <w:r w:rsidRPr="009437B9">
        <w:rPr>
          <w:szCs w:val="24"/>
        </w:rPr>
        <w:t xml:space="preserve"> the North American Electric Reliability Corporation (NERC) recommended three essential reliability services</w:t>
      </w:r>
      <w:r w:rsidRPr="003C4EDD">
        <w:rPr>
          <w:szCs w:val="24"/>
        </w:rPr>
        <w:t xml:space="preserve"> </w:t>
      </w:r>
      <w:r>
        <w:rPr>
          <w:szCs w:val="24"/>
        </w:rPr>
        <w:t xml:space="preserve">deemed </w:t>
      </w:r>
      <w:r w:rsidRPr="009437B9">
        <w:rPr>
          <w:szCs w:val="24"/>
        </w:rPr>
        <w:t xml:space="preserve">necessary for managing frequency, </w:t>
      </w:r>
      <w:r>
        <w:rPr>
          <w:szCs w:val="24"/>
        </w:rPr>
        <w:t xml:space="preserve">voltage, </w:t>
      </w:r>
      <w:r w:rsidRPr="009437B9">
        <w:rPr>
          <w:szCs w:val="24"/>
        </w:rPr>
        <w:t>net area demand</w:t>
      </w:r>
      <w:r>
        <w:rPr>
          <w:szCs w:val="24"/>
        </w:rPr>
        <w:t xml:space="preserve"> and </w:t>
      </w:r>
      <w:r w:rsidRPr="009437B9">
        <w:rPr>
          <w:szCs w:val="24"/>
        </w:rPr>
        <w:t xml:space="preserve">dispatchability: </w:t>
      </w:r>
      <w:r>
        <w:t>(</w:t>
      </w:r>
      <w:r w:rsidRPr="009437B9">
        <w:rPr>
          <w:szCs w:val="24"/>
        </w:rPr>
        <w:t xml:space="preserve">1) Frequency support, </w:t>
      </w:r>
      <w:r>
        <w:t>(</w:t>
      </w:r>
      <w:r w:rsidRPr="009437B9">
        <w:rPr>
          <w:szCs w:val="24"/>
        </w:rPr>
        <w:t xml:space="preserve">2) Ramping and balancing, and </w:t>
      </w:r>
      <w:r>
        <w:t>(</w:t>
      </w:r>
      <w:r w:rsidRPr="009437B9">
        <w:rPr>
          <w:szCs w:val="24"/>
        </w:rPr>
        <w:t>3) Voltage support</w:t>
      </w:r>
      <w:r>
        <w:rPr>
          <w:szCs w:val="24"/>
        </w:rPr>
        <w:t>.</w:t>
      </w:r>
      <w:r w:rsidRPr="009437B9">
        <w:rPr>
          <w:szCs w:val="24"/>
          <w:vertAlign w:val="superscript"/>
        </w:rPr>
        <w:footnoteReference w:id="27"/>
      </w:r>
      <w:r w:rsidRPr="009437B9">
        <w:rPr>
          <w:szCs w:val="24"/>
          <w:vertAlign w:val="superscript"/>
        </w:rPr>
        <w:t xml:space="preserve"> </w:t>
      </w:r>
      <w:r w:rsidRPr="009437B9">
        <w:rPr>
          <w:szCs w:val="24"/>
        </w:rPr>
        <w:t xml:space="preserve">This paper also explored reliability challenges that may arise from </w:t>
      </w:r>
      <w:r>
        <w:rPr>
          <w:szCs w:val="24"/>
        </w:rPr>
        <w:t xml:space="preserve">the </w:t>
      </w:r>
      <w:r w:rsidRPr="009437B9">
        <w:rPr>
          <w:szCs w:val="24"/>
        </w:rPr>
        <w:t xml:space="preserve">changing generation resource mix and recommended sufficiency guidelines for the bulk power system (BPS). Reference </w:t>
      </w:r>
      <w:r>
        <w:rPr>
          <w:szCs w:val="24"/>
        </w:rPr>
        <w:fldChar w:fldCharType="begin"/>
      </w:r>
      <w:r>
        <w:rPr>
          <w:szCs w:val="24"/>
        </w:rPr>
        <w:instrText xml:space="preserve"> NOTEREF _Ref93499324 \h </w:instrText>
      </w:r>
      <w:r>
        <w:rPr>
          <w:szCs w:val="24"/>
        </w:rPr>
      </w:r>
      <w:r>
        <w:rPr>
          <w:szCs w:val="24"/>
        </w:rPr>
        <w:fldChar w:fldCharType="separate"/>
      </w:r>
      <w:r>
        <w:rPr>
          <w:szCs w:val="24"/>
        </w:rPr>
        <w:t>16</w:t>
      </w:r>
      <w:r>
        <w:rPr>
          <w:szCs w:val="24"/>
        </w:rPr>
        <w:fldChar w:fldCharType="end"/>
      </w:r>
      <w:r w:rsidRPr="009437B9">
        <w:rPr>
          <w:szCs w:val="24"/>
        </w:rPr>
        <w:t xml:space="preserve"> provides a good summary </w:t>
      </w:r>
      <w:r>
        <w:rPr>
          <w:szCs w:val="24"/>
        </w:rPr>
        <w:t xml:space="preserve">of </w:t>
      </w:r>
      <w:r w:rsidRPr="009437B9">
        <w:rPr>
          <w:szCs w:val="24"/>
        </w:rPr>
        <w:t xml:space="preserve">different </w:t>
      </w:r>
      <w:r>
        <w:rPr>
          <w:szCs w:val="24"/>
        </w:rPr>
        <w:t xml:space="preserve">grid service </w:t>
      </w:r>
      <w:r w:rsidRPr="009437B9">
        <w:rPr>
          <w:szCs w:val="24"/>
        </w:rPr>
        <w:t xml:space="preserve">products and their names </w:t>
      </w:r>
      <w:r>
        <w:rPr>
          <w:szCs w:val="24"/>
        </w:rPr>
        <w:t xml:space="preserve">as </w:t>
      </w:r>
      <w:r w:rsidRPr="009437B9">
        <w:rPr>
          <w:szCs w:val="24"/>
        </w:rPr>
        <w:t>adopted by different ISOs</w:t>
      </w:r>
      <w:r w:rsidR="009F53BA">
        <w:rPr>
          <w:szCs w:val="24"/>
        </w:rPr>
        <w:t>/RTOs</w:t>
      </w:r>
      <w:r w:rsidRPr="009437B9">
        <w:rPr>
          <w:szCs w:val="24"/>
        </w:rPr>
        <w:t xml:space="preserve"> in the United States.</w:t>
      </w:r>
    </w:p>
    <w:p w14:paraId="56A94B2A" w14:textId="77777777" w:rsidR="00C00F47" w:rsidRPr="009437B9" w:rsidRDefault="00C00F47" w:rsidP="00F76881">
      <w:pPr>
        <w:ind w:left="1440"/>
        <w:rPr>
          <w:szCs w:val="24"/>
        </w:rPr>
      </w:pPr>
    </w:p>
    <w:p w14:paraId="37B58032" w14:textId="58FABE2B" w:rsidR="00C00F47" w:rsidRDefault="00C00F47" w:rsidP="00F76881">
      <w:pPr>
        <w:ind w:left="1440"/>
        <w:rPr>
          <w:szCs w:val="24"/>
        </w:rPr>
      </w:pPr>
      <w:r w:rsidRPr="009437B9">
        <w:rPr>
          <w:szCs w:val="24"/>
        </w:rPr>
        <w:t xml:space="preserve">It is beyond the purpose of this section to provide a uniform and comprehensive list of grid services for electric power systems. Literature in electric power systems provides ample detail on the subject.  One such research project by the Grid Modernization Laboratory Consortium (GMLC) lists the taxonomy on traditional grid services, as shown </w:t>
      </w:r>
      <w:r>
        <w:rPr>
          <w:szCs w:val="24"/>
        </w:rPr>
        <w:t xml:space="preserve">in </w:t>
      </w:r>
      <w:r w:rsidRPr="006240F8">
        <w:rPr>
          <w:szCs w:val="24"/>
        </w:rPr>
        <w:fldChar w:fldCharType="begin"/>
      </w:r>
      <w:r w:rsidRPr="006240F8">
        <w:rPr>
          <w:szCs w:val="24"/>
        </w:rPr>
        <w:instrText xml:space="preserve"> REF _Ref93491694 \h  \* MERGEFORMAT </w:instrText>
      </w:r>
      <w:r w:rsidRPr="006240F8">
        <w:rPr>
          <w:szCs w:val="24"/>
        </w:rPr>
      </w:r>
      <w:r w:rsidRPr="006240F8">
        <w:rPr>
          <w:szCs w:val="24"/>
        </w:rPr>
        <w:fldChar w:fldCharType="separate"/>
      </w:r>
      <w:r w:rsidR="00F76881" w:rsidRPr="00F76881">
        <w:rPr>
          <w:szCs w:val="24"/>
        </w:rPr>
        <w:t xml:space="preserve">Figure </w:t>
      </w:r>
      <w:r w:rsidR="00F76881" w:rsidRPr="00F76881">
        <w:rPr>
          <w:noProof/>
          <w:szCs w:val="24"/>
        </w:rPr>
        <w:t>2</w:t>
      </w:r>
      <w:r w:rsidRPr="006240F8">
        <w:rPr>
          <w:szCs w:val="24"/>
        </w:rPr>
        <w:fldChar w:fldCharType="end"/>
      </w:r>
      <w:r w:rsidRPr="009437B9">
        <w:rPr>
          <w:szCs w:val="24"/>
        </w:rPr>
        <w:t>.</w:t>
      </w:r>
      <w:bookmarkStart w:id="30" w:name="_Ref88467973"/>
      <w:r w:rsidRPr="009437B9">
        <w:rPr>
          <w:szCs w:val="24"/>
          <w:vertAlign w:val="superscript"/>
        </w:rPr>
        <w:footnoteReference w:id="28"/>
      </w:r>
      <w:bookmarkEnd w:id="30"/>
    </w:p>
    <w:p w14:paraId="407423A7" w14:textId="42889170" w:rsidR="00F76881" w:rsidRDefault="00F76881" w:rsidP="00C00F47">
      <w:pPr>
        <w:rPr>
          <w:szCs w:val="24"/>
        </w:rPr>
      </w:pPr>
    </w:p>
    <w:p w14:paraId="1AA4FACE" w14:textId="77777777" w:rsidR="00F76881" w:rsidRDefault="00F76881" w:rsidP="00F76881">
      <w:pPr>
        <w:keepNext/>
        <w:ind w:left="1440"/>
      </w:pPr>
      <w:r w:rsidRPr="009437B9">
        <w:rPr>
          <w:noProof/>
          <w:szCs w:val="24"/>
        </w:rPr>
        <w:drawing>
          <wp:inline distT="0" distB="0" distL="0" distR="0" wp14:anchorId="2F2928F1" wp14:editId="00E8206F">
            <wp:extent cx="4274049" cy="3892614"/>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09906" cy="3925271"/>
                    </a:xfrm>
                    <a:prstGeom prst="rect">
                      <a:avLst/>
                    </a:prstGeom>
                    <a:noFill/>
                    <a:ln>
                      <a:noFill/>
                    </a:ln>
                  </pic:spPr>
                </pic:pic>
              </a:graphicData>
            </a:graphic>
          </wp:inline>
        </w:drawing>
      </w:r>
    </w:p>
    <w:p w14:paraId="463660B7" w14:textId="77777777" w:rsidR="00F76881" w:rsidRDefault="00F76881" w:rsidP="00F76881">
      <w:pPr>
        <w:pStyle w:val="Caption"/>
        <w:ind w:left="1440"/>
        <w:rPr>
          <w:color w:val="auto"/>
          <w:sz w:val="20"/>
          <w:szCs w:val="20"/>
        </w:rPr>
      </w:pPr>
      <w:bookmarkStart w:id="31" w:name="_Ref93491694"/>
      <w:r w:rsidRPr="006240F8">
        <w:rPr>
          <w:color w:val="auto"/>
          <w:sz w:val="20"/>
          <w:szCs w:val="20"/>
        </w:rPr>
        <w:t xml:space="preserve">Figure </w:t>
      </w:r>
      <w:r w:rsidRPr="006240F8">
        <w:rPr>
          <w:color w:val="auto"/>
          <w:sz w:val="20"/>
          <w:szCs w:val="20"/>
        </w:rPr>
        <w:fldChar w:fldCharType="begin"/>
      </w:r>
      <w:r w:rsidRPr="006240F8">
        <w:rPr>
          <w:color w:val="auto"/>
          <w:sz w:val="20"/>
          <w:szCs w:val="20"/>
        </w:rPr>
        <w:instrText xml:space="preserve"> SEQ Figure \* ARABIC </w:instrText>
      </w:r>
      <w:r w:rsidRPr="006240F8">
        <w:rPr>
          <w:color w:val="auto"/>
          <w:sz w:val="20"/>
          <w:szCs w:val="20"/>
        </w:rPr>
        <w:fldChar w:fldCharType="separate"/>
      </w:r>
      <w:r>
        <w:rPr>
          <w:noProof/>
          <w:color w:val="auto"/>
          <w:sz w:val="20"/>
          <w:szCs w:val="20"/>
        </w:rPr>
        <w:t>2</w:t>
      </w:r>
      <w:r w:rsidRPr="006240F8">
        <w:rPr>
          <w:color w:val="auto"/>
          <w:sz w:val="20"/>
          <w:szCs w:val="20"/>
        </w:rPr>
        <w:fldChar w:fldCharType="end"/>
      </w:r>
      <w:bookmarkEnd w:id="31"/>
      <w:r w:rsidRPr="006240F8">
        <w:rPr>
          <w:color w:val="auto"/>
          <w:sz w:val="20"/>
          <w:szCs w:val="20"/>
        </w:rPr>
        <w:t xml:space="preserve">. </w:t>
      </w:r>
      <w:r>
        <w:rPr>
          <w:color w:val="auto"/>
          <w:sz w:val="20"/>
          <w:szCs w:val="20"/>
        </w:rPr>
        <w:t>Categories of t</w:t>
      </w:r>
      <w:r w:rsidRPr="006240F8">
        <w:rPr>
          <w:color w:val="auto"/>
          <w:sz w:val="20"/>
          <w:szCs w:val="20"/>
        </w:rPr>
        <w:t xml:space="preserve">raditional </w:t>
      </w:r>
      <w:r>
        <w:rPr>
          <w:color w:val="auto"/>
          <w:sz w:val="20"/>
          <w:szCs w:val="20"/>
        </w:rPr>
        <w:t>ancillary or g</w:t>
      </w:r>
      <w:r w:rsidRPr="006240F8">
        <w:rPr>
          <w:color w:val="auto"/>
          <w:sz w:val="20"/>
          <w:szCs w:val="20"/>
        </w:rPr>
        <w:t>rid Services</w:t>
      </w:r>
    </w:p>
    <w:p w14:paraId="6A9F2812" w14:textId="0E0AE304" w:rsidR="004B762A" w:rsidRDefault="00F76881" w:rsidP="00253AB8">
      <w:pPr>
        <w:ind w:left="1296"/>
        <w:rPr>
          <w:szCs w:val="24"/>
        </w:rPr>
      </w:pPr>
      <w:r w:rsidRPr="009437B9">
        <w:rPr>
          <w:szCs w:val="24"/>
        </w:rPr>
        <w:t>The lists published in this reference and several others also propose (new) emerging services some of which are shown</w:t>
      </w:r>
      <w:r>
        <w:rPr>
          <w:szCs w:val="24"/>
        </w:rPr>
        <w:t xml:space="preserve"> in </w:t>
      </w:r>
      <w:r w:rsidRPr="00B109E2">
        <w:rPr>
          <w:szCs w:val="24"/>
        </w:rPr>
        <w:fldChar w:fldCharType="begin"/>
      </w:r>
      <w:r w:rsidRPr="00B109E2">
        <w:rPr>
          <w:szCs w:val="24"/>
        </w:rPr>
        <w:instrText xml:space="preserve"> REF _Ref93491809 \h </w:instrText>
      </w:r>
      <w:r w:rsidR="00B109E2">
        <w:rPr>
          <w:szCs w:val="24"/>
        </w:rPr>
        <w:instrText xml:space="preserve"> \* MERGEFORMAT </w:instrText>
      </w:r>
      <w:r w:rsidRPr="00B109E2">
        <w:rPr>
          <w:szCs w:val="24"/>
        </w:rPr>
      </w:r>
      <w:r w:rsidRPr="00B109E2">
        <w:rPr>
          <w:szCs w:val="24"/>
        </w:rPr>
        <w:fldChar w:fldCharType="separate"/>
      </w:r>
      <w:r w:rsidRPr="00B109E2">
        <w:rPr>
          <w:szCs w:val="24"/>
        </w:rPr>
        <w:t xml:space="preserve">Figure </w:t>
      </w:r>
      <w:r w:rsidRPr="00B109E2">
        <w:rPr>
          <w:noProof/>
          <w:szCs w:val="24"/>
        </w:rPr>
        <w:t>3</w:t>
      </w:r>
      <w:r w:rsidRPr="00B109E2">
        <w:rPr>
          <w:szCs w:val="24"/>
        </w:rPr>
        <w:fldChar w:fldCharType="end"/>
      </w:r>
      <w:r w:rsidRPr="009437B9">
        <w:rPr>
          <w:szCs w:val="24"/>
        </w:rPr>
        <w:t>.</w:t>
      </w:r>
      <w:bookmarkStart w:id="32" w:name="_Ref88471222"/>
      <w:r w:rsidRPr="009437B9">
        <w:rPr>
          <w:szCs w:val="24"/>
          <w:vertAlign w:val="superscript"/>
        </w:rPr>
        <w:footnoteReference w:id="29"/>
      </w:r>
      <w:bookmarkEnd w:id="32"/>
      <w:r w:rsidRPr="009437B9">
        <w:rPr>
          <w:szCs w:val="24"/>
          <w:vertAlign w:val="superscript"/>
        </w:rPr>
        <w:t>,</w:t>
      </w:r>
      <w:r w:rsidRPr="009437B9">
        <w:rPr>
          <w:szCs w:val="24"/>
          <w:vertAlign w:val="superscript"/>
        </w:rPr>
        <w:footnoteReference w:id="30"/>
      </w:r>
      <w:r w:rsidRPr="009437B9">
        <w:rPr>
          <w:szCs w:val="24"/>
          <w:vertAlign w:val="superscript"/>
        </w:rPr>
        <w:t>,</w:t>
      </w:r>
      <w:bookmarkStart w:id="33" w:name="_Ref88550601"/>
      <w:r w:rsidRPr="009437B9">
        <w:rPr>
          <w:szCs w:val="24"/>
          <w:vertAlign w:val="superscript"/>
        </w:rPr>
        <w:footnoteReference w:id="31"/>
      </w:r>
      <w:bookmarkEnd w:id="33"/>
      <w:r w:rsidRPr="009437B9">
        <w:rPr>
          <w:szCs w:val="24"/>
          <w:vertAlign w:val="superscript"/>
        </w:rPr>
        <w:t xml:space="preserve">, </w:t>
      </w:r>
      <w:r w:rsidRPr="009437B9">
        <w:rPr>
          <w:szCs w:val="24"/>
          <w:vertAlign w:val="superscript"/>
        </w:rPr>
        <w:footnoteReference w:id="32"/>
      </w:r>
      <w:r w:rsidRPr="009437B9">
        <w:rPr>
          <w:szCs w:val="24"/>
          <w:vertAlign w:val="superscript"/>
        </w:rPr>
        <w:t>,</w:t>
      </w:r>
      <w:bookmarkStart w:id="34" w:name="_Ref93499438"/>
      <w:r w:rsidRPr="009437B9">
        <w:rPr>
          <w:szCs w:val="24"/>
          <w:vertAlign w:val="superscript"/>
        </w:rPr>
        <w:footnoteReference w:id="33"/>
      </w:r>
      <w:bookmarkEnd w:id="34"/>
      <w:r w:rsidRPr="009437B9">
        <w:rPr>
          <w:szCs w:val="24"/>
        </w:rPr>
        <w:t xml:space="preserve">  These references extend grid services to incorporate distributed energy resources (DERs) located on distribution networks beyond transmission. Some also provide compensation approaches and performance requirements for each service at </w:t>
      </w:r>
      <w:r>
        <w:rPr>
          <w:szCs w:val="24"/>
        </w:rPr>
        <w:t xml:space="preserve">various </w:t>
      </w:r>
      <w:r w:rsidRPr="009437B9">
        <w:rPr>
          <w:szCs w:val="24"/>
        </w:rPr>
        <w:t>ISOs</w:t>
      </w:r>
      <w:r w:rsidR="009F53BA">
        <w:rPr>
          <w:szCs w:val="24"/>
        </w:rPr>
        <w:t>/RTOs</w:t>
      </w:r>
      <w:r w:rsidRPr="009437B9">
        <w:rPr>
          <w:szCs w:val="24"/>
        </w:rPr>
        <w:t xml:space="preserve">.  They offer </w:t>
      </w:r>
      <w:r>
        <w:rPr>
          <w:szCs w:val="24"/>
        </w:rPr>
        <w:t>market</w:t>
      </w:r>
      <w:r w:rsidRPr="009437B9">
        <w:rPr>
          <w:szCs w:val="24"/>
        </w:rPr>
        <w:t xml:space="preserve"> opportunities for (aggregated) distributed </w:t>
      </w:r>
      <w:r w:rsidRPr="009437B9">
        <w:rPr>
          <w:szCs w:val="24"/>
        </w:rPr>
        <w:lastRenderedPageBreak/>
        <w:t>energy resources and summarize attributes of such services already being tried at some of the ISOs</w:t>
      </w:r>
      <w:r w:rsidR="009F53BA">
        <w:rPr>
          <w:szCs w:val="24"/>
        </w:rPr>
        <w:t>/RTOs</w:t>
      </w:r>
      <w:r w:rsidRPr="009437B9">
        <w:rPr>
          <w:szCs w:val="24"/>
        </w:rPr>
        <w:t>.</w:t>
      </w:r>
    </w:p>
    <w:p w14:paraId="271BCD52" w14:textId="77777777" w:rsidR="00B575AF" w:rsidRDefault="00B575AF" w:rsidP="00253AB8">
      <w:pPr>
        <w:ind w:left="1296"/>
        <w:rPr>
          <w:szCs w:val="24"/>
        </w:rPr>
      </w:pPr>
    </w:p>
    <w:p w14:paraId="0B69F147" w14:textId="77777777" w:rsidR="00B575AF" w:rsidRPr="004B762A" w:rsidRDefault="00B575AF" w:rsidP="00B575AF"/>
    <w:p w14:paraId="7A59DD86" w14:textId="77777777" w:rsidR="00B575AF" w:rsidRPr="009437B9" w:rsidRDefault="00B575AF" w:rsidP="00B575AF">
      <w:pPr>
        <w:ind w:left="1296"/>
        <w:rPr>
          <w:szCs w:val="24"/>
        </w:rPr>
      </w:pPr>
      <w:r w:rsidRPr="00F6538C">
        <w:rPr>
          <w:noProof/>
        </w:rPr>
        <w:drawing>
          <wp:inline distT="0" distB="0" distL="0" distR="0" wp14:anchorId="7D23B6D1" wp14:editId="5E296F4D">
            <wp:extent cx="4079019" cy="1929595"/>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40"/>
                    <a:stretch>
                      <a:fillRect/>
                    </a:stretch>
                  </pic:blipFill>
                  <pic:spPr>
                    <a:xfrm>
                      <a:off x="0" y="0"/>
                      <a:ext cx="4093568" cy="1936478"/>
                    </a:xfrm>
                    <a:prstGeom prst="rect">
                      <a:avLst/>
                    </a:prstGeom>
                  </pic:spPr>
                </pic:pic>
              </a:graphicData>
            </a:graphic>
          </wp:inline>
        </w:drawing>
      </w:r>
    </w:p>
    <w:p w14:paraId="64944860" w14:textId="58AE6648" w:rsidR="00B575AF" w:rsidRDefault="00B575AF" w:rsidP="00B575AF">
      <w:pPr>
        <w:pStyle w:val="Caption"/>
        <w:ind w:left="1440"/>
        <w:rPr>
          <w:color w:val="auto"/>
          <w:sz w:val="20"/>
          <w:szCs w:val="20"/>
        </w:rPr>
      </w:pPr>
      <w:bookmarkStart w:id="35" w:name="_Ref93491809"/>
      <w:r w:rsidRPr="00775123">
        <w:rPr>
          <w:color w:val="auto"/>
          <w:sz w:val="20"/>
          <w:szCs w:val="20"/>
        </w:rPr>
        <w:t xml:space="preserve">Figure </w:t>
      </w:r>
      <w:r w:rsidRPr="00775123">
        <w:rPr>
          <w:color w:val="auto"/>
          <w:sz w:val="20"/>
          <w:szCs w:val="20"/>
        </w:rPr>
        <w:fldChar w:fldCharType="begin"/>
      </w:r>
      <w:r w:rsidRPr="00775123">
        <w:rPr>
          <w:color w:val="auto"/>
          <w:sz w:val="20"/>
          <w:szCs w:val="20"/>
        </w:rPr>
        <w:instrText xml:space="preserve"> SEQ Figure \* ARABIC </w:instrText>
      </w:r>
      <w:r w:rsidRPr="00775123">
        <w:rPr>
          <w:color w:val="auto"/>
          <w:sz w:val="20"/>
          <w:szCs w:val="20"/>
        </w:rPr>
        <w:fldChar w:fldCharType="separate"/>
      </w:r>
      <w:r w:rsidR="00F76881">
        <w:rPr>
          <w:noProof/>
          <w:color w:val="auto"/>
          <w:sz w:val="20"/>
          <w:szCs w:val="20"/>
        </w:rPr>
        <w:t>3</w:t>
      </w:r>
      <w:r w:rsidRPr="00775123">
        <w:rPr>
          <w:color w:val="auto"/>
          <w:sz w:val="20"/>
          <w:szCs w:val="20"/>
        </w:rPr>
        <w:fldChar w:fldCharType="end"/>
      </w:r>
      <w:bookmarkEnd w:id="35"/>
      <w:r w:rsidRPr="00775123">
        <w:rPr>
          <w:color w:val="auto"/>
          <w:sz w:val="20"/>
          <w:szCs w:val="20"/>
        </w:rPr>
        <w:t xml:space="preserve">. </w:t>
      </w:r>
      <w:r>
        <w:rPr>
          <w:color w:val="auto"/>
          <w:sz w:val="20"/>
          <w:szCs w:val="20"/>
        </w:rPr>
        <w:t>Categories of n</w:t>
      </w:r>
      <w:r w:rsidRPr="00775123">
        <w:rPr>
          <w:color w:val="auto"/>
          <w:sz w:val="20"/>
          <w:szCs w:val="20"/>
        </w:rPr>
        <w:t>ew emerging services.</w:t>
      </w:r>
    </w:p>
    <w:p w14:paraId="0AA4BEEB" w14:textId="1CA99861" w:rsidR="00F76881" w:rsidRPr="009437B9" w:rsidRDefault="00F76881" w:rsidP="00F76881">
      <w:pPr>
        <w:ind w:left="1440"/>
        <w:rPr>
          <w:szCs w:val="24"/>
        </w:rPr>
      </w:pPr>
      <w:r w:rsidRPr="009437B9">
        <w:rPr>
          <w:szCs w:val="24"/>
        </w:rPr>
        <w:t xml:space="preserve">The trends in solar and wind </w:t>
      </w:r>
      <w:r>
        <w:rPr>
          <w:szCs w:val="24"/>
        </w:rPr>
        <w:t xml:space="preserve">generation </w:t>
      </w:r>
      <w:r w:rsidRPr="009437B9">
        <w:rPr>
          <w:szCs w:val="24"/>
        </w:rPr>
        <w:t xml:space="preserve">are fundamentally changing the traditional planning and operations of the electric power grids.  </w:t>
      </w:r>
      <w:r>
        <w:rPr>
          <w:szCs w:val="24"/>
        </w:rPr>
        <w:t xml:space="preserve">As solar </w:t>
      </w:r>
      <w:r w:rsidRPr="009437B9">
        <w:rPr>
          <w:szCs w:val="24"/>
        </w:rPr>
        <w:t xml:space="preserve">and wind </w:t>
      </w:r>
      <w:r>
        <w:rPr>
          <w:szCs w:val="24"/>
        </w:rPr>
        <w:t>generation combined with</w:t>
      </w:r>
      <w:r w:rsidRPr="009437B9">
        <w:rPr>
          <w:szCs w:val="24"/>
        </w:rPr>
        <w:t xml:space="preserve"> storage</w:t>
      </w:r>
      <w:r>
        <w:rPr>
          <w:szCs w:val="24"/>
        </w:rPr>
        <w:t xml:space="preserve"> </w:t>
      </w:r>
      <w:r w:rsidRPr="009437B9">
        <w:rPr>
          <w:szCs w:val="24"/>
        </w:rPr>
        <w:t>increas</w:t>
      </w:r>
      <w:r>
        <w:rPr>
          <w:szCs w:val="24"/>
        </w:rPr>
        <w:t>e</w:t>
      </w:r>
      <w:r w:rsidRPr="009437B9">
        <w:rPr>
          <w:szCs w:val="24"/>
        </w:rPr>
        <w:t>, additional opportunities</w:t>
      </w:r>
      <w:r>
        <w:rPr>
          <w:szCs w:val="24"/>
        </w:rPr>
        <w:t xml:space="preserve"> for these resources to provide grid services are presented</w:t>
      </w:r>
      <w:r w:rsidRPr="009437B9">
        <w:rPr>
          <w:szCs w:val="24"/>
        </w:rPr>
        <w:t xml:space="preserve">. </w:t>
      </w:r>
      <w:r>
        <w:rPr>
          <w:szCs w:val="24"/>
        </w:rPr>
        <w:fldChar w:fldCharType="begin"/>
      </w:r>
      <w:r>
        <w:rPr>
          <w:szCs w:val="24"/>
        </w:rPr>
        <w:instrText xml:space="preserve"> REF _Ref93499475 \h </w:instrText>
      </w:r>
      <w:r>
        <w:rPr>
          <w:szCs w:val="24"/>
        </w:rPr>
      </w:r>
      <w:r>
        <w:rPr>
          <w:szCs w:val="24"/>
        </w:rPr>
        <w:fldChar w:fldCharType="separate"/>
      </w:r>
      <w:r w:rsidRPr="002F1F62">
        <w:t xml:space="preserve">Figure </w:t>
      </w:r>
      <w:r>
        <w:rPr>
          <w:noProof/>
        </w:rPr>
        <w:t>4</w:t>
      </w:r>
      <w:r>
        <w:rPr>
          <w:szCs w:val="24"/>
        </w:rPr>
        <w:fldChar w:fldCharType="end"/>
      </w:r>
      <w:r w:rsidRPr="009437B9">
        <w:rPr>
          <w:szCs w:val="24"/>
        </w:rPr>
        <w:t xml:space="preserve"> shows the percentage of combined instantaneous power from wind and solar </w:t>
      </w:r>
      <w:r>
        <w:rPr>
          <w:szCs w:val="24"/>
        </w:rPr>
        <w:t xml:space="preserve">generation </w:t>
      </w:r>
      <w:r w:rsidRPr="009437B9">
        <w:rPr>
          <w:szCs w:val="24"/>
        </w:rPr>
        <w:t>operating in 2019</w:t>
      </w:r>
      <w:r>
        <w:rPr>
          <w:szCs w:val="24"/>
        </w:rPr>
        <w:t xml:space="preserve"> at various locations around the country</w:t>
      </w:r>
      <w:r w:rsidRPr="009437B9">
        <w:rPr>
          <w:szCs w:val="24"/>
        </w:rPr>
        <w:t xml:space="preserve"> and the percentage of annual energy supply they provided. The frequency of high instantaneous power supply from wind and solar </w:t>
      </w:r>
      <w:r>
        <w:rPr>
          <w:szCs w:val="24"/>
        </w:rPr>
        <w:t xml:space="preserve">generation </w:t>
      </w:r>
      <w:r w:rsidRPr="009437B9">
        <w:rPr>
          <w:szCs w:val="24"/>
        </w:rPr>
        <w:t>has also been increasing in recent years.</w:t>
      </w:r>
      <w:r w:rsidRPr="009437B9">
        <w:rPr>
          <w:szCs w:val="24"/>
          <w:vertAlign w:val="superscript"/>
        </w:rPr>
        <w:footnoteReference w:id="34"/>
      </w:r>
      <w:r w:rsidRPr="009437B9">
        <w:rPr>
          <w:szCs w:val="24"/>
          <w:vertAlign w:val="superscript"/>
        </w:rPr>
        <w:t>,</w:t>
      </w:r>
      <w:r w:rsidRPr="009437B9">
        <w:rPr>
          <w:szCs w:val="24"/>
          <w:vertAlign w:val="superscript"/>
        </w:rPr>
        <w:footnoteReference w:id="35"/>
      </w:r>
      <w:r w:rsidRPr="009437B9">
        <w:rPr>
          <w:szCs w:val="24"/>
          <w:vertAlign w:val="superscript"/>
        </w:rPr>
        <w:t>,</w:t>
      </w:r>
      <w:r w:rsidRPr="009437B9">
        <w:rPr>
          <w:szCs w:val="24"/>
          <w:vertAlign w:val="superscript"/>
        </w:rPr>
        <w:footnoteReference w:id="36"/>
      </w:r>
      <w:r w:rsidRPr="009437B9">
        <w:rPr>
          <w:szCs w:val="24"/>
          <w:vertAlign w:val="superscript"/>
        </w:rPr>
        <w:t>,</w:t>
      </w:r>
      <w:r w:rsidRPr="009437B9">
        <w:rPr>
          <w:szCs w:val="24"/>
          <w:vertAlign w:val="superscript"/>
        </w:rPr>
        <w:footnoteReference w:id="37"/>
      </w:r>
      <w:r w:rsidRPr="009437B9">
        <w:rPr>
          <w:szCs w:val="24"/>
          <w:vertAlign w:val="superscript"/>
        </w:rPr>
        <w:t>,</w:t>
      </w:r>
      <w:r w:rsidRPr="009437B9">
        <w:rPr>
          <w:szCs w:val="24"/>
          <w:vertAlign w:val="superscript"/>
        </w:rPr>
        <w:footnoteReference w:id="38"/>
      </w:r>
      <w:r w:rsidRPr="009437B9">
        <w:rPr>
          <w:szCs w:val="24"/>
        </w:rPr>
        <w:t xml:space="preserve"> Solar </w:t>
      </w:r>
      <w:r>
        <w:rPr>
          <w:szCs w:val="24"/>
        </w:rPr>
        <w:t xml:space="preserve">generation </w:t>
      </w:r>
      <w:r w:rsidRPr="009437B9">
        <w:rPr>
          <w:szCs w:val="24"/>
        </w:rPr>
        <w:t xml:space="preserve">can provide instantaneous </w:t>
      </w:r>
      <w:r>
        <w:rPr>
          <w:szCs w:val="24"/>
        </w:rPr>
        <w:t xml:space="preserve">power </w:t>
      </w:r>
      <w:r w:rsidRPr="009437B9">
        <w:rPr>
          <w:szCs w:val="24"/>
        </w:rPr>
        <w:t xml:space="preserve">values at least two to three times higher than annual </w:t>
      </w:r>
      <w:r>
        <w:rPr>
          <w:szCs w:val="24"/>
        </w:rPr>
        <w:t xml:space="preserve">energy </w:t>
      </w:r>
      <w:r w:rsidRPr="009437B9">
        <w:rPr>
          <w:szCs w:val="24"/>
        </w:rPr>
        <w:t xml:space="preserve">supply, and wind has three to four times higher values, due to </w:t>
      </w:r>
      <w:r>
        <w:rPr>
          <w:szCs w:val="24"/>
        </w:rPr>
        <w:t xml:space="preserve">plant </w:t>
      </w:r>
      <w:r w:rsidRPr="009437B9">
        <w:rPr>
          <w:szCs w:val="24"/>
        </w:rPr>
        <w:t>capacity factors and diurnal and seasonal variations. The</w:t>
      </w:r>
      <w:r>
        <w:rPr>
          <w:szCs w:val="24"/>
        </w:rPr>
        <w:t>se</w:t>
      </w:r>
      <w:r w:rsidRPr="009437B9">
        <w:rPr>
          <w:szCs w:val="24"/>
        </w:rPr>
        <w:t xml:space="preserve"> high instantaneous IBR power levels may cause challenges in system stability and the</w:t>
      </w:r>
      <w:r>
        <w:rPr>
          <w:szCs w:val="24"/>
        </w:rPr>
        <w:t>ir</w:t>
      </w:r>
      <w:r w:rsidRPr="009437B9">
        <w:rPr>
          <w:szCs w:val="24"/>
        </w:rPr>
        <w:t xml:space="preserve"> high annual energy contributions may present problems </w:t>
      </w:r>
      <w:r>
        <w:rPr>
          <w:szCs w:val="24"/>
        </w:rPr>
        <w:t>managing other energy resources</w:t>
      </w:r>
      <w:r w:rsidRPr="009437B9">
        <w:rPr>
          <w:szCs w:val="24"/>
        </w:rPr>
        <w:t xml:space="preserve">. </w:t>
      </w:r>
    </w:p>
    <w:p w14:paraId="6D3D0334" w14:textId="77777777" w:rsidR="00F76881" w:rsidRPr="009437B9" w:rsidRDefault="00F76881" w:rsidP="00F76881">
      <w:pPr>
        <w:ind w:left="1296"/>
        <w:rPr>
          <w:szCs w:val="24"/>
        </w:rPr>
      </w:pPr>
    </w:p>
    <w:p w14:paraId="07C165A5" w14:textId="6BF5AFD3" w:rsidR="00B575AF" w:rsidRDefault="00F76881" w:rsidP="00F76881">
      <w:pPr>
        <w:ind w:left="1440"/>
        <w:rPr>
          <w:szCs w:val="24"/>
        </w:rPr>
      </w:pPr>
      <w:r w:rsidRPr="009437B9">
        <w:rPr>
          <w:szCs w:val="24"/>
        </w:rPr>
        <w:t xml:space="preserve">Grid services are traditionally provided by synchronous generators, but it has been demonstrated that solar and wind plants can </w:t>
      </w:r>
      <w:r>
        <w:rPr>
          <w:szCs w:val="24"/>
        </w:rPr>
        <w:t xml:space="preserve">also </w:t>
      </w:r>
      <w:r w:rsidRPr="009437B9">
        <w:rPr>
          <w:szCs w:val="24"/>
        </w:rPr>
        <w:t xml:space="preserve">provide </w:t>
      </w:r>
      <w:r>
        <w:rPr>
          <w:szCs w:val="24"/>
        </w:rPr>
        <w:t>these</w:t>
      </w:r>
      <w:r w:rsidRPr="009437B9">
        <w:rPr>
          <w:szCs w:val="24"/>
        </w:rPr>
        <w:t xml:space="preserve"> services. </w:t>
      </w:r>
      <w:r w:rsidRPr="001F4EC5">
        <w:rPr>
          <w:szCs w:val="24"/>
        </w:rPr>
        <w:lastRenderedPageBreak/>
        <w:t>FERC, in its Order 842, r</w:t>
      </w:r>
      <w:r w:rsidRPr="005451E1">
        <w:rPr>
          <w:szCs w:val="24"/>
        </w:rPr>
        <w:t>equires “newly interconnecting large and small generating facilities, both synchronous and non-synchronous, to install, maintain, and operate equipment capable of providing primary frequency response as a condition of interconnection</w:t>
      </w:r>
      <w:r w:rsidR="00B56C3E">
        <w:rPr>
          <w:szCs w:val="24"/>
        </w:rPr>
        <w:t>.</w:t>
      </w:r>
      <w:r w:rsidRPr="005451E1">
        <w:rPr>
          <w:szCs w:val="24"/>
        </w:rPr>
        <w:t>”</w:t>
      </w:r>
      <w:r w:rsidRPr="001F4EC5">
        <w:rPr>
          <w:rStyle w:val="FootnoteReference"/>
          <w:szCs w:val="24"/>
        </w:rPr>
        <w:footnoteReference w:id="39"/>
      </w:r>
      <w:r w:rsidR="00B56C3E">
        <w:rPr>
          <w:szCs w:val="24"/>
        </w:rPr>
        <w:t xml:space="preserve"> </w:t>
      </w:r>
      <w:r w:rsidRPr="009437B9">
        <w:rPr>
          <w:szCs w:val="24"/>
        </w:rPr>
        <w:t xml:space="preserve">In the past several years, SETO and WETO </w:t>
      </w:r>
      <w:r w:rsidR="00B56C3E">
        <w:rPr>
          <w:szCs w:val="24"/>
        </w:rPr>
        <w:t xml:space="preserve">have </w:t>
      </w:r>
      <w:r w:rsidRPr="009437B9">
        <w:rPr>
          <w:szCs w:val="24"/>
        </w:rPr>
        <w:t xml:space="preserve">funded projects </w:t>
      </w:r>
      <w:r w:rsidR="00B56C3E">
        <w:rPr>
          <w:szCs w:val="24"/>
        </w:rPr>
        <w:t xml:space="preserve">that </w:t>
      </w:r>
      <w:r>
        <w:rPr>
          <w:szCs w:val="24"/>
        </w:rPr>
        <w:t xml:space="preserve">have </w:t>
      </w:r>
      <w:r w:rsidRPr="009437B9">
        <w:rPr>
          <w:szCs w:val="24"/>
        </w:rPr>
        <w:t xml:space="preserve">demonstrated </w:t>
      </w:r>
      <w:r>
        <w:rPr>
          <w:szCs w:val="24"/>
        </w:rPr>
        <w:t xml:space="preserve">that </w:t>
      </w:r>
      <w:r w:rsidRPr="009437B9">
        <w:rPr>
          <w:szCs w:val="24"/>
        </w:rPr>
        <w:t xml:space="preserve">some grid services can be provided through solar and wind resources. Sponsored by SETO, a team led by </w:t>
      </w:r>
      <w:r>
        <w:rPr>
          <w:szCs w:val="24"/>
        </w:rPr>
        <w:t>the California Independent System Operator (</w:t>
      </w:r>
      <w:r w:rsidRPr="009437B9">
        <w:rPr>
          <w:szCs w:val="24"/>
        </w:rPr>
        <w:t>CAISO</w:t>
      </w:r>
      <w:r>
        <w:rPr>
          <w:szCs w:val="24"/>
        </w:rPr>
        <w:t>)</w:t>
      </w:r>
      <w:r w:rsidRPr="009437B9">
        <w:rPr>
          <w:szCs w:val="24"/>
        </w:rPr>
        <w:t xml:space="preserve"> demonstrated that a large-scale solar power plant can provide a wide range of grid services.</w:t>
      </w:r>
      <w:r w:rsidRPr="009437B9">
        <w:rPr>
          <w:szCs w:val="24"/>
          <w:vertAlign w:val="superscript"/>
        </w:rPr>
        <w:footnoteReference w:id="40"/>
      </w:r>
      <w:r w:rsidRPr="009437B9">
        <w:rPr>
          <w:szCs w:val="24"/>
        </w:rPr>
        <w:t xml:space="preserve"> With support from WETO, a team </w:t>
      </w:r>
      <w:r>
        <w:rPr>
          <w:szCs w:val="24"/>
        </w:rPr>
        <w:t>led by</w:t>
      </w:r>
      <w:r w:rsidRPr="009437B9">
        <w:rPr>
          <w:szCs w:val="24"/>
        </w:rPr>
        <w:t xml:space="preserve"> Avangrid conducted a series of feasibility tests at Tule Wind Farm, located near San Diego.</w:t>
      </w:r>
      <w:r w:rsidRPr="009437B9">
        <w:rPr>
          <w:szCs w:val="24"/>
          <w:vertAlign w:val="superscript"/>
        </w:rPr>
        <w:footnoteReference w:id="41"/>
      </w:r>
      <w:r w:rsidRPr="009437B9">
        <w:rPr>
          <w:szCs w:val="24"/>
        </w:rPr>
        <w:t xml:space="preserve">  The tests determined a large-scale wind plant can provide various grid services to support grid frequency and voltage at different operating conditions.</w:t>
      </w:r>
      <w:r>
        <w:rPr>
          <w:szCs w:val="24"/>
        </w:rPr>
        <w:t xml:space="preserve"> However, s</w:t>
      </w:r>
      <w:r w:rsidRPr="009437B9">
        <w:rPr>
          <w:szCs w:val="24"/>
        </w:rPr>
        <w:t xml:space="preserve">ince IBRs can </w:t>
      </w:r>
      <w:r>
        <w:rPr>
          <w:szCs w:val="24"/>
        </w:rPr>
        <w:t>generall</w:t>
      </w:r>
      <w:r w:rsidRPr="009437B9">
        <w:rPr>
          <w:szCs w:val="24"/>
        </w:rPr>
        <w:t>y provide faster control</w:t>
      </w:r>
      <w:r>
        <w:rPr>
          <w:szCs w:val="24"/>
        </w:rPr>
        <w:t xml:space="preserve"> response</w:t>
      </w:r>
      <w:r w:rsidRPr="009437B9">
        <w:rPr>
          <w:szCs w:val="24"/>
        </w:rPr>
        <w:t>s</w:t>
      </w:r>
      <w:r>
        <w:rPr>
          <w:szCs w:val="24"/>
        </w:rPr>
        <w:t xml:space="preserve"> than synchronous generators</w:t>
      </w:r>
      <w:r w:rsidRPr="009437B9">
        <w:rPr>
          <w:szCs w:val="24"/>
        </w:rPr>
        <w:t xml:space="preserve">, further research and validation are needed for grid services by </w:t>
      </w:r>
      <w:r>
        <w:rPr>
          <w:szCs w:val="24"/>
        </w:rPr>
        <w:t xml:space="preserve">large-scale </w:t>
      </w:r>
      <w:r w:rsidRPr="009437B9">
        <w:rPr>
          <w:szCs w:val="24"/>
        </w:rPr>
        <w:t xml:space="preserve">renewable </w:t>
      </w:r>
      <w:r>
        <w:rPr>
          <w:szCs w:val="24"/>
        </w:rPr>
        <w:t>plants</w:t>
      </w:r>
      <w:r w:rsidRPr="009437B9">
        <w:rPr>
          <w:szCs w:val="24"/>
        </w:rPr>
        <w:t xml:space="preserve"> and/or aggregated DERs.</w:t>
      </w:r>
    </w:p>
    <w:p w14:paraId="6188F2C0" w14:textId="77777777" w:rsidR="00B575AF" w:rsidRDefault="00B575AF" w:rsidP="00253AB8">
      <w:pPr>
        <w:ind w:left="1296"/>
        <w:rPr>
          <w:szCs w:val="24"/>
        </w:rPr>
      </w:pPr>
    </w:p>
    <w:p w14:paraId="7FC2F866" w14:textId="77777777" w:rsidR="00B575AF" w:rsidRDefault="00B575AF" w:rsidP="00B575AF">
      <w:pPr>
        <w:keepNext/>
        <w:ind w:left="1440"/>
      </w:pPr>
      <w:r w:rsidRPr="009437B9">
        <w:rPr>
          <w:noProof/>
          <w:szCs w:val="24"/>
        </w:rPr>
        <w:drawing>
          <wp:inline distT="0" distB="0" distL="0" distR="0" wp14:anchorId="70433404" wp14:editId="5D74B6FD">
            <wp:extent cx="5054548" cy="3256908"/>
            <wp:effectExtent l="0" t="0" r="0" b="1270"/>
            <wp:docPr id="13" name="Picture 1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ar chart&#10;&#10;Description automatically generated"/>
                    <pic:cNvPicPr/>
                  </pic:nvPicPr>
                  <pic:blipFill rotWithShape="1">
                    <a:blip r:embed="rId41" cstate="print">
                      <a:extLst>
                        <a:ext uri="{28A0092B-C50C-407E-A947-70E740481C1C}">
                          <a14:useLocalDpi xmlns:a14="http://schemas.microsoft.com/office/drawing/2010/main" val="0"/>
                        </a:ext>
                      </a:extLst>
                    </a:blip>
                    <a:srcRect/>
                    <a:stretch/>
                  </pic:blipFill>
                  <pic:spPr bwMode="auto">
                    <a:xfrm>
                      <a:off x="0" y="0"/>
                      <a:ext cx="5068347" cy="3265800"/>
                    </a:xfrm>
                    <a:prstGeom prst="rect">
                      <a:avLst/>
                    </a:prstGeom>
                    <a:ln>
                      <a:noFill/>
                    </a:ln>
                    <a:extLst>
                      <a:ext uri="{53640926-AAD7-44D8-BBD7-CCE9431645EC}">
                        <a14:shadowObscured xmlns:a14="http://schemas.microsoft.com/office/drawing/2010/main"/>
                      </a:ext>
                    </a:extLst>
                  </pic:spPr>
                </pic:pic>
              </a:graphicData>
            </a:graphic>
          </wp:inline>
        </w:drawing>
      </w:r>
    </w:p>
    <w:p w14:paraId="75C06081" w14:textId="43B17203" w:rsidR="00B575AF" w:rsidRPr="002F1F62" w:rsidRDefault="00B575AF" w:rsidP="00B575AF">
      <w:pPr>
        <w:pStyle w:val="Caption"/>
        <w:ind w:left="1440"/>
        <w:rPr>
          <w:color w:val="auto"/>
          <w:szCs w:val="24"/>
        </w:rPr>
      </w:pPr>
      <w:bookmarkStart w:id="36" w:name="_Ref93499475"/>
      <w:r w:rsidRPr="002F1F62">
        <w:rPr>
          <w:color w:val="auto"/>
        </w:rPr>
        <w:t xml:space="preserve">Figure </w:t>
      </w:r>
      <w:r w:rsidRPr="002F1F62">
        <w:rPr>
          <w:color w:val="auto"/>
        </w:rPr>
        <w:fldChar w:fldCharType="begin"/>
      </w:r>
      <w:r w:rsidRPr="002F1F62">
        <w:rPr>
          <w:color w:val="auto"/>
        </w:rPr>
        <w:instrText xml:space="preserve"> SEQ Figure \* ARABIC </w:instrText>
      </w:r>
      <w:r w:rsidRPr="002F1F62">
        <w:rPr>
          <w:color w:val="auto"/>
        </w:rPr>
        <w:fldChar w:fldCharType="separate"/>
      </w:r>
      <w:r w:rsidR="00F76881">
        <w:rPr>
          <w:noProof/>
          <w:color w:val="auto"/>
        </w:rPr>
        <w:t>4</w:t>
      </w:r>
      <w:r w:rsidRPr="002F1F62">
        <w:rPr>
          <w:color w:val="auto"/>
        </w:rPr>
        <w:fldChar w:fldCharType="end"/>
      </w:r>
      <w:bookmarkEnd w:id="36"/>
      <w:r w:rsidRPr="002F1F62">
        <w:rPr>
          <w:color w:val="auto"/>
        </w:rPr>
        <w:t>. Percent of system power from solar and wind</w:t>
      </w:r>
      <w:r>
        <w:rPr>
          <w:color w:val="auto"/>
        </w:rPr>
        <w:t xml:space="preserve"> generation</w:t>
      </w:r>
      <w:r w:rsidR="002D7998">
        <w:rPr>
          <w:color w:val="auto"/>
        </w:rPr>
        <w:t xml:space="preserve"> (2019)</w:t>
      </w:r>
      <w:r w:rsidRPr="002F1F62">
        <w:rPr>
          <w:color w:val="auto"/>
        </w:rPr>
        <w:t>.</w:t>
      </w:r>
    </w:p>
    <w:p w14:paraId="50C0530D" w14:textId="77777777" w:rsidR="009F53BA" w:rsidRDefault="009F53BA" w:rsidP="005D4938">
      <w:pPr>
        <w:ind w:left="1440"/>
        <w:rPr>
          <w:szCs w:val="24"/>
        </w:rPr>
      </w:pPr>
    </w:p>
    <w:p w14:paraId="20487E07" w14:textId="0DAF46A2" w:rsidR="00F81AD6" w:rsidRPr="005D4938" w:rsidRDefault="00F76881" w:rsidP="005D4938">
      <w:pPr>
        <w:ind w:left="1440"/>
        <w:rPr>
          <w:szCs w:val="24"/>
        </w:rPr>
      </w:pPr>
      <w:r w:rsidRPr="009437B9">
        <w:rPr>
          <w:szCs w:val="24"/>
        </w:rPr>
        <w:lastRenderedPageBreak/>
        <w:t xml:space="preserve">There are some other research projects on </w:t>
      </w:r>
      <w:r>
        <w:rPr>
          <w:szCs w:val="24"/>
        </w:rPr>
        <w:t xml:space="preserve">the </w:t>
      </w:r>
      <w:r w:rsidRPr="009437B9">
        <w:rPr>
          <w:szCs w:val="24"/>
        </w:rPr>
        <w:t>feasib</w:t>
      </w:r>
      <w:r>
        <w:rPr>
          <w:szCs w:val="24"/>
        </w:rPr>
        <w:t>ility of</w:t>
      </w:r>
      <w:r w:rsidRPr="009437B9">
        <w:rPr>
          <w:szCs w:val="24"/>
        </w:rPr>
        <w:t xml:space="preserve"> coupling of solar, wind</w:t>
      </w:r>
      <w:r>
        <w:rPr>
          <w:szCs w:val="24"/>
        </w:rPr>
        <w:t xml:space="preserve"> and </w:t>
      </w:r>
      <w:r w:rsidRPr="009437B9">
        <w:rPr>
          <w:szCs w:val="24"/>
        </w:rPr>
        <w:t>energy storage</w:t>
      </w:r>
      <w:r>
        <w:rPr>
          <w:szCs w:val="24"/>
        </w:rPr>
        <w:t xml:space="preserve"> resources </w:t>
      </w:r>
      <w:r w:rsidRPr="009437B9">
        <w:rPr>
          <w:szCs w:val="24"/>
        </w:rPr>
        <w:t xml:space="preserve">to provide grid services using hybrid control </w:t>
      </w:r>
      <w:r w:rsidR="009F53BA">
        <w:rPr>
          <w:szCs w:val="24"/>
        </w:rPr>
        <w:t>s</w:t>
      </w:r>
      <w:r w:rsidRPr="009437B9">
        <w:rPr>
          <w:szCs w:val="24"/>
        </w:rPr>
        <w:t>trategies.</w:t>
      </w:r>
      <w:r w:rsidRPr="0011779B">
        <w:rPr>
          <w:rStyle w:val="FootnoteReference"/>
        </w:rPr>
        <w:fldChar w:fldCharType="begin"/>
      </w:r>
      <w:r w:rsidRPr="0011779B">
        <w:rPr>
          <w:rStyle w:val="FootnoteReference"/>
        </w:rPr>
        <w:instrText xml:space="preserve"> NOTEREF _Ref88550601 \h </w:instrText>
      </w:r>
      <w:r>
        <w:rPr>
          <w:rStyle w:val="FootnoteReference"/>
        </w:rPr>
        <w:instrText xml:space="preserve"> \* MERGEFORMAT </w:instrText>
      </w:r>
      <w:r w:rsidRPr="0011779B">
        <w:rPr>
          <w:rStyle w:val="FootnoteReference"/>
        </w:rPr>
      </w:r>
      <w:r w:rsidRPr="0011779B">
        <w:rPr>
          <w:rStyle w:val="FootnoteReference"/>
        </w:rPr>
        <w:fldChar w:fldCharType="separate"/>
      </w:r>
      <w:r w:rsidRPr="0011779B">
        <w:rPr>
          <w:rStyle w:val="FootnoteReference"/>
        </w:rPr>
        <w:t>22</w:t>
      </w:r>
      <w:r w:rsidRPr="0011779B">
        <w:rPr>
          <w:rStyle w:val="FootnoteReference"/>
        </w:rPr>
        <w:fldChar w:fldCharType="end"/>
      </w:r>
      <w:r w:rsidRPr="009437B9">
        <w:rPr>
          <w:szCs w:val="24"/>
          <w:vertAlign w:val="superscript"/>
        </w:rPr>
        <w:t>,</w:t>
      </w:r>
      <w:r w:rsidRPr="009437B9">
        <w:rPr>
          <w:szCs w:val="24"/>
          <w:vertAlign w:val="superscript"/>
        </w:rPr>
        <w:footnoteReference w:id="42"/>
      </w:r>
      <w:r w:rsidRPr="009437B9">
        <w:rPr>
          <w:szCs w:val="24"/>
        </w:rPr>
        <w:t xml:space="preserve"> However, there are still many challenges and gaps to be resolved. Large-scale solar and wind plants typically operate at their maximum capacity</w:t>
      </w:r>
      <w:r>
        <w:t xml:space="preserve"> and</w:t>
      </w:r>
      <w:r w:rsidR="009F53BA">
        <w:t xml:space="preserve"> </w:t>
      </w:r>
      <w:r>
        <w:t>use</w:t>
      </w:r>
      <w:r w:rsidRPr="009437B9">
        <w:rPr>
          <w:szCs w:val="24"/>
        </w:rPr>
        <w:t xml:space="preserve">, </w:t>
      </w:r>
      <w:proofErr w:type="gramStart"/>
      <w:r w:rsidRPr="009437B9">
        <w:rPr>
          <w:szCs w:val="24"/>
        </w:rPr>
        <w:t>storage</w:t>
      </w:r>
      <w:proofErr w:type="gramEnd"/>
      <w:r w:rsidRPr="009437B9">
        <w:rPr>
          <w:szCs w:val="24"/>
        </w:rPr>
        <w:t xml:space="preserve"> and other technologies only to minimize their curtailment.  More sophisticated coupling of these new technologies, empowered with fast centralized, local</w:t>
      </w:r>
      <w:r>
        <w:t>,</w:t>
      </w:r>
      <w:r w:rsidRPr="009437B9">
        <w:rPr>
          <w:szCs w:val="24"/>
        </w:rPr>
        <w:t xml:space="preserve"> and/or hybrid control optimization strategies are needed to test and verify </w:t>
      </w:r>
      <w:r>
        <w:rPr>
          <w:szCs w:val="24"/>
        </w:rPr>
        <w:t>their functionality and value to the system</w:t>
      </w:r>
      <w:r w:rsidRPr="009437B9">
        <w:rPr>
          <w:szCs w:val="24"/>
        </w:rPr>
        <w:t xml:space="preserve">. </w:t>
      </w:r>
      <w:r w:rsidRPr="009437B9">
        <w:rPr>
          <w:szCs w:val="24"/>
          <w:vertAlign w:val="superscript"/>
        </w:rPr>
        <w:footnoteReference w:id="43"/>
      </w:r>
      <w:r w:rsidRPr="009437B9">
        <w:rPr>
          <w:szCs w:val="24"/>
          <w:vertAlign w:val="superscript"/>
        </w:rPr>
        <w:t>,</w:t>
      </w:r>
      <w:r w:rsidRPr="009437B9">
        <w:rPr>
          <w:szCs w:val="24"/>
          <w:vertAlign w:val="superscript"/>
        </w:rPr>
        <w:footnoteReference w:id="44"/>
      </w:r>
      <w:r>
        <w:rPr>
          <w:szCs w:val="24"/>
        </w:rPr>
        <w:t xml:space="preserve"> Additionally, to be implemented in practice, market structures, incentives, or rate cases may need to be developed to compensate for wind and solar plants to operate below full capacity </w:t>
      </w:r>
      <w:proofErr w:type="gramStart"/>
      <w:r>
        <w:rPr>
          <w:szCs w:val="24"/>
        </w:rPr>
        <w:t>in order to</w:t>
      </w:r>
      <w:proofErr w:type="gramEnd"/>
      <w:r>
        <w:rPr>
          <w:szCs w:val="24"/>
        </w:rPr>
        <w:t xml:space="preserve"> provide grid services. The development of these incentives is beyond the scope of this topic, but this topic will include a cost-benefit analysis of these grid services.</w:t>
      </w:r>
    </w:p>
    <w:p w14:paraId="5D5CF2DF" w14:textId="77777777" w:rsidR="00F81AD6" w:rsidRDefault="00F81AD6" w:rsidP="005D4938">
      <w:pPr>
        <w:ind w:left="1440"/>
        <w:rPr>
          <w:b/>
          <w:bCs/>
        </w:rPr>
      </w:pPr>
    </w:p>
    <w:p w14:paraId="27846DE9" w14:textId="18179FDF" w:rsidR="00B575AF" w:rsidRDefault="00B575AF" w:rsidP="005D4938">
      <w:pPr>
        <w:ind w:left="1440"/>
        <w:rPr>
          <w:b/>
          <w:bCs/>
        </w:rPr>
      </w:pPr>
      <w:r>
        <w:rPr>
          <w:b/>
          <w:bCs/>
        </w:rPr>
        <w:t>Topic Objectives</w:t>
      </w:r>
    </w:p>
    <w:p w14:paraId="01D6F1BC" w14:textId="77777777" w:rsidR="004B4DBC" w:rsidRDefault="004B4DBC" w:rsidP="00253AB8">
      <w:pPr>
        <w:ind w:left="1296"/>
        <w:rPr>
          <w:rFonts w:ascii="Calibri" w:hAnsi="Calibri"/>
        </w:rPr>
      </w:pPr>
    </w:p>
    <w:p w14:paraId="5D411712" w14:textId="77777777" w:rsidR="00F76881" w:rsidRPr="005A5E00" w:rsidRDefault="00F76881" w:rsidP="00F76881">
      <w:pPr>
        <w:ind w:left="1440"/>
        <w:rPr>
          <w:rFonts w:ascii="Calibri" w:hAnsi="Calibri"/>
        </w:rPr>
      </w:pPr>
      <w:r w:rsidRPr="005A5E00">
        <w:rPr>
          <w:rFonts w:ascii="Calibri" w:hAnsi="Calibri"/>
        </w:rPr>
        <w:t xml:space="preserve">SETO and WETO plan to fund field demonstrations that integrate a combination of solar, wind, storage, </w:t>
      </w:r>
      <w:r w:rsidRPr="005A5E00" w:rsidDel="007511DE">
        <w:rPr>
          <w:rFonts w:ascii="Calibri" w:hAnsi="Calibri"/>
        </w:rPr>
        <w:t>and</w:t>
      </w:r>
      <w:r w:rsidRPr="005A5E00">
        <w:rPr>
          <w:rFonts w:ascii="Calibri" w:hAnsi="Calibri"/>
        </w:rPr>
        <w:t>/or aggregated distributed energy resource (DERs) using centralized and/or local controls to provide grid services.  This section covers the primary focus and goals of this topic area, as well as technical requirements for the field demonstrations.</w:t>
      </w:r>
    </w:p>
    <w:p w14:paraId="251F0367" w14:textId="77777777" w:rsidR="00F76881" w:rsidRPr="005A5E00" w:rsidRDefault="00F76881" w:rsidP="00F76881">
      <w:pPr>
        <w:ind w:left="1440"/>
        <w:rPr>
          <w:rFonts w:ascii="Calibri" w:hAnsi="Calibri"/>
          <w:bCs/>
        </w:rPr>
      </w:pPr>
    </w:p>
    <w:p w14:paraId="31D2558B" w14:textId="3B33488B" w:rsidR="00F76881" w:rsidRPr="005A5E00" w:rsidRDefault="00F76881" w:rsidP="00F76881">
      <w:pPr>
        <w:ind w:left="1440"/>
        <w:rPr>
          <w:rFonts w:ascii="Calibri" w:hAnsi="Calibri"/>
        </w:rPr>
      </w:pPr>
      <w:r w:rsidRPr="005A5E00">
        <w:rPr>
          <w:rFonts w:ascii="Calibri" w:hAnsi="Calibri"/>
        </w:rPr>
        <w:t>Electric power system operators and planners need to gain confidence that inverter-based resources, such solar</w:t>
      </w:r>
      <w:r>
        <w:rPr>
          <w:rFonts w:ascii="Calibri" w:hAnsi="Calibri"/>
        </w:rPr>
        <w:t xml:space="preserve"> and</w:t>
      </w:r>
      <w:r w:rsidRPr="005A5E00">
        <w:rPr>
          <w:rFonts w:ascii="Calibri" w:hAnsi="Calibri"/>
        </w:rPr>
        <w:t xml:space="preserve"> wind</w:t>
      </w:r>
      <w:r>
        <w:rPr>
          <w:rFonts w:ascii="Calibri" w:hAnsi="Calibri"/>
        </w:rPr>
        <w:t xml:space="preserve"> generation, and/or storage plants and other aggregated DERs </w:t>
      </w:r>
      <w:r w:rsidRPr="005A5E00">
        <w:rPr>
          <w:rFonts w:ascii="Calibri" w:hAnsi="Calibri"/>
        </w:rPr>
        <w:t>can provide grid services over extended periods of time under several different conditions</w:t>
      </w:r>
      <w:r w:rsidRPr="00A509B5">
        <w:rPr>
          <w:rFonts w:ascii="Calibri" w:hAnsi="Calibri"/>
        </w:rPr>
        <w:t xml:space="preserve"> </w:t>
      </w:r>
      <w:r w:rsidRPr="005A5E00">
        <w:rPr>
          <w:rFonts w:ascii="Calibri" w:hAnsi="Calibri"/>
        </w:rPr>
        <w:t xml:space="preserve">as a seamless part of </w:t>
      </w:r>
      <w:r>
        <w:rPr>
          <w:rFonts w:ascii="Calibri" w:hAnsi="Calibri"/>
        </w:rPr>
        <w:t xml:space="preserve">the </w:t>
      </w:r>
      <w:r w:rsidRPr="005A5E00">
        <w:rPr>
          <w:rFonts w:ascii="Calibri" w:hAnsi="Calibri"/>
        </w:rPr>
        <w:t>large</w:t>
      </w:r>
      <w:r>
        <w:rPr>
          <w:rFonts w:ascii="Calibri" w:hAnsi="Calibri"/>
        </w:rPr>
        <w:t>r</w:t>
      </w:r>
      <w:r w:rsidRPr="005A5E00">
        <w:rPr>
          <w:rFonts w:ascii="Calibri" w:hAnsi="Calibri"/>
        </w:rPr>
        <w:t xml:space="preserve"> grid. The demonstration size of the </w:t>
      </w:r>
      <w:r>
        <w:rPr>
          <w:rFonts w:ascii="Calibri" w:hAnsi="Calibri"/>
        </w:rPr>
        <w:t>plants</w:t>
      </w:r>
      <w:r w:rsidRPr="005A5E00">
        <w:rPr>
          <w:rFonts w:ascii="Calibri" w:hAnsi="Calibri"/>
        </w:rPr>
        <w:t xml:space="preserve"> participating in providing these services needs to be large enough to set precedents for designing and introducing new tariff requirements, contract options, and electric power market products. Such demonstrations need to be implemented under conditions where the instantaneous penetration of renewables is high enough to provide confidence in reaching the renewable and clean energy targets adopted by the federal government</w:t>
      </w:r>
      <w:r w:rsidRPr="005A5E00">
        <w:rPr>
          <w:rFonts w:ascii="Calibri" w:hAnsi="Calibri" w:cs="Calibri"/>
          <w:sz w:val="18"/>
          <w:szCs w:val="24"/>
          <w:vertAlign w:val="superscript"/>
        </w:rPr>
        <w:footnoteReference w:id="45"/>
      </w:r>
      <w:r w:rsidRPr="005A5E00">
        <w:rPr>
          <w:rFonts w:ascii="Calibri" w:hAnsi="Calibri"/>
        </w:rPr>
        <w:t xml:space="preserve"> and many states</w:t>
      </w:r>
      <w:r w:rsidR="00B56C3E">
        <w:rPr>
          <w:rFonts w:ascii="Calibri" w:hAnsi="Calibri"/>
        </w:rPr>
        <w:t>.</w:t>
      </w:r>
      <w:r w:rsidRPr="005A5E00">
        <w:rPr>
          <w:rFonts w:ascii="Calibri" w:hAnsi="Calibri" w:cs="Calibri"/>
          <w:sz w:val="18"/>
          <w:szCs w:val="24"/>
          <w:vertAlign w:val="superscript"/>
        </w:rPr>
        <w:footnoteReference w:id="46"/>
      </w:r>
      <w:r w:rsidRPr="005A5E00">
        <w:rPr>
          <w:rFonts w:ascii="Calibri" w:hAnsi="Calibri"/>
        </w:rPr>
        <w:t xml:space="preserve"> </w:t>
      </w:r>
      <w:r w:rsidR="00B109E2">
        <w:rPr>
          <w:rFonts w:ascii="Calibri" w:hAnsi="Calibri"/>
        </w:rPr>
        <w:t xml:space="preserve">See </w:t>
      </w:r>
      <w:r w:rsidR="00B109E2" w:rsidRPr="00B109E2">
        <w:rPr>
          <w:rFonts w:ascii="Calibri" w:hAnsi="Calibri"/>
          <w:szCs w:val="24"/>
        </w:rPr>
        <w:fldChar w:fldCharType="begin"/>
      </w:r>
      <w:r w:rsidR="00B109E2" w:rsidRPr="00B109E2">
        <w:rPr>
          <w:rFonts w:ascii="Calibri" w:hAnsi="Calibri"/>
          <w:szCs w:val="24"/>
        </w:rPr>
        <w:instrText xml:space="preserve"> REF _Ref91753726 \h  \* MERGEFORMAT </w:instrText>
      </w:r>
      <w:r w:rsidR="00B109E2" w:rsidRPr="00B109E2">
        <w:rPr>
          <w:rFonts w:ascii="Calibri" w:hAnsi="Calibri"/>
          <w:szCs w:val="24"/>
        </w:rPr>
      </w:r>
      <w:r w:rsidR="00B109E2" w:rsidRPr="00B109E2">
        <w:rPr>
          <w:rFonts w:ascii="Calibri" w:hAnsi="Calibri"/>
          <w:szCs w:val="24"/>
        </w:rPr>
        <w:fldChar w:fldCharType="separate"/>
      </w:r>
      <w:r w:rsidR="00B109E2" w:rsidRPr="00B109E2">
        <w:rPr>
          <w:rFonts w:ascii="Calibri" w:hAnsi="Calibri"/>
          <w:szCs w:val="24"/>
        </w:rPr>
        <w:t xml:space="preserve">Table </w:t>
      </w:r>
      <w:r w:rsidR="00B109E2" w:rsidRPr="00B109E2">
        <w:rPr>
          <w:rFonts w:ascii="Calibri" w:hAnsi="Calibri"/>
          <w:noProof/>
          <w:szCs w:val="24"/>
        </w:rPr>
        <w:t>2</w:t>
      </w:r>
      <w:r w:rsidR="00B109E2" w:rsidRPr="00B109E2">
        <w:rPr>
          <w:rFonts w:ascii="Calibri" w:hAnsi="Calibri"/>
          <w:szCs w:val="24"/>
        </w:rPr>
        <w:fldChar w:fldCharType="end"/>
      </w:r>
      <w:r w:rsidR="00B109E2">
        <w:rPr>
          <w:rFonts w:ascii="Calibri" w:hAnsi="Calibri"/>
        </w:rPr>
        <w:t xml:space="preserve"> for a list of requirements for the demonstration projects applying to this topic area. </w:t>
      </w:r>
      <w:r w:rsidRPr="005A5E00">
        <w:rPr>
          <w:rFonts w:ascii="Calibri" w:hAnsi="Calibri"/>
        </w:rPr>
        <w:t>These projects should provide sufficient historical data and experience to derive robust requirements for telecommunications infrastructure needed for real-time response from the solar and/or wind generation units participating in the projects. Several different optimization strategies should be tested to ensure that these units can follow the central control signals from the utility or the ISO</w:t>
      </w:r>
      <w:r w:rsidR="009F53BA">
        <w:rPr>
          <w:rFonts w:ascii="Calibri" w:hAnsi="Calibri"/>
        </w:rPr>
        <w:t>/RTO</w:t>
      </w:r>
      <w:r w:rsidRPr="005A5E00">
        <w:rPr>
          <w:rFonts w:ascii="Calibri" w:hAnsi="Calibri"/>
        </w:rPr>
        <w:t xml:space="preserve"> within small allowable tolerances.</w:t>
      </w:r>
    </w:p>
    <w:p w14:paraId="6D288824" w14:textId="77777777" w:rsidR="00F76881" w:rsidRPr="005A5E00" w:rsidRDefault="00F76881" w:rsidP="00F76881">
      <w:pPr>
        <w:ind w:left="1440"/>
        <w:rPr>
          <w:rFonts w:ascii="Calibri" w:hAnsi="Calibri"/>
          <w:bCs/>
        </w:rPr>
      </w:pPr>
    </w:p>
    <w:p w14:paraId="4141E00B" w14:textId="25DEC59E" w:rsidR="002D7998" w:rsidRPr="005D4938" w:rsidRDefault="00F76881" w:rsidP="005D4938">
      <w:pPr>
        <w:ind w:left="1440"/>
        <w:rPr>
          <w:rFonts w:ascii="Calibri" w:hAnsi="Calibri"/>
        </w:rPr>
      </w:pPr>
      <w:r w:rsidRPr="005A5E00">
        <w:rPr>
          <w:rFonts w:ascii="Calibri" w:hAnsi="Calibri"/>
        </w:rPr>
        <w:t xml:space="preserve">Successful applications are expected to combine </w:t>
      </w:r>
      <w:r w:rsidR="00B56C3E">
        <w:rPr>
          <w:rFonts w:ascii="Calibri" w:hAnsi="Calibri"/>
        </w:rPr>
        <w:t xml:space="preserve">at least 10 MW of </w:t>
      </w:r>
      <w:r w:rsidRPr="005A5E00">
        <w:rPr>
          <w:rFonts w:ascii="Calibri" w:hAnsi="Calibri"/>
        </w:rPr>
        <w:t>solar, wind, storage and/or aggregated DERs to provide traditional and emerging grid services. These projects will need to develop centralized and/or autonomous local controls that demonstrate the feasibility of the proposed solutions over a well-defined field validation process and period</w:t>
      </w:r>
      <w:r w:rsidR="003D30A7">
        <w:rPr>
          <w:rFonts w:ascii="Calibri" w:hAnsi="Calibri"/>
        </w:rPr>
        <w:t>, which will last no less than 6 months</w:t>
      </w:r>
      <w:r w:rsidRPr="005A5E00">
        <w:rPr>
          <w:rFonts w:ascii="Calibri" w:hAnsi="Calibri"/>
        </w:rPr>
        <w:t xml:space="preserve">.  </w:t>
      </w:r>
    </w:p>
    <w:p w14:paraId="730DC563" w14:textId="77777777" w:rsidR="00F76881" w:rsidRPr="005A5E00" w:rsidRDefault="00F76881" w:rsidP="00F76881">
      <w:pPr>
        <w:ind w:left="720"/>
        <w:rPr>
          <w:rFonts w:ascii="Calibri" w:hAnsi="Calibri"/>
          <w:bCs/>
        </w:rPr>
      </w:pPr>
    </w:p>
    <w:p w14:paraId="7B5BBBC0" w14:textId="173CE48F" w:rsidR="00B575AF" w:rsidRDefault="00F76881" w:rsidP="00F76881">
      <w:pPr>
        <w:ind w:left="1440"/>
        <w:rPr>
          <w:rFonts w:ascii="Calibri" w:hAnsi="Calibri" w:cs="Calibri"/>
          <w:szCs w:val="24"/>
        </w:rPr>
      </w:pPr>
      <w:r w:rsidRPr="005A5E00">
        <w:rPr>
          <w:rFonts w:ascii="Calibri" w:hAnsi="Calibri" w:cs="Calibri"/>
          <w:szCs w:val="24"/>
        </w:rPr>
        <w:t xml:space="preserve">For this topic, the grid services to be provided by </w:t>
      </w:r>
      <w:r w:rsidRPr="005A5E00">
        <w:rPr>
          <w:rFonts w:ascii="Calibri" w:hAnsi="Calibri"/>
          <w:bCs/>
        </w:rPr>
        <w:t xml:space="preserve">renewable generation and/or </w:t>
      </w:r>
      <w:r w:rsidRPr="005A5E00">
        <w:rPr>
          <w:rFonts w:ascii="Calibri" w:hAnsi="Calibri"/>
        </w:rPr>
        <w:t xml:space="preserve">aggregated distributed </w:t>
      </w:r>
      <w:r w:rsidRPr="005A5E00">
        <w:rPr>
          <w:rFonts w:ascii="Calibri" w:hAnsi="Calibri"/>
          <w:bCs/>
        </w:rPr>
        <w:t>energy resource</w:t>
      </w:r>
      <w:r>
        <w:rPr>
          <w:rFonts w:ascii="Calibri" w:hAnsi="Calibri"/>
          <w:bCs/>
        </w:rPr>
        <w:t>s</w:t>
      </w:r>
      <w:r w:rsidRPr="005A5E00">
        <w:rPr>
          <w:rFonts w:ascii="Calibri" w:hAnsi="Calibri"/>
          <w:bCs/>
        </w:rPr>
        <w:t xml:space="preserve"> </w:t>
      </w:r>
      <w:r w:rsidRPr="005A5E00">
        <w:rPr>
          <w:rFonts w:ascii="Calibri" w:hAnsi="Calibri" w:cs="Calibri"/>
          <w:szCs w:val="24"/>
        </w:rPr>
        <w:t>include, but are not limited to, the following services:</w:t>
      </w:r>
    </w:p>
    <w:p w14:paraId="5FF64900" w14:textId="77777777" w:rsidR="002F6C40" w:rsidRDefault="002F6C40" w:rsidP="00253AB8">
      <w:pPr>
        <w:ind w:left="1296"/>
        <w:rPr>
          <w:rFonts w:ascii="Calibri" w:hAnsi="Calibri" w:cs="Calibri"/>
          <w:szCs w:val="24"/>
        </w:rPr>
      </w:pPr>
    </w:p>
    <w:p w14:paraId="51AF4A2D" w14:textId="77777777" w:rsidR="00B575AF" w:rsidRPr="002F6C40" w:rsidRDefault="00B575AF" w:rsidP="00F836F4">
      <w:pPr>
        <w:jc w:val="center"/>
        <w:rPr>
          <w:rFonts w:ascii="Calibri" w:hAnsi="Calibri" w:cs="Calibri"/>
          <w:i/>
          <w:sz w:val="18"/>
          <w:szCs w:val="18"/>
        </w:rPr>
      </w:pPr>
      <w:r w:rsidRPr="002F6C40">
        <w:rPr>
          <w:rFonts w:ascii="Calibri" w:hAnsi="Calibri"/>
          <w:i/>
          <w:sz w:val="18"/>
          <w:szCs w:val="18"/>
        </w:rPr>
        <w:t xml:space="preserve">Table </w:t>
      </w:r>
      <w:r w:rsidRPr="002F6C40">
        <w:rPr>
          <w:rFonts w:ascii="Calibri" w:hAnsi="Calibri"/>
          <w:i/>
          <w:sz w:val="18"/>
          <w:szCs w:val="18"/>
        </w:rPr>
        <w:fldChar w:fldCharType="begin"/>
      </w:r>
      <w:r w:rsidRPr="002F6C40">
        <w:rPr>
          <w:rFonts w:ascii="Calibri" w:hAnsi="Calibri"/>
          <w:i/>
          <w:sz w:val="18"/>
          <w:szCs w:val="18"/>
        </w:rPr>
        <w:instrText xml:space="preserve"> SEQ Table \* ARABIC </w:instrText>
      </w:r>
      <w:r w:rsidRPr="002F6C40">
        <w:rPr>
          <w:rFonts w:ascii="Calibri" w:hAnsi="Calibri"/>
          <w:i/>
          <w:sz w:val="18"/>
          <w:szCs w:val="18"/>
        </w:rPr>
        <w:fldChar w:fldCharType="separate"/>
      </w:r>
      <w:r w:rsidRPr="002F6C40">
        <w:rPr>
          <w:rFonts w:ascii="Calibri" w:hAnsi="Calibri"/>
          <w:i/>
          <w:noProof/>
          <w:sz w:val="18"/>
          <w:szCs w:val="18"/>
        </w:rPr>
        <w:t>1</w:t>
      </w:r>
      <w:r w:rsidRPr="002F6C40">
        <w:rPr>
          <w:rFonts w:ascii="Calibri" w:hAnsi="Calibri"/>
          <w:i/>
          <w:noProof/>
          <w:sz w:val="18"/>
          <w:szCs w:val="18"/>
        </w:rPr>
        <w:fldChar w:fldCharType="end"/>
      </w:r>
      <w:r w:rsidRPr="002F6C40">
        <w:rPr>
          <w:rFonts w:ascii="Calibri" w:hAnsi="Calibri"/>
          <w:i/>
          <w:sz w:val="18"/>
          <w:szCs w:val="18"/>
        </w:rPr>
        <w:t>: Grid Services</w:t>
      </w:r>
    </w:p>
    <w:tbl>
      <w:tblPr>
        <w:tblStyle w:val="TableGrid1"/>
        <w:tblW w:w="8820" w:type="dxa"/>
        <w:jc w:val="center"/>
        <w:tblLook w:val="04A0" w:firstRow="1" w:lastRow="0" w:firstColumn="1" w:lastColumn="0" w:noHBand="0" w:noVBand="1"/>
      </w:tblPr>
      <w:tblGrid>
        <w:gridCol w:w="1738"/>
        <w:gridCol w:w="2161"/>
        <w:gridCol w:w="2083"/>
        <w:gridCol w:w="2838"/>
      </w:tblGrid>
      <w:tr w:rsidR="00B575AF" w:rsidRPr="005A5E00" w14:paraId="7300E200" w14:textId="77777777" w:rsidTr="00822FCC">
        <w:trPr>
          <w:jc w:val="center"/>
        </w:trPr>
        <w:tc>
          <w:tcPr>
            <w:tcW w:w="1738" w:type="dxa"/>
            <w:shd w:val="clear" w:color="auto" w:fill="B8CCE4" w:themeFill="accent1" w:themeFillTint="66"/>
          </w:tcPr>
          <w:p w14:paraId="4CBD7BD6" w14:textId="77777777" w:rsidR="00B575AF" w:rsidRPr="005D4938" w:rsidRDefault="00B575AF" w:rsidP="00822FCC">
            <w:pPr>
              <w:rPr>
                <w:rFonts w:cstheme="minorHAnsi"/>
                <w:sz w:val="20"/>
                <w:szCs w:val="20"/>
              </w:rPr>
            </w:pPr>
            <w:r w:rsidRPr="005D4938">
              <w:rPr>
                <w:rFonts w:cstheme="minorHAnsi"/>
                <w:sz w:val="20"/>
                <w:szCs w:val="20"/>
              </w:rPr>
              <w:t>Grid Service Category</w:t>
            </w:r>
          </w:p>
        </w:tc>
        <w:tc>
          <w:tcPr>
            <w:tcW w:w="2161" w:type="dxa"/>
            <w:shd w:val="clear" w:color="auto" w:fill="B8CCE4" w:themeFill="accent1" w:themeFillTint="66"/>
          </w:tcPr>
          <w:p w14:paraId="1C449244" w14:textId="77777777" w:rsidR="00B575AF" w:rsidRPr="005D4938" w:rsidRDefault="00B575AF" w:rsidP="00822FCC">
            <w:pPr>
              <w:rPr>
                <w:rFonts w:cstheme="minorHAnsi"/>
                <w:sz w:val="20"/>
                <w:szCs w:val="20"/>
              </w:rPr>
            </w:pPr>
            <w:r w:rsidRPr="005D4938">
              <w:rPr>
                <w:rFonts w:cstheme="minorHAnsi"/>
                <w:sz w:val="20"/>
                <w:szCs w:val="20"/>
              </w:rPr>
              <w:t>Grid Service Product Name</w:t>
            </w:r>
          </w:p>
        </w:tc>
        <w:tc>
          <w:tcPr>
            <w:tcW w:w="2083" w:type="dxa"/>
            <w:shd w:val="clear" w:color="auto" w:fill="B8CCE4" w:themeFill="accent1" w:themeFillTint="66"/>
          </w:tcPr>
          <w:p w14:paraId="0DAC0629" w14:textId="77777777" w:rsidR="00B575AF" w:rsidRPr="005D4938" w:rsidRDefault="00B575AF" w:rsidP="00822FCC">
            <w:pPr>
              <w:rPr>
                <w:rFonts w:cstheme="minorHAnsi"/>
                <w:sz w:val="20"/>
                <w:szCs w:val="20"/>
              </w:rPr>
            </w:pPr>
            <w:r w:rsidRPr="005D4938">
              <w:rPr>
                <w:rFonts w:cstheme="minorHAnsi"/>
                <w:sz w:val="20"/>
                <w:szCs w:val="20"/>
              </w:rPr>
              <w:t>Control Action</w:t>
            </w:r>
          </w:p>
        </w:tc>
        <w:tc>
          <w:tcPr>
            <w:tcW w:w="2838" w:type="dxa"/>
            <w:shd w:val="clear" w:color="auto" w:fill="B8CCE4" w:themeFill="accent1" w:themeFillTint="66"/>
          </w:tcPr>
          <w:p w14:paraId="1B750300" w14:textId="77777777" w:rsidR="00B575AF" w:rsidRPr="005D4938" w:rsidRDefault="00B575AF" w:rsidP="00822FCC">
            <w:pPr>
              <w:rPr>
                <w:rFonts w:cstheme="minorHAnsi"/>
                <w:sz w:val="20"/>
                <w:szCs w:val="20"/>
              </w:rPr>
            </w:pPr>
            <w:r w:rsidRPr="005D4938">
              <w:rPr>
                <w:rFonts w:cstheme="minorHAnsi"/>
                <w:sz w:val="20"/>
                <w:szCs w:val="20"/>
              </w:rPr>
              <w:t>Control Purpose</w:t>
            </w:r>
          </w:p>
        </w:tc>
      </w:tr>
      <w:tr w:rsidR="00B575AF" w:rsidRPr="005A5E00" w14:paraId="5028D050" w14:textId="77777777" w:rsidTr="00822FCC">
        <w:trPr>
          <w:jc w:val="center"/>
        </w:trPr>
        <w:tc>
          <w:tcPr>
            <w:tcW w:w="1738" w:type="dxa"/>
            <w:vMerge w:val="restart"/>
            <w:vAlign w:val="center"/>
          </w:tcPr>
          <w:p w14:paraId="03EB1363" w14:textId="77777777" w:rsidR="00B575AF" w:rsidRPr="005D4938" w:rsidRDefault="00B575AF" w:rsidP="00822FCC">
            <w:pPr>
              <w:rPr>
                <w:rFonts w:cstheme="minorHAnsi"/>
                <w:sz w:val="20"/>
                <w:szCs w:val="20"/>
              </w:rPr>
            </w:pPr>
            <w:r w:rsidRPr="005D4938">
              <w:rPr>
                <w:rFonts w:cstheme="minorHAnsi"/>
                <w:sz w:val="20"/>
                <w:szCs w:val="20"/>
              </w:rPr>
              <w:t>Non-event Operating Reserves</w:t>
            </w:r>
          </w:p>
        </w:tc>
        <w:tc>
          <w:tcPr>
            <w:tcW w:w="2161" w:type="dxa"/>
          </w:tcPr>
          <w:p w14:paraId="6C537A54" w14:textId="77777777" w:rsidR="00B575AF" w:rsidRPr="005D4938" w:rsidRDefault="00B575AF" w:rsidP="00822FCC">
            <w:pPr>
              <w:rPr>
                <w:rFonts w:cstheme="minorHAnsi"/>
                <w:sz w:val="20"/>
                <w:szCs w:val="20"/>
              </w:rPr>
            </w:pPr>
            <w:r w:rsidRPr="005D4938">
              <w:rPr>
                <w:rFonts w:cstheme="minorHAnsi"/>
                <w:sz w:val="20"/>
                <w:szCs w:val="20"/>
              </w:rPr>
              <w:t xml:space="preserve">Regulating </w:t>
            </w:r>
          </w:p>
        </w:tc>
        <w:tc>
          <w:tcPr>
            <w:tcW w:w="2083" w:type="dxa"/>
          </w:tcPr>
          <w:p w14:paraId="5988DFA6" w14:textId="77777777" w:rsidR="00B575AF" w:rsidRPr="005D4938" w:rsidRDefault="00B575AF" w:rsidP="00822FCC">
            <w:pPr>
              <w:rPr>
                <w:rFonts w:cstheme="minorHAnsi"/>
                <w:sz w:val="20"/>
                <w:szCs w:val="20"/>
              </w:rPr>
            </w:pPr>
            <w:r w:rsidRPr="005D4938">
              <w:rPr>
                <w:rFonts w:cstheme="minorHAnsi"/>
                <w:sz w:val="20"/>
                <w:szCs w:val="20"/>
              </w:rPr>
              <w:t>Automatic generator control (AGC) within optimal dispatch</w:t>
            </w:r>
          </w:p>
        </w:tc>
        <w:tc>
          <w:tcPr>
            <w:tcW w:w="2838" w:type="dxa"/>
          </w:tcPr>
          <w:p w14:paraId="72F8DC50" w14:textId="77777777" w:rsidR="00B575AF" w:rsidRPr="005D4938" w:rsidRDefault="00B575AF" w:rsidP="00822FCC">
            <w:pPr>
              <w:rPr>
                <w:rFonts w:cstheme="minorHAnsi"/>
                <w:sz w:val="20"/>
                <w:szCs w:val="20"/>
              </w:rPr>
            </w:pPr>
            <w:r w:rsidRPr="005D4938">
              <w:rPr>
                <w:rFonts w:cstheme="minorHAnsi"/>
                <w:sz w:val="20"/>
                <w:szCs w:val="20"/>
              </w:rPr>
              <w:t>Correct the current area control error (ACE)</w:t>
            </w:r>
          </w:p>
        </w:tc>
      </w:tr>
      <w:tr w:rsidR="00B575AF" w:rsidRPr="005A5E00" w14:paraId="4EFE7FDA" w14:textId="77777777" w:rsidTr="00822FCC">
        <w:trPr>
          <w:trHeight w:val="683"/>
          <w:jc w:val="center"/>
        </w:trPr>
        <w:tc>
          <w:tcPr>
            <w:tcW w:w="1738" w:type="dxa"/>
            <w:vMerge/>
            <w:vAlign w:val="center"/>
          </w:tcPr>
          <w:p w14:paraId="48CC7297" w14:textId="77777777" w:rsidR="00B575AF" w:rsidRPr="005D4938" w:rsidRDefault="00B575AF" w:rsidP="00822FCC">
            <w:pPr>
              <w:rPr>
                <w:rFonts w:cstheme="minorHAnsi"/>
                <w:sz w:val="20"/>
                <w:szCs w:val="20"/>
              </w:rPr>
            </w:pPr>
          </w:p>
        </w:tc>
        <w:tc>
          <w:tcPr>
            <w:tcW w:w="2161" w:type="dxa"/>
          </w:tcPr>
          <w:p w14:paraId="6654E96A" w14:textId="77777777" w:rsidR="00B575AF" w:rsidRPr="005D4938" w:rsidRDefault="00B575AF" w:rsidP="00822FCC">
            <w:pPr>
              <w:rPr>
                <w:rFonts w:cstheme="minorHAnsi"/>
                <w:sz w:val="20"/>
                <w:szCs w:val="20"/>
              </w:rPr>
            </w:pPr>
            <w:r w:rsidRPr="005D4938">
              <w:rPr>
                <w:rFonts w:cstheme="minorHAnsi"/>
                <w:sz w:val="20"/>
                <w:szCs w:val="20"/>
              </w:rPr>
              <w:t xml:space="preserve">Following </w:t>
            </w:r>
          </w:p>
        </w:tc>
        <w:tc>
          <w:tcPr>
            <w:tcW w:w="2083" w:type="dxa"/>
          </w:tcPr>
          <w:p w14:paraId="628B6A30" w14:textId="77777777" w:rsidR="00B575AF" w:rsidRPr="005D4938" w:rsidRDefault="00B575AF" w:rsidP="00822FCC">
            <w:pPr>
              <w:rPr>
                <w:rFonts w:cstheme="minorHAnsi"/>
                <w:sz w:val="20"/>
                <w:szCs w:val="20"/>
              </w:rPr>
            </w:pPr>
            <w:r w:rsidRPr="005D4938">
              <w:rPr>
                <w:rFonts w:cstheme="minorHAnsi"/>
                <w:sz w:val="20"/>
                <w:szCs w:val="20"/>
              </w:rPr>
              <w:t>Manual (part of optimal dispatch)</w:t>
            </w:r>
          </w:p>
        </w:tc>
        <w:tc>
          <w:tcPr>
            <w:tcW w:w="2838" w:type="dxa"/>
          </w:tcPr>
          <w:p w14:paraId="197595BF" w14:textId="77777777" w:rsidR="00B575AF" w:rsidRPr="005D4938" w:rsidRDefault="00B575AF" w:rsidP="00822FCC">
            <w:pPr>
              <w:rPr>
                <w:rFonts w:cstheme="minorHAnsi"/>
                <w:sz w:val="20"/>
                <w:szCs w:val="20"/>
              </w:rPr>
            </w:pPr>
            <w:r w:rsidRPr="005D4938">
              <w:rPr>
                <w:rFonts w:cstheme="minorHAnsi"/>
                <w:sz w:val="20"/>
                <w:szCs w:val="20"/>
              </w:rPr>
              <w:t>Correct the anticipated ACE</w:t>
            </w:r>
          </w:p>
        </w:tc>
      </w:tr>
      <w:tr w:rsidR="00B575AF" w:rsidRPr="005A5E00" w14:paraId="792355A1" w14:textId="77777777" w:rsidTr="00822FCC">
        <w:trPr>
          <w:jc w:val="center"/>
        </w:trPr>
        <w:tc>
          <w:tcPr>
            <w:tcW w:w="1738" w:type="dxa"/>
            <w:vMerge w:val="restart"/>
            <w:vAlign w:val="center"/>
          </w:tcPr>
          <w:p w14:paraId="147BA245" w14:textId="77777777" w:rsidR="00B575AF" w:rsidRPr="005D4938" w:rsidRDefault="00B575AF" w:rsidP="00822FCC">
            <w:pPr>
              <w:rPr>
                <w:rFonts w:cstheme="minorHAnsi"/>
                <w:sz w:val="20"/>
                <w:szCs w:val="20"/>
              </w:rPr>
            </w:pPr>
            <w:r w:rsidRPr="005D4938">
              <w:rPr>
                <w:rFonts w:cstheme="minorHAnsi"/>
                <w:sz w:val="20"/>
                <w:szCs w:val="20"/>
              </w:rPr>
              <w:t>Event-Based Operating Reserves</w:t>
            </w:r>
          </w:p>
        </w:tc>
        <w:tc>
          <w:tcPr>
            <w:tcW w:w="2161" w:type="dxa"/>
            <w:vMerge w:val="restart"/>
            <w:vAlign w:val="center"/>
          </w:tcPr>
          <w:p w14:paraId="660CDCE6" w14:textId="77777777" w:rsidR="00B575AF" w:rsidRPr="005D4938" w:rsidRDefault="00B575AF" w:rsidP="00822FCC">
            <w:pPr>
              <w:rPr>
                <w:rFonts w:cstheme="minorHAnsi"/>
                <w:sz w:val="20"/>
                <w:szCs w:val="20"/>
              </w:rPr>
            </w:pPr>
            <w:r w:rsidRPr="005D4938">
              <w:rPr>
                <w:rFonts w:cstheme="minorHAnsi"/>
                <w:sz w:val="20"/>
                <w:szCs w:val="20"/>
              </w:rPr>
              <w:t>Contingency (in response to instantaneous events)</w:t>
            </w:r>
          </w:p>
        </w:tc>
        <w:tc>
          <w:tcPr>
            <w:tcW w:w="2083" w:type="dxa"/>
          </w:tcPr>
          <w:p w14:paraId="1683475D" w14:textId="77777777" w:rsidR="00B575AF" w:rsidRPr="005D4938" w:rsidRDefault="00B575AF" w:rsidP="00822FCC">
            <w:pPr>
              <w:rPr>
                <w:rFonts w:cstheme="minorHAnsi"/>
                <w:sz w:val="20"/>
                <w:szCs w:val="20"/>
              </w:rPr>
            </w:pPr>
            <w:r w:rsidRPr="005D4938">
              <w:rPr>
                <w:rFonts w:cstheme="minorHAnsi"/>
                <w:sz w:val="20"/>
                <w:szCs w:val="20"/>
              </w:rPr>
              <w:t xml:space="preserve">Primary </w:t>
            </w:r>
          </w:p>
        </w:tc>
        <w:tc>
          <w:tcPr>
            <w:tcW w:w="2838" w:type="dxa"/>
          </w:tcPr>
          <w:p w14:paraId="45556C2A" w14:textId="77777777" w:rsidR="00B575AF" w:rsidRPr="005D4938" w:rsidRDefault="00B575AF" w:rsidP="00822FCC">
            <w:pPr>
              <w:rPr>
                <w:rFonts w:cstheme="minorHAnsi"/>
                <w:sz w:val="20"/>
                <w:szCs w:val="20"/>
              </w:rPr>
            </w:pPr>
            <w:r w:rsidRPr="005D4938">
              <w:rPr>
                <w:rFonts w:cstheme="minorHAnsi"/>
                <w:sz w:val="20"/>
                <w:szCs w:val="20"/>
              </w:rPr>
              <w:t>Stabilize frequency</w:t>
            </w:r>
          </w:p>
        </w:tc>
      </w:tr>
      <w:tr w:rsidR="00B575AF" w:rsidRPr="005A5E00" w14:paraId="149788AB" w14:textId="77777777" w:rsidTr="00822FCC">
        <w:trPr>
          <w:jc w:val="center"/>
        </w:trPr>
        <w:tc>
          <w:tcPr>
            <w:tcW w:w="1738" w:type="dxa"/>
            <w:vMerge/>
          </w:tcPr>
          <w:p w14:paraId="5B99018A" w14:textId="77777777" w:rsidR="00B575AF" w:rsidRPr="005D4938" w:rsidRDefault="00B575AF" w:rsidP="00822FCC">
            <w:pPr>
              <w:rPr>
                <w:rFonts w:cstheme="minorHAnsi"/>
                <w:sz w:val="20"/>
                <w:szCs w:val="20"/>
              </w:rPr>
            </w:pPr>
          </w:p>
        </w:tc>
        <w:tc>
          <w:tcPr>
            <w:tcW w:w="2161" w:type="dxa"/>
            <w:vMerge/>
          </w:tcPr>
          <w:p w14:paraId="17DCF54F" w14:textId="77777777" w:rsidR="00B575AF" w:rsidRPr="005D4938" w:rsidRDefault="00B575AF" w:rsidP="00822FCC">
            <w:pPr>
              <w:rPr>
                <w:rFonts w:cstheme="minorHAnsi"/>
                <w:sz w:val="20"/>
                <w:szCs w:val="20"/>
              </w:rPr>
            </w:pPr>
          </w:p>
        </w:tc>
        <w:tc>
          <w:tcPr>
            <w:tcW w:w="2083" w:type="dxa"/>
          </w:tcPr>
          <w:p w14:paraId="12BB99F0" w14:textId="77777777" w:rsidR="00B575AF" w:rsidRPr="005D4938" w:rsidRDefault="00B575AF" w:rsidP="00822FCC">
            <w:pPr>
              <w:rPr>
                <w:rFonts w:cstheme="minorHAnsi"/>
                <w:sz w:val="20"/>
                <w:szCs w:val="20"/>
              </w:rPr>
            </w:pPr>
            <w:r w:rsidRPr="005D4938">
              <w:rPr>
                <w:rFonts w:cstheme="minorHAnsi"/>
                <w:sz w:val="20"/>
                <w:szCs w:val="20"/>
              </w:rPr>
              <w:t xml:space="preserve">Secondary </w:t>
            </w:r>
          </w:p>
        </w:tc>
        <w:tc>
          <w:tcPr>
            <w:tcW w:w="2838" w:type="dxa"/>
          </w:tcPr>
          <w:p w14:paraId="420D558B" w14:textId="77777777" w:rsidR="00B575AF" w:rsidRPr="005D4938" w:rsidRDefault="00B575AF" w:rsidP="00822FCC">
            <w:pPr>
              <w:rPr>
                <w:rFonts w:cstheme="minorHAnsi"/>
                <w:sz w:val="20"/>
                <w:szCs w:val="20"/>
              </w:rPr>
            </w:pPr>
            <w:r w:rsidRPr="005D4938">
              <w:rPr>
                <w:rFonts w:cstheme="minorHAnsi"/>
                <w:sz w:val="20"/>
                <w:szCs w:val="20"/>
              </w:rPr>
              <w:t>Return frequency to nominal and/or ACE to zero</w:t>
            </w:r>
          </w:p>
        </w:tc>
      </w:tr>
      <w:tr w:rsidR="00B575AF" w:rsidRPr="005A5E00" w14:paraId="51D58CF3" w14:textId="77777777" w:rsidTr="00822FCC">
        <w:trPr>
          <w:jc w:val="center"/>
        </w:trPr>
        <w:tc>
          <w:tcPr>
            <w:tcW w:w="1738" w:type="dxa"/>
            <w:vMerge/>
          </w:tcPr>
          <w:p w14:paraId="1462D36D" w14:textId="77777777" w:rsidR="00B575AF" w:rsidRPr="005D4938" w:rsidRDefault="00B575AF" w:rsidP="00822FCC">
            <w:pPr>
              <w:rPr>
                <w:rFonts w:cstheme="minorHAnsi"/>
                <w:sz w:val="20"/>
                <w:szCs w:val="20"/>
              </w:rPr>
            </w:pPr>
          </w:p>
        </w:tc>
        <w:tc>
          <w:tcPr>
            <w:tcW w:w="2161" w:type="dxa"/>
            <w:vMerge/>
          </w:tcPr>
          <w:p w14:paraId="2E55C521" w14:textId="77777777" w:rsidR="00B575AF" w:rsidRPr="005D4938" w:rsidRDefault="00B575AF" w:rsidP="00822FCC">
            <w:pPr>
              <w:rPr>
                <w:rFonts w:cstheme="minorHAnsi"/>
                <w:sz w:val="20"/>
                <w:szCs w:val="20"/>
              </w:rPr>
            </w:pPr>
          </w:p>
        </w:tc>
        <w:tc>
          <w:tcPr>
            <w:tcW w:w="2083" w:type="dxa"/>
          </w:tcPr>
          <w:p w14:paraId="2B78563C" w14:textId="77777777" w:rsidR="00B575AF" w:rsidRPr="005D4938" w:rsidRDefault="00B575AF" w:rsidP="00822FCC">
            <w:pPr>
              <w:rPr>
                <w:rFonts w:cstheme="minorHAnsi"/>
                <w:sz w:val="20"/>
                <w:szCs w:val="20"/>
              </w:rPr>
            </w:pPr>
            <w:r w:rsidRPr="005D4938">
              <w:rPr>
                <w:rFonts w:cstheme="minorHAnsi"/>
                <w:sz w:val="20"/>
                <w:szCs w:val="20"/>
              </w:rPr>
              <w:t>Tertiary</w:t>
            </w:r>
          </w:p>
        </w:tc>
        <w:tc>
          <w:tcPr>
            <w:tcW w:w="2838" w:type="dxa"/>
          </w:tcPr>
          <w:p w14:paraId="42910E11" w14:textId="77777777" w:rsidR="00B575AF" w:rsidRPr="005D4938" w:rsidRDefault="00B575AF" w:rsidP="00822FCC">
            <w:pPr>
              <w:rPr>
                <w:rFonts w:cstheme="minorHAnsi"/>
                <w:sz w:val="20"/>
                <w:szCs w:val="20"/>
              </w:rPr>
            </w:pPr>
            <w:r w:rsidRPr="005D4938">
              <w:rPr>
                <w:rFonts w:cstheme="minorHAnsi"/>
                <w:sz w:val="20"/>
                <w:szCs w:val="20"/>
              </w:rPr>
              <w:t>Replace primary and secondary</w:t>
            </w:r>
          </w:p>
        </w:tc>
      </w:tr>
      <w:tr w:rsidR="00B575AF" w:rsidRPr="005A5E00" w14:paraId="2011C591" w14:textId="77777777" w:rsidTr="00822FCC">
        <w:trPr>
          <w:jc w:val="center"/>
        </w:trPr>
        <w:tc>
          <w:tcPr>
            <w:tcW w:w="1738" w:type="dxa"/>
            <w:vMerge/>
          </w:tcPr>
          <w:p w14:paraId="088D19E7" w14:textId="77777777" w:rsidR="00B575AF" w:rsidRPr="005D4938" w:rsidRDefault="00B575AF" w:rsidP="00822FCC">
            <w:pPr>
              <w:rPr>
                <w:rFonts w:cstheme="minorHAnsi"/>
                <w:sz w:val="20"/>
                <w:szCs w:val="20"/>
              </w:rPr>
            </w:pPr>
          </w:p>
        </w:tc>
        <w:tc>
          <w:tcPr>
            <w:tcW w:w="2161" w:type="dxa"/>
            <w:vMerge w:val="restart"/>
            <w:vAlign w:val="center"/>
          </w:tcPr>
          <w:p w14:paraId="28275B4E" w14:textId="27C0B1F6" w:rsidR="00B575AF" w:rsidRPr="005D4938" w:rsidRDefault="00B575AF" w:rsidP="00822FCC">
            <w:pPr>
              <w:rPr>
                <w:rFonts w:cstheme="minorHAnsi"/>
                <w:sz w:val="20"/>
                <w:szCs w:val="20"/>
              </w:rPr>
            </w:pPr>
            <w:r w:rsidRPr="005D4938">
              <w:rPr>
                <w:rFonts w:cstheme="minorHAnsi"/>
                <w:sz w:val="20"/>
                <w:szCs w:val="20"/>
              </w:rPr>
              <w:t>Ramping (in response to long events)</w:t>
            </w:r>
          </w:p>
        </w:tc>
        <w:tc>
          <w:tcPr>
            <w:tcW w:w="2083" w:type="dxa"/>
          </w:tcPr>
          <w:p w14:paraId="08E69582" w14:textId="77777777" w:rsidR="00B575AF" w:rsidRPr="005D4938" w:rsidRDefault="00B575AF" w:rsidP="00822FCC">
            <w:pPr>
              <w:rPr>
                <w:rFonts w:cstheme="minorHAnsi"/>
                <w:sz w:val="20"/>
                <w:szCs w:val="20"/>
              </w:rPr>
            </w:pPr>
            <w:r w:rsidRPr="005D4938">
              <w:rPr>
                <w:rFonts w:cstheme="minorHAnsi"/>
                <w:sz w:val="20"/>
                <w:szCs w:val="20"/>
              </w:rPr>
              <w:t xml:space="preserve">Secondary </w:t>
            </w:r>
          </w:p>
        </w:tc>
        <w:tc>
          <w:tcPr>
            <w:tcW w:w="2838" w:type="dxa"/>
          </w:tcPr>
          <w:p w14:paraId="11024B5C" w14:textId="77777777" w:rsidR="00B575AF" w:rsidRPr="005D4938" w:rsidRDefault="00B575AF" w:rsidP="00822FCC">
            <w:pPr>
              <w:rPr>
                <w:rFonts w:cstheme="minorHAnsi"/>
                <w:sz w:val="20"/>
                <w:szCs w:val="20"/>
              </w:rPr>
            </w:pPr>
            <w:r w:rsidRPr="005D4938">
              <w:rPr>
                <w:rFonts w:cstheme="minorHAnsi"/>
                <w:sz w:val="20"/>
                <w:szCs w:val="20"/>
              </w:rPr>
              <w:t>Return frequency to nominal and/or ACE to zero</w:t>
            </w:r>
          </w:p>
        </w:tc>
      </w:tr>
      <w:tr w:rsidR="00B575AF" w:rsidRPr="005A5E00" w14:paraId="2B9F87DE" w14:textId="77777777" w:rsidTr="00822FCC">
        <w:trPr>
          <w:jc w:val="center"/>
        </w:trPr>
        <w:tc>
          <w:tcPr>
            <w:tcW w:w="1738" w:type="dxa"/>
            <w:vMerge/>
          </w:tcPr>
          <w:p w14:paraId="64D5078B" w14:textId="77777777" w:rsidR="00B575AF" w:rsidRPr="005D4938" w:rsidRDefault="00B575AF" w:rsidP="00822FCC">
            <w:pPr>
              <w:rPr>
                <w:rFonts w:cstheme="minorHAnsi"/>
                <w:sz w:val="20"/>
                <w:szCs w:val="20"/>
              </w:rPr>
            </w:pPr>
          </w:p>
        </w:tc>
        <w:tc>
          <w:tcPr>
            <w:tcW w:w="2161" w:type="dxa"/>
            <w:vMerge/>
          </w:tcPr>
          <w:p w14:paraId="5B8F3E5B" w14:textId="77777777" w:rsidR="00B575AF" w:rsidRPr="005D4938" w:rsidRDefault="00B575AF" w:rsidP="00822FCC">
            <w:pPr>
              <w:rPr>
                <w:rFonts w:cstheme="minorHAnsi"/>
                <w:i/>
                <w:iCs/>
                <w:sz w:val="20"/>
                <w:szCs w:val="20"/>
              </w:rPr>
            </w:pPr>
          </w:p>
        </w:tc>
        <w:tc>
          <w:tcPr>
            <w:tcW w:w="2083" w:type="dxa"/>
          </w:tcPr>
          <w:p w14:paraId="21580140" w14:textId="77777777" w:rsidR="00B575AF" w:rsidRPr="005D4938" w:rsidRDefault="00B575AF" w:rsidP="00822FCC">
            <w:pPr>
              <w:rPr>
                <w:rFonts w:cstheme="minorHAnsi"/>
                <w:sz w:val="20"/>
                <w:szCs w:val="20"/>
              </w:rPr>
            </w:pPr>
            <w:r w:rsidRPr="005D4938">
              <w:rPr>
                <w:rFonts w:cstheme="minorHAnsi"/>
                <w:sz w:val="20"/>
                <w:szCs w:val="20"/>
              </w:rPr>
              <w:t>Tertiary</w:t>
            </w:r>
          </w:p>
        </w:tc>
        <w:tc>
          <w:tcPr>
            <w:tcW w:w="2838" w:type="dxa"/>
          </w:tcPr>
          <w:p w14:paraId="4834C612" w14:textId="77777777" w:rsidR="00B575AF" w:rsidRPr="005D4938" w:rsidRDefault="00B575AF" w:rsidP="00822FCC">
            <w:pPr>
              <w:rPr>
                <w:rFonts w:cstheme="minorHAnsi"/>
                <w:sz w:val="20"/>
                <w:szCs w:val="20"/>
              </w:rPr>
            </w:pPr>
            <w:r w:rsidRPr="005D4938">
              <w:rPr>
                <w:rFonts w:cstheme="minorHAnsi"/>
                <w:sz w:val="20"/>
                <w:szCs w:val="20"/>
              </w:rPr>
              <w:t>Replace secondary</w:t>
            </w:r>
          </w:p>
        </w:tc>
      </w:tr>
      <w:tr w:rsidR="00B575AF" w:rsidRPr="005A5E00" w14:paraId="6CD0E785" w14:textId="77777777" w:rsidTr="00822FCC">
        <w:trPr>
          <w:jc w:val="center"/>
        </w:trPr>
        <w:tc>
          <w:tcPr>
            <w:tcW w:w="1738" w:type="dxa"/>
            <w:vMerge w:val="restart"/>
            <w:vAlign w:val="center"/>
          </w:tcPr>
          <w:p w14:paraId="222C15A2" w14:textId="77777777" w:rsidR="00B575AF" w:rsidRPr="005D4938" w:rsidRDefault="00B575AF" w:rsidP="00822FCC">
            <w:pPr>
              <w:rPr>
                <w:rFonts w:cstheme="minorHAnsi"/>
                <w:sz w:val="20"/>
                <w:szCs w:val="20"/>
              </w:rPr>
            </w:pPr>
            <w:r w:rsidRPr="005D4938">
              <w:rPr>
                <w:rFonts w:cstheme="minorHAnsi"/>
                <w:sz w:val="20"/>
                <w:szCs w:val="20"/>
              </w:rPr>
              <w:t>Planning</w:t>
            </w:r>
          </w:p>
          <w:p w14:paraId="1046B45B" w14:textId="77777777" w:rsidR="00B575AF" w:rsidRPr="005D4938" w:rsidRDefault="00B575AF" w:rsidP="00822FCC">
            <w:pPr>
              <w:rPr>
                <w:rFonts w:cstheme="minorHAnsi"/>
                <w:sz w:val="20"/>
                <w:szCs w:val="20"/>
              </w:rPr>
            </w:pPr>
            <w:r w:rsidRPr="005D4938">
              <w:rPr>
                <w:rFonts w:cstheme="minorHAnsi"/>
                <w:sz w:val="20"/>
                <w:szCs w:val="20"/>
              </w:rPr>
              <w:t>Reserves</w:t>
            </w:r>
          </w:p>
        </w:tc>
        <w:tc>
          <w:tcPr>
            <w:tcW w:w="2161" w:type="dxa"/>
          </w:tcPr>
          <w:p w14:paraId="0381CBFF" w14:textId="77777777" w:rsidR="00B575AF" w:rsidRPr="005D4938" w:rsidRDefault="00B575AF" w:rsidP="00822FCC">
            <w:pPr>
              <w:rPr>
                <w:rFonts w:cstheme="minorHAnsi"/>
                <w:sz w:val="20"/>
                <w:szCs w:val="20"/>
              </w:rPr>
            </w:pPr>
            <w:r w:rsidRPr="005D4938">
              <w:rPr>
                <w:rFonts w:cstheme="minorHAnsi"/>
                <w:sz w:val="20"/>
                <w:szCs w:val="20"/>
              </w:rPr>
              <w:t>Installed available capacity</w:t>
            </w:r>
          </w:p>
        </w:tc>
        <w:tc>
          <w:tcPr>
            <w:tcW w:w="2083" w:type="dxa"/>
          </w:tcPr>
          <w:p w14:paraId="257BAD4F" w14:textId="77777777" w:rsidR="00B575AF" w:rsidRPr="005D4938" w:rsidRDefault="00B575AF" w:rsidP="00822FCC">
            <w:pPr>
              <w:rPr>
                <w:rFonts w:cstheme="minorHAnsi"/>
                <w:sz w:val="20"/>
                <w:szCs w:val="20"/>
              </w:rPr>
            </w:pPr>
            <w:r w:rsidRPr="005D4938">
              <w:rPr>
                <w:rFonts w:eastAsiaTheme="minorBidi" w:cstheme="minorHAnsi"/>
                <w:sz w:val="20"/>
                <w:szCs w:val="20"/>
              </w:rPr>
              <w:t>N/A</w:t>
            </w:r>
          </w:p>
        </w:tc>
        <w:tc>
          <w:tcPr>
            <w:tcW w:w="2838" w:type="dxa"/>
          </w:tcPr>
          <w:p w14:paraId="14B487F8" w14:textId="77777777" w:rsidR="00B575AF" w:rsidRPr="005D4938" w:rsidRDefault="00B575AF" w:rsidP="00822FCC">
            <w:pPr>
              <w:rPr>
                <w:rFonts w:cstheme="minorHAnsi"/>
                <w:sz w:val="20"/>
                <w:szCs w:val="20"/>
              </w:rPr>
            </w:pPr>
            <w:r w:rsidRPr="005D4938">
              <w:rPr>
                <w:rFonts w:eastAsiaTheme="minorHAnsi" w:cstheme="minorHAnsi"/>
                <w:sz w:val="20"/>
                <w:szCs w:val="20"/>
              </w:rPr>
              <w:t>Adequate capacity within the system above the forecast system peak load</w:t>
            </w:r>
          </w:p>
        </w:tc>
      </w:tr>
      <w:tr w:rsidR="00B575AF" w:rsidRPr="005A5E00" w14:paraId="3532D37B" w14:textId="77777777" w:rsidTr="00822FCC">
        <w:trPr>
          <w:jc w:val="center"/>
        </w:trPr>
        <w:tc>
          <w:tcPr>
            <w:tcW w:w="1738" w:type="dxa"/>
            <w:vMerge/>
          </w:tcPr>
          <w:p w14:paraId="254EBC86" w14:textId="77777777" w:rsidR="00B575AF" w:rsidRPr="005D4938" w:rsidRDefault="00B575AF" w:rsidP="00822FCC">
            <w:pPr>
              <w:rPr>
                <w:rFonts w:cstheme="minorHAnsi"/>
                <w:sz w:val="20"/>
                <w:szCs w:val="20"/>
              </w:rPr>
            </w:pPr>
          </w:p>
        </w:tc>
        <w:tc>
          <w:tcPr>
            <w:tcW w:w="2161" w:type="dxa"/>
          </w:tcPr>
          <w:p w14:paraId="58A32709" w14:textId="77777777" w:rsidR="00B575AF" w:rsidRPr="005D4938" w:rsidRDefault="00B575AF" w:rsidP="00822FCC">
            <w:pPr>
              <w:rPr>
                <w:rFonts w:cstheme="minorHAnsi"/>
                <w:sz w:val="20"/>
                <w:szCs w:val="20"/>
              </w:rPr>
            </w:pPr>
            <w:r w:rsidRPr="005D4938">
              <w:rPr>
                <w:rFonts w:cstheme="minorHAnsi"/>
                <w:sz w:val="20"/>
                <w:szCs w:val="20"/>
              </w:rPr>
              <w:t>Installed available flexibility</w:t>
            </w:r>
          </w:p>
        </w:tc>
        <w:tc>
          <w:tcPr>
            <w:tcW w:w="2083" w:type="dxa"/>
          </w:tcPr>
          <w:p w14:paraId="061D739E" w14:textId="77777777" w:rsidR="00B575AF" w:rsidRPr="005D4938" w:rsidRDefault="00B575AF" w:rsidP="00822FCC">
            <w:pPr>
              <w:rPr>
                <w:rFonts w:cstheme="minorHAnsi"/>
                <w:sz w:val="20"/>
                <w:szCs w:val="20"/>
              </w:rPr>
            </w:pPr>
            <w:r w:rsidRPr="005D4938">
              <w:rPr>
                <w:rFonts w:eastAsiaTheme="minorBidi" w:cstheme="minorHAnsi"/>
                <w:sz w:val="20"/>
                <w:szCs w:val="20"/>
              </w:rPr>
              <w:t>N/A</w:t>
            </w:r>
          </w:p>
        </w:tc>
        <w:tc>
          <w:tcPr>
            <w:tcW w:w="2838" w:type="dxa"/>
          </w:tcPr>
          <w:p w14:paraId="32E924BA" w14:textId="77777777" w:rsidR="00B575AF" w:rsidRPr="005D4938" w:rsidRDefault="00B575AF" w:rsidP="00822FCC">
            <w:pPr>
              <w:rPr>
                <w:rFonts w:cstheme="minorHAnsi"/>
                <w:sz w:val="20"/>
                <w:szCs w:val="20"/>
              </w:rPr>
            </w:pPr>
            <w:r w:rsidRPr="005D4938">
              <w:rPr>
                <w:rFonts w:eastAsiaTheme="minorBidi" w:cstheme="minorHAnsi"/>
                <w:sz w:val="20"/>
                <w:szCs w:val="20"/>
              </w:rPr>
              <w:t>Mitigation of potential impacts of variability and uncertainty</w:t>
            </w:r>
          </w:p>
        </w:tc>
      </w:tr>
      <w:tr w:rsidR="00B575AF" w:rsidRPr="005A5E00" w14:paraId="77833A69" w14:textId="77777777" w:rsidTr="00822FCC">
        <w:trPr>
          <w:jc w:val="center"/>
        </w:trPr>
        <w:tc>
          <w:tcPr>
            <w:tcW w:w="1738" w:type="dxa"/>
            <w:vMerge w:val="restart"/>
            <w:vAlign w:val="center"/>
          </w:tcPr>
          <w:p w14:paraId="79E7DC56" w14:textId="31D48BBE" w:rsidR="00B575AF" w:rsidRPr="005D4938" w:rsidRDefault="00B575AF" w:rsidP="00822FCC">
            <w:pPr>
              <w:rPr>
                <w:rFonts w:cstheme="minorHAnsi"/>
                <w:sz w:val="20"/>
                <w:szCs w:val="20"/>
              </w:rPr>
            </w:pPr>
            <w:r w:rsidRPr="005D4938">
              <w:rPr>
                <w:rFonts w:cstheme="minorHAnsi"/>
                <w:sz w:val="20"/>
                <w:szCs w:val="20"/>
              </w:rPr>
              <w:t>Emerging Services</w:t>
            </w:r>
            <w:r w:rsidR="00D90F93" w:rsidRPr="005D4938">
              <w:rPr>
                <w:rFonts w:cstheme="minorHAnsi"/>
                <w:sz w:val="20"/>
                <w:szCs w:val="20"/>
              </w:rPr>
              <w:t xml:space="preserve"> for IBR</w:t>
            </w:r>
          </w:p>
        </w:tc>
        <w:tc>
          <w:tcPr>
            <w:tcW w:w="2161" w:type="dxa"/>
          </w:tcPr>
          <w:p w14:paraId="4EFCDA75" w14:textId="77777777" w:rsidR="00B575AF" w:rsidRPr="005D4938" w:rsidRDefault="00B575AF" w:rsidP="00822FCC">
            <w:pPr>
              <w:rPr>
                <w:rFonts w:cstheme="minorHAnsi"/>
                <w:i/>
                <w:iCs/>
                <w:sz w:val="20"/>
                <w:szCs w:val="20"/>
              </w:rPr>
            </w:pPr>
            <w:r w:rsidRPr="005D4938">
              <w:rPr>
                <w:rFonts w:cstheme="minorHAnsi"/>
                <w:sz w:val="20"/>
                <w:szCs w:val="20"/>
              </w:rPr>
              <w:t>“</w:t>
            </w:r>
            <w:r w:rsidRPr="005D4938" w:rsidDel="000F4DFE">
              <w:rPr>
                <w:rFonts w:cstheme="minorHAnsi"/>
                <w:sz w:val="20"/>
                <w:szCs w:val="20"/>
              </w:rPr>
              <w:t>Synthetic</w:t>
            </w:r>
            <w:r w:rsidRPr="005D4938">
              <w:rPr>
                <w:rFonts w:cstheme="minorHAnsi"/>
                <w:sz w:val="20"/>
                <w:szCs w:val="20"/>
              </w:rPr>
              <w:t>”</w:t>
            </w:r>
            <w:r w:rsidRPr="005D4938" w:rsidDel="000F4DFE">
              <w:rPr>
                <w:rFonts w:cstheme="minorHAnsi"/>
                <w:sz w:val="20"/>
                <w:szCs w:val="20"/>
              </w:rPr>
              <w:t xml:space="preserve"> i</w:t>
            </w:r>
            <w:r w:rsidRPr="005D4938">
              <w:rPr>
                <w:rFonts w:cstheme="minorHAnsi"/>
                <w:sz w:val="20"/>
                <w:szCs w:val="20"/>
              </w:rPr>
              <w:t>nertia</w:t>
            </w:r>
          </w:p>
        </w:tc>
        <w:tc>
          <w:tcPr>
            <w:tcW w:w="2083" w:type="dxa"/>
          </w:tcPr>
          <w:p w14:paraId="5555A739" w14:textId="62D952DC" w:rsidR="00B575AF" w:rsidRPr="005D4938" w:rsidRDefault="00B575AF" w:rsidP="00822FCC">
            <w:pPr>
              <w:rPr>
                <w:rFonts w:cstheme="minorHAnsi"/>
                <w:sz w:val="20"/>
                <w:szCs w:val="20"/>
              </w:rPr>
            </w:pPr>
            <w:r w:rsidRPr="005D4938">
              <w:rPr>
                <w:rFonts w:eastAsiaTheme="minorBidi" w:cstheme="minorHAnsi"/>
                <w:sz w:val="20"/>
                <w:szCs w:val="20"/>
              </w:rPr>
              <w:t xml:space="preserve">Local </w:t>
            </w:r>
            <w:r w:rsidR="008815F5" w:rsidRPr="005D4938">
              <w:rPr>
                <w:rFonts w:eastAsiaTheme="minorBidi" w:cstheme="minorHAnsi"/>
                <w:sz w:val="20"/>
                <w:szCs w:val="20"/>
              </w:rPr>
              <w:t>autonomous control</w:t>
            </w:r>
            <w:r w:rsidRPr="005D4938">
              <w:rPr>
                <w:rFonts w:eastAsiaTheme="minorBidi" w:cstheme="minorHAnsi"/>
                <w:sz w:val="20"/>
                <w:szCs w:val="20"/>
              </w:rPr>
              <w:t xml:space="preserve"> or an effective equivalent </w:t>
            </w:r>
          </w:p>
        </w:tc>
        <w:tc>
          <w:tcPr>
            <w:tcW w:w="2838" w:type="dxa"/>
          </w:tcPr>
          <w:p w14:paraId="51FD250D" w14:textId="77777777" w:rsidR="00B575AF" w:rsidRPr="005D4938" w:rsidRDefault="00B575AF" w:rsidP="00822FCC">
            <w:pPr>
              <w:rPr>
                <w:rFonts w:cstheme="minorHAnsi"/>
                <w:sz w:val="20"/>
                <w:szCs w:val="20"/>
              </w:rPr>
            </w:pPr>
            <w:r w:rsidRPr="005D4938">
              <w:rPr>
                <w:rFonts w:eastAsiaTheme="minorBidi" w:cstheme="minorHAnsi"/>
                <w:sz w:val="20"/>
                <w:szCs w:val="20"/>
              </w:rPr>
              <w:t xml:space="preserve">a.k.a. inertia-based response, equivalent inertia. An extremely fast frequency response to instantaneously slow initial ROCOF </w:t>
            </w:r>
          </w:p>
        </w:tc>
      </w:tr>
      <w:tr w:rsidR="00B575AF" w:rsidRPr="005A5E00" w14:paraId="6C52A06A" w14:textId="77777777" w:rsidTr="00822FCC">
        <w:trPr>
          <w:jc w:val="center"/>
        </w:trPr>
        <w:tc>
          <w:tcPr>
            <w:tcW w:w="1738" w:type="dxa"/>
            <w:vMerge/>
          </w:tcPr>
          <w:p w14:paraId="0064D46C" w14:textId="77777777" w:rsidR="00B575AF" w:rsidRPr="005D4938" w:rsidRDefault="00B575AF" w:rsidP="00822FCC">
            <w:pPr>
              <w:rPr>
                <w:rFonts w:cstheme="minorHAnsi"/>
                <w:sz w:val="20"/>
                <w:szCs w:val="20"/>
              </w:rPr>
            </w:pPr>
          </w:p>
        </w:tc>
        <w:tc>
          <w:tcPr>
            <w:tcW w:w="2161" w:type="dxa"/>
          </w:tcPr>
          <w:p w14:paraId="3735D388" w14:textId="77777777" w:rsidR="00B575AF" w:rsidRPr="005D4938" w:rsidRDefault="00B575AF" w:rsidP="00822FCC">
            <w:pPr>
              <w:rPr>
                <w:rFonts w:cstheme="minorHAnsi"/>
                <w:sz w:val="20"/>
                <w:szCs w:val="20"/>
              </w:rPr>
            </w:pPr>
            <w:r w:rsidRPr="005D4938">
              <w:rPr>
                <w:rFonts w:cstheme="minorHAnsi"/>
                <w:sz w:val="20"/>
                <w:szCs w:val="20"/>
              </w:rPr>
              <w:t>Fast frequency response</w:t>
            </w:r>
          </w:p>
        </w:tc>
        <w:tc>
          <w:tcPr>
            <w:tcW w:w="2083" w:type="dxa"/>
          </w:tcPr>
          <w:p w14:paraId="2700C6E6" w14:textId="77777777" w:rsidR="00B575AF" w:rsidRPr="005D4938" w:rsidRDefault="00B575AF" w:rsidP="00822FCC">
            <w:pPr>
              <w:rPr>
                <w:rFonts w:cstheme="minorHAnsi"/>
                <w:sz w:val="20"/>
                <w:szCs w:val="20"/>
              </w:rPr>
            </w:pPr>
            <w:r w:rsidRPr="005D4938">
              <w:rPr>
                <w:rFonts w:cstheme="minorHAnsi"/>
                <w:sz w:val="20"/>
                <w:szCs w:val="20"/>
              </w:rPr>
              <w:t>Primary</w:t>
            </w:r>
          </w:p>
        </w:tc>
        <w:tc>
          <w:tcPr>
            <w:tcW w:w="2838" w:type="dxa"/>
          </w:tcPr>
          <w:p w14:paraId="63DB3A26" w14:textId="77777777" w:rsidR="00B575AF" w:rsidRPr="005D4938" w:rsidRDefault="00B575AF" w:rsidP="00822FCC">
            <w:pPr>
              <w:rPr>
                <w:rFonts w:cstheme="minorHAnsi"/>
                <w:sz w:val="20"/>
                <w:szCs w:val="20"/>
              </w:rPr>
            </w:pPr>
            <w:r w:rsidRPr="005D4938">
              <w:rPr>
                <w:rFonts w:eastAsiaTheme="minorBidi" w:cstheme="minorHAnsi"/>
                <w:sz w:val="20"/>
                <w:szCs w:val="20"/>
              </w:rPr>
              <w:t>Rapid injection or absorption of power in response to changes in frequency</w:t>
            </w:r>
          </w:p>
        </w:tc>
      </w:tr>
      <w:tr w:rsidR="00B575AF" w:rsidRPr="005A5E00" w14:paraId="56D70E80" w14:textId="77777777" w:rsidTr="00822FCC">
        <w:trPr>
          <w:jc w:val="center"/>
        </w:trPr>
        <w:tc>
          <w:tcPr>
            <w:tcW w:w="1738" w:type="dxa"/>
            <w:vMerge/>
          </w:tcPr>
          <w:p w14:paraId="38E0EFD4" w14:textId="77777777" w:rsidR="00B575AF" w:rsidRPr="005D4938" w:rsidRDefault="00B575AF" w:rsidP="00822FCC">
            <w:pPr>
              <w:rPr>
                <w:rFonts w:cstheme="minorHAnsi"/>
                <w:sz w:val="20"/>
                <w:szCs w:val="20"/>
              </w:rPr>
            </w:pPr>
          </w:p>
        </w:tc>
        <w:tc>
          <w:tcPr>
            <w:tcW w:w="2161" w:type="dxa"/>
          </w:tcPr>
          <w:p w14:paraId="285D7275" w14:textId="77777777" w:rsidR="00B575AF" w:rsidRPr="005D4938" w:rsidRDefault="00B575AF" w:rsidP="00822FCC">
            <w:pPr>
              <w:rPr>
                <w:rFonts w:cstheme="minorHAnsi"/>
                <w:sz w:val="20"/>
                <w:szCs w:val="20"/>
              </w:rPr>
            </w:pPr>
            <w:r w:rsidRPr="005D4938">
              <w:rPr>
                <w:rFonts w:cstheme="minorHAnsi"/>
                <w:sz w:val="20"/>
                <w:szCs w:val="20"/>
              </w:rPr>
              <w:t>Voltage/reactive support (steady state and dynamic)</w:t>
            </w:r>
          </w:p>
        </w:tc>
        <w:tc>
          <w:tcPr>
            <w:tcW w:w="2083" w:type="dxa"/>
          </w:tcPr>
          <w:p w14:paraId="23FCAF33" w14:textId="77777777" w:rsidR="00B575AF" w:rsidRPr="005D4938" w:rsidRDefault="00B575AF" w:rsidP="00822FCC">
            <w:pPr>
              <w:rPr>
                <w:rFonts w:cstheme="minorHAnsi"/>
                <w:sz w:val="20"/>
                <w:szCs w:val="20"/>
              </w:rPr>
            </w:pPr>
            <w:r w:rsidRPr="005D4938">
              <w:rPr>
                <w:rFonts w:cstheme="minorHAnsi"/>
                <w:sz w:val="20"/>
                <w:szCs w:val="20"/>
              </w:rPr>
              <w:t>Dependent on the function</w:t>
            </w:r>
          </w:p>
        </w:tc>
        <w:tc>
          <w:tcPr>
            <w:tcW w:w="2838" w:type="dxa"/>
          </w:tcPr>
          <w:p w14:paraId="2FD9EFF3" w14:textId="77777777" w:rsidR="00B575AF" w:rsidRPr="005D4938" w:rsidRDefault="00B575AF" w:rsidP="00822FCC">
            <w:pPr>
              <w:rPr>
                <w:rFonts w:cstheme="minorHAnsi"/>
                <w:sz w:val="20"/>
                <w:szCs w:val="20"/>
              </w:rPr>
            </w:pPr>
            <w:r w:rsidRPr="005D4938">
              <w:rPr>
                <w:rFonts w:eastAsiaTheme="minorBidi" w:cstheme="minorHAnsi"/>
                <w:sz w:val="20"/>
                <w:szCs w:val="20"/>
              </w:rPr>
              <w:t xml:space="preserve">steady-state and dynamic management of voltage levels </w:t>
            </w:r>
          </w:p>
        </w:tc>
      </w:tr>
      <w:tr w:rsidR="00B575AF" w:rsidRPr="005A5E00" w14:paraId="05EA558B" w14:textId="77777777" w:rsidTr="00822FCC">
        <w:trPr>
          <w:jc w:val="center"/>
        </w:trPr>
        <w:tc>
          <w:tcPr>
            <w:tcW w:w="1738" w:type="dxa"/>
            <w:vMerge/>
          </w:tcPr>
          <w:p w14:paraId="13541A72" w14:textId="77777777" w:rsidR="00B575AF" w:rsidRPr="005D4938" w:rsidRDefault="00B575AF" w:rsidP="00822FCC">
            <w:pPr>
              <w:rPr>
                <w:rFonts w:cstheme="minorHAnsi"/>
                <w:sz w:val="20"/>
                <w:szCs w:val="20"/>
              </w:rPr>
            </w:pPr>
          </w:p>
        </w:tc>
        <w:tc>
          <w:tcPr>
            <w:tcW w:w="2161" w:type="dxa"/>
          </w:tcPr>
          <w:p w14:paraId="1C874801" w14:textId="77777777" w:rsidR="00B575AF" w:rsidRPr="005D4938" w:rsidRDefault="00B575AF" w:rsidP="00822FCC">
            <w:pPr>
              <w:rPr>
                <w:rFonts w:cstheme="minorHAnsi"/>
                <w:sz w:val="20"/>
                <w:szCs w:val="20"/>
              </w:rPr>
            </w:pPr>
            <w:r w:rsidRPr="005D4938">
              <w:rPr>
                <w:rFonts w:cstheme="minorHAnsi"/>
                <w:sz w:val="20"/>
                <w:szCs w:val="20"/>
              </w:rPr>
              <w:t>Black start/ Restoration</w:t>
            </w:r>
          </w:p>
        </w:tc>
        <w:tc>
          <w:tcPr>
            <w:tcW w:w="2083" w:type="dxa"/>
          </w:tcPr>
          <w:p w14:paraId="0CE217DF" w14:textId="77777777" w:rsidR="00B575AF" w:rsidRPr="005D4938" w:rsidRDefault="00B575AF" w:rsidP="00822FCC">
            <w:pPr>
              <w:rPr>
                <w:rFonts w:cstheme="minorHAnsi"/>
                <w:sz w:val="20"/>
                <w:szCs w:val="20"/>
              </w:rPr>
            </w:pPr>
            <w:r w:rsidRPr="005D4938">
              <w:rPr>
                <w:rFonts w:cstheme="minorHAnsi"/>
                <w:sz w:val="20"/>
                <w:szCs w:val="20"/>
              </w:rPr>
              <w:t>Dependent on the function</w:t>
            </w:r>
          </w:p>
        </w:tc>
        <w:tc>
          <w:tcPr>
            <w:tcW w:w="2838" w:type="dxa"/>
          </w:tcPr>
          <w:p w14:paraId="58BA80C1" w14:textId="051A0CD7" w:rsidR="00B575AF" w:rsidRPr="005D4938" w:rsidRDefault="00B575AF" w:rsidP="00822FCC">
            <w:pPr>
              <w:rPr>
                <w:rFonts w:cstheme="minorHAnsi"/>
                <w:sz w:val="20"/>
                <w:szCs w:val="20"/>
              </w:rPr>
            </w:pPr>
            <w:r w:rsidRPr="005D4938">
              <w:rPr>
                <w:rFonts w:eastAsiaTheme="minorBidi" w:cstheme="minorHAnsi"/>
                <w:sz w:val="20"/>
                <w:szCs w:val="20"/>
              </w:rPr>
              <w:t>Black start, restoration of the BPS</w:t>
            </w:r>
          </w:p>
        </w:tc>
      </w:tr>
    </w:tbl>
    <w:p w14:paraId="207C0A99" w14:textId="77777777" w:rsidR="00B575AF" w:rsidRDefault="00B575AF" w:rsidP="00253AB8">
      <w:pPr>
        <w:ind w:left="1296"/>
      </w:pPr>
    </w:p>
    <w:p w14:paraId="3E6C363D" w14:textId="77777777" w:rsidR="000D7832" w:rsidRPr="005A5E00" w:rsidRDefault="000D7832" w:rsidP="000D7832">
      <w:pPr>
        <w:ind w:left="1440"/>
        <w:rPr>
          <w:rFonts w:ascii="Calibri" w:hAnsi="Calibri" w:cs="Calibri"/>
          <w:szCs w:val="24"/>
        </w:rPr>
      </w:pPr>
      <w:r w:rsidRPr="005A5E00">
        <w:rPr>
          <w:rFonts w:ascii="Calibri" w:hAnsi="Calibri" w:cs="Calibri"/>
          <w:szCs w:val="24"/>
        </w:rPr>
        <w:t>The projects will need to:</w:t>
      </w:r>
    </w:p>
    <w:p w14:paraId="58699687" w14:textId="77777777" w:rsidR="000D7832" w:rsidRPr="005D4938" w:rsidRDefault="000D7832" w:rsidP="00F836F4">
      <w:pPr>
        <w:pStyle w:val="ListParagraph"/>
        <w:numPr>
          <w:ilvl w:val="0"/>
          <w:numId w:val="120"/>
        </w:numPr>
        <w:rPr>
          <w:rFonts w:ascii="Calibri" w:hAnsi="Calibri" w:cs="Calibri"/>
          <w:szCs w:val="24"/>
        </w:rPr>
      </w:pPr>
      <w:r w:rsidRPr="005D4938">
        <w:rPr>
          <w:rFonts w:ascii="Calibri" w:hAnsi="Calibri" w:cs="Calibri"/>
          <w:szCs w:val="24"/>
        </w:rPr>
        <w:t xml:space="preserve">Develop detailed technical requirements and outline procedures for participating in the grid services to be demonstrated. </w:t>
      </w:r>
    </w:p>
    <w:p w14:paraId="65C0A71C" w14:textId="77777777" w:rsidR="000D7832" w:rsidRPr="005D4938" w:rsidRDefault="000D7832" w:rsidP="00F836F4">
      <w:pPr>
        <w:pStyle w:val="ListParagraph"/>
        <w:numPr>
          <w:ilvl w:val="0"/>
          <w:numId w:val="120"/>
        </w:numPr>
        <w:rPr>
          <w:rFonts w:ascii="Calibri" w:hAnsi="Calibri" w:cs="Calibri"/>
          <w:szCs w:val="24"/>
        </w:rPr>
      </w:pPr>
      <w:r w:rsidRPr="005D4938">
        <w:rPr>
          <w:rFonts w:ascii="Calibri" w:hAnsi="Calibri" w:cs="Calibri"/>
          <w:szCs w:val="24"/>
        </w:rPr>
        <w:t xml:space="preserve">Design and implement in the field demonstration the centralized and/or local optimization strategies for the generation units in their portfolio. </w:t>
      </w:r>
      <w:r w:rsidRPr="005D4938">
        <w:rPr>
          <w:rFonts w:ascii="Calibri" w:hAnsi="Calibri"/>
        </w:rPr>
        <w:t>Controls at the inverter level and plant level must be fully designed, implemented, and field tested.</w:t>
      </w:r>
    </w:p>
    <w:p w14:paraId="2AD7D6DB" w14:textId="77777777" w:rsidR="000D7832" w:rsidRPr="005D4938" w:rsidRDefault="000D7832" w:rsidP="00F836F4">
      <w:pPr>
        <w:pStyle w:val="ListParagraph"/>
        <w:numPr>
          <w:ilvl w:val="0"/>
          <w:numId w:val="120"/>
        </w:numPr>
        <w:rPr>
          <w:rFonts w:ascii="Calibri" w:hAnsi="Calibri" w:cs="Calibri"/>
          <w:szCs w:val="24"/>
        </w:rPr>
      </w:pPr>
      <w:r w:rsidRPr="005D4938">
        <w:rPr>
          <w:rFonts w:ascii="Calibri" w:hAnsi="Calibri" w:cs="Calibri"/>
          <w:szCs w:val="24"/>
        </w:rPr>
        <w:t>Design and implement in the field demonstration all the necessary monitoring and control infrastructure.</w:t>
      </w:r>
    </w:p>
    <w:p w14:paraId="355A68CD" w14:textId="77777777" w:rsidR="000D7832" w:rsidRPr="005D4938" w:rsidRDefault="000D7832" w:rsidP="00F836F4">
      <w:pPr>
        <w:pStyle w:val="ListParagraph"/>
        <w:numPr>
          <w:ilvl w:val="0"/>
          <w:numId w:val="120"/>
        </w:numPr>
        <w:rPr>
          <w:rFonts w:ascii="Calibri" w:hAnsi="Calibri" w:cs="Calibri"/>
          <w:szCs w:val="24"/>
        </w:rPr>
      </w:pPr>
      <w:r w:rsidRPr="005D4938">
        <w:rPr>
          <w:rFonts w:ascii="Calibri" w:hAnsi="Calibri" w:cs="Calibri"/>
          <w:szCs w:val="24"/>
        </w:rPr>
        <w:t>Design and propose appropriate valuation methods for the demonstration, if not already in place. These should be used in an economic analysis of the demonstration site over the course of the testing period.</w:t>
      </w:r>
    </w:p>
    <w:p w14:paraId="687340C2" w14:textId="43791D15" w:rsidR="000D7832" w:rsidRPr="005D4938" w:rsidRDefault="000D7832" w:rsidP="00F836F4">
      <w:pPr>
        <w:pStyle w:val="ListParagraph"/>
        <w:numPr>
          <w:ilvl w:val="0"/>
          <w:numId w:val="120"/>
        </w:numPr>
        <w:rPr>
          <w:rFonts w:ascii="Calibri" w:hAnsi="Calibri" w:cs="Calibri"/>
          <w:szCs w:val="24"/>
        </w:rPr>
      </w:pPr>
      <w:r w:rsidRPr="005D4938">
        <w:rPr>
          <w:rFonts w:ascii="Calibri" w:hAnsi="Calibri" w:cs="Calibri"/>
          <w:szCs w:val="24"/>
        </w:rPr>
        <w:t xml:space="preserve">Demonstrate the grid services of interest </w:t>
      </w:r>
      <w:proofErr w:type="gramStart"/>
      <w:r w:rsidR="00D90F93" w:rsidRPr="005D4938">
        <w:rPr>
          <w:rFonts w:ascii="Calibri" w:hAnsi="Calibri" w:cs="Calibri"/>
          <w:szCs w:val="24"/>
        </w:rPr>
        <w:t>are able to</w:t>
      </w:r>
      <w:proofErr w:type="gramEnd"/>
      <w:r w:rsidR="00D90F93" w:rsidRPr="005D4938">
        <w:rPr>
          <w:rFonts w:ascii="Calibri" w:hAnsi="Calibri" w:cs="Calibri"/>
          <w:szCs w:val="24"/>
        </w:rPr>
        <w:t xml:space="preserve"> </w:t>
      </w:r>
      <w:r w:rsidRPr="005D4938">
        <w:rPr>
          <w:rFonts w:ascii="Calibri" w:hAnsi="Calibri" w:cs="Calibri"/>
          <w:szCs w:val="24"/>
        </w:rPr>
        <w:t>respond in accord with control signals from the utility or ISO</w:t>
      </w:r>
      <w:r w:rsidR="00D90F93" w:rsidRPr="005D4938">
        <w:rPr>
          <w:rFonts w:ascii="Calibri" w:hAnsi="Calibri" w:cs="Calibri"/>
          <w:szCs w:val="24"/>
        </w:rPr>
        <w:t>/RTO</w:t>
      </w:r>
      <w:r w:rsidRPr="005D4938">
        <w:rPr>
          <w:rFonts w:ascii="Calibri" w:hAnsi="Calibri" w:cs="Calibri"/>
          <w:szCs w:val="24"/>
        </w:rPr>
        <w:t>.</w:t>
      </w:r>
    </w:p>
    <w:p w14:paraId="28884CD6" w14:textId="77777777" w:rsidR="000D7832" w:rsidRPr="005A5E00" w:rsidRDefault="000D7832" w:rsidP="00F836F4">
      <w:pPr>
        <w:numPr>
          <w:ilvl w:val="1"/>
          <w:numId w:val="121"/>
        </w:numPr>
        <w:ind w:left="2520"/>
        <w:rPr>
          <w:rFonts w:ascii="Calibri" w:hAnsi="Calibri" w:cs="Calibri"/>
          <w:szCs w:val="24"/>
        </w:rPr>
      </w:pPr>
      <w:r w:rsidRPr="005A5E00">
        <w:rPr>
          <w:rFonts w:ascii="Calibri" w:hAnsi="Calibri" w:cs="Calibri"/>
          <w:szCs w:val="24"/>
        </w:rPr>
        <w:t xml:space="preserve">If the design will include more than one distributed energy resource, </w:t>
      </w:r>
      <w:r w:rsidRPr="005A5E00">
        <w:rPr>
          <w:rFonts w:ascii="Calibri" w:hAnsi="Calibri"/>
        </w:rPr>
        <w:t>the aggregated response</w:t>
      </w:r>
      <w:r>
        <w:rPr>
          <w:rFonts w:ascii="Calibri" w:hAnsi="Calibri"/>
        </w:rPr>
        <w:t xml:space="preserve"> </w:t>
      </w:r>
      <w:r w:rsidRPr="005A5E00">
        <w:rPr>
          <w:rFonts w:ascii="Calibri" w:hAnsi="Calibri"/>
        </w:rPr>
        <w:t>and</w:t>
      </w:r>
      <w:r>
        <w:rPr>
          <w:rFonts w:ascii="Calibri" w:hAnsi="Calibri"/>
        </w:rPr>
        <w:t xml:space="preserve"> their</w:t>
      </w:r>
      <w:r w:rsidRPr="005A5E00">
        <w:rPr>
          <w:rFonts w:ascii="Calibri" w:hAnsi="Calibri"/>
        </w:rPr>
        <w:t xml:space="preserve"> interactions may also need to be verified to ensure proper coordination between multiple entities when provid</w:t>
      </w:r>
      <w:r>
        <w:rPr>
          <w:rFonts w:ascii="Calibri" w:hAnsi="Calibri"/>
        </w:rPr>
        <w:t>ing</w:t>
      </w:r>
      <w:r w:rsidRPr="005A5E00">
        <w:rPr>
          <w:rFonts w:ascii="Calibri" w:hAnsi="Calibri"/>
        </w:rPr>
        <w:t xml:space="preserve"> various combinations of grid services</w:t>
      </w:r>
      <w:r>
        <w:rPr>
          <w:rFonts w:ascii="Calibri" w:hAnsi="Calibri"/>
        </w:rPr>
        <w:t>.</w:t>
      </w:r>
    </w:p>
    <w:p w14:paraId="0FF878F9" w14:textId="77777777" w:rsidR="000D7832" w:rsidRPr="005D4938" w:rsidRDefault="000D7832" w:rsidP="00F836F4">
      <w:pPr>
        <w:pStyle w:val="ListParagraph"/>
        <w:numPr>
          <w:ilvl w:val="1"/>
          <w:numId w:val="97"/>
        </w:numPr>
        <w:ind w:left="1800"/>
      </w:pPr>
      <w:r w:rsidRPr="005D4938">
        <w:t>Develop and document the design and implementation of resource management, data communications, and grid operations.</w:t>
      </w:r>
    </w:p>
    <w:p w14:paraId="4A45AA05" w14:textId="77777777" w:rsidR="000D7832" w:rsidRPr="005A5E00" w:rsidRDefault="000D7832" w:rsidP="00F836F4">
      <w:pPr>
        <w:numPr>
          <w:ilvl w:val="0"/>
          <w:numId w:val="122"/>
        </w:numPr>
        <w:rPr>
          <w:rFonts w:ascii="Calibri" w:hAnsi="Calibri" w:cs="Calibri"/>
          <w:szCs w:val="24"/>
        </w:rPr>
      </w:pPr>
      <w:r w:rsidRPr="005A5E00">
        <w:rPr>
          <w:rFonts w:ascii="Calibri" w:hAnsi="Calibri" w:cs="Calibri"/>
        </w:rPr>
        <w:t>Resource management should focus on resource aggregation to formulate manageable control and trad</w:t>
      </w:r>
      <w:r>
        <w:rPr>
          <w:rFonts w:ascii="Calibri" w:hAnsi="Calibri" w:cs="Calibri"/>
        </w:rPr>
        <w:t>ing</w:t>
      </w:r>
      <w:r w:rsidRPr="005A5E00">
        <w:rPr>
          <w:rFonts w:ascii="Calibri" w:hAnsi="Calibri" w:cs="Calibri"/>
        </w:rPr>
        <w:t xml:space="preserve"> entities </w:t>
      </w:r>
      <w:r>
        <w:rPr>
          <w:rFonts w:ascii="Calibri" w:hAnsi="Calibri" w:cs="Calibri"/>
        </w:rPr>
        <w:t>(if proposed) that</w:t>
      </w:r>
      <w:r w:rsidRPr="005A5E00">
        <w:rPr>
          <w:rFonts w:ascii="Calibri" w:hAnsi="Calibri" w:cs="Calibri"/>
        </w:rPr>
        <w:t xml:space="preserve"> fit into the overall utility or ISO generation or grid service participation process; forecasting required and implemented to improve both temporal and spatial accuracy in energy availability (if not already in place); resource optimization by considering opportunities and overall costs and benefits; and reliable responses and executions to dispatching commands</w:t>
      </w:r>
      <w:r>
        <w:rPr>
          <w:rFonts w:ascii="Calibri" w:hAnsi="Calibri" w:cs="Calibri"/>
        </w:rPr>
        <w:t>.</w:t>
      </w:r>
    </w:p>
    <w:p w14:paraId="6D98592E" w14:textId="77777777" w:rsidR="000D7832" w:rsidRPr="005A5E00" w:rsidRDefault="000D7832" w:rsidP="00F836F4">
      <w:pPr>
        <w:numPr>
          <w:ilvl w:val="0"/>
          <w:numId w:val="122"/>
        </w:numPr>
        <w:rPr>
          <w:rFonts w:ascii="Calibri" w:hAnsi="Calibri" w:cs="Calibri"/>
          <w:szCs w:val="24"/>
        </w:rPr>
      </w:pPr>
      <w:r w:rsidRPr="005A5E00">
        <w:rPr>
          <w:rFonts w:ascii="Calibri" w:hAnsi="Calibri" w:cs="Calibri"/>
        </w:rPr>
        <w:t xml:space="preserve">The data communication system </w:t>
      </w:r>
      <w:r>
        <w:rPr>
          <w:rFonts w:ascii="Calibri" w:hAnsi="Calibri" w:cs="Calibri"/>
        </w:rPr>
        <w:t>needed for</w:t>
      </w:r>
      <w:r w:rsidRPr="005A5E00">
        <w:rPr>
          <w:rFonts w:ascii="Calibri" w:hAnsi="Calibri" w:cs="Calibri"/>
        </w:rPr>
        <w:t xml:space="preserve"> secure and fast data transfer between resources and the system </w:t>
      </w:r>
      <w:r>
        <w:rPr>
          <w:rFonts w:ascii="Calibri" w:hAnsi="Calibri" w:cs="Calibri"/>
        </w:rPr>
        <w:t>operator</w:t>
      </w:r>
      <w:r w:rsidRPr="005A5E00">
        <w:rPr>
          <w:rFonts w:ascii="Calibri" w:hAnsi="Calibri" w:cs="Calibri"/>
        </w:rPr>
        <w:t xml:space="preserve"> by connecting data collection module, data monitoring subsystems, resource analysis modules, dispatching modules</w:t>
      </w:r>
      <w:r>
        <w:rPr>
          <w:rFonts w:ascii="Calibri" w:hAnsi="Calibri" w:cs="Calibri"/>
        </w:rPr>
        <w:t>,</w:t>
      </w:r>
      <w:r w:rsidRPr="005A5E00">
        <w:rPr>
          <w:rFonts w:ascii="Calibri" w:hAnsi="Calibri" w:cs="Calibri"/>
        </w:rPr>
        <w:t xml:space="preserve"> resource control subsystems, and other functional modules on both the resource side and the system side, if required by the design and not already in place</w:t>
      </w:r>
      <w:r>
        <w:rPr>
          <w:rFonts w:ascii="Calibri" w:hAnsi="Calibri" w:cs="Calibri"/>
        </w:rPr>
        <w:t>.</w:t>
      </w:r>
    </w:p>
    <w:p w14:paraId="08A231F9" w14:textId="77777777" w:rsidR="000D7832" w:rsidRPr="005A5E00" w:rsidRDefault="000D7832" w:rsidP="00F836F4">
      <w:pPr>
        <w:numPr>
          <w:ilvl w:val="0"/>
          <w:numId w:val="122"/>
        </w:numPr>
        <w:rPr>
          <w:rFonts w:ascii="Calibri" w:hAnsi="Calibri" w:cs="Calibri"/>
          <w:szCs w:val="24"/>
        </w:rPr>
      </w:pPr>
      <w:r>
        <w:rPr>
          <w:rFonts w:ascii="Calibri" w:hAnsi="Calibri" w:cs="Calibri"/>
        </w:rPr>
        <w:t>G</w:t>
      </w:r>
      <w:r w:rsidRPr="005A5E00">
        <w:rPr>
          <w:rFonts w:ascii="Calibri" w:hAnsi="Calibri" w:cs="Calibri"/>
        </w:rPr>
        <w:t>rid operation functions focu</w:t>
      </w:r>
      <w:r>
        <w:rPr>
          <w:rFonts w:ascii="Calibri" w:hAnsi="Calibri" w:cs="Calibri"/>
        </w:rPr>
        <w:t xml:space="preserve">sed </w:t>
      </w:r>
      <w:r w:rsidRPr="005A5E00">
        <w:rPr>
          <w:rFonts w:ascii="Calibri" w:hAnsi="Calibri" w:cs="Calibri"/>
        </w:rPr>
        <w:t xml:space="preserve">on integrating the proposed resource(s) into overall </w:t>
      </w:r>
      <w:r>
        <w:rPr>
          <w:rFonts w:ascii="Calibri" w:hAnsi="Calibri" w:cs="Calibri"/>
        </w:rPr>
        <w:t xml:space="preserve">system planning by the </w:t>
      </w:r>
      <w:r w:rsidRPr="005A5E00">
        <w:rPr>
          <w:rFonts w:ascii="Calibri" w:hAnsi="Calibri" w:cs="Calibri"/>
        </w:rPr>
        <w:t>utility or ISO</w:t>
      </w:r>
      <w:r>
        <w:rPr>
          <w:rFonts w:ascii="Calibri" w:hAnsi="Calibri" w:cs="Calibri"/>
        </w:rPr>
        <w:t>,</w:t>
      </w:r>
      <w:r w:rsidRPr="005A5E00">
        <w:rPr>
          <w:rFonts w:ascii="Calibri" w:hAnsi="Calibri" w:cs="Calibri"/>
        </w:rPr>
        <w:t xml:space="preserve"> trading (if proposed) and control processes, </w:t>
      </w:r>
      <w:proofErr w:type="gramStart"/>
      <w:r w:rsidRPr="005A5E00">
        <w:rPr>
          <w:rFonts w:ascii="Calibri" w:hAnsi="Calibri" w:cs="Calibri"/>
        </w:rPr>
        <w:t>functions</w:t>
      </w:r>
      <w:proofErr w:type="gramEnd"/>
      <w:r w:rsidRPr="005A5E00">
        <w:rPr>
          <w:rFonts w:ascii="Calibri" w:hAnsi="Calibri" w:cs="Calibri"/>
        </w:rPr>
        <w:t xml:space="preserve"> and </w:t>
      </w:r>
      <w:r>
        <w:rPr>
          <w:rFonts w:ascii="Calibri" w:hAnsi="Calibri" w:cs="Calibri"/>
        </w:rPr>
        <w:t>p</w:t>
      </w:r>
      <w:r w:rsidRPr="005A5E00">
        <w:rPr>
          <w:rFonts w:ascii="Calibri" w:hAnsi="Calibri" w:cs="Calibri"/>
        </w:rPr>
        <w:t xml:space="preserve">latforms. These functions would typically include resource integration, service request and registration, service participation evaluation, cost calculation, dispatching </w:t>
      </w:r>
      <w:r>
        <w:rPr>
          <w:rFonts w:ascii="Calibri" w:hAnsi="Calibri" w:cs="Calibri"/>
        </w:rPr>
        <w:t>decisions</w:t>
      </w:r>
      <w:r w:rsidRPr="005A5E00">
        <w:rPr>
          <w:rFonts w:ascii="Calibri" w:hAnsi="Calibri" w:cs="Calibri"/>
        </w:rPr>
        <w:t>, trading submission (if relevant), record saving and retrieving, as well as command issu</w:t>
      </w:r>
      <w:r>
        <w:rPr>
          <w:rFonts w:ascii="Calibri" w:hAnsi="Calibri" w:cs="Calibri"/>
        </w:rPr>
        <w:t>e</w:t>
      </w:r>
      <w:r w:rsidRPr="005A5E00">
        <w:rPr>
          <w:rFonts w:ascii="Calibri" w:hAnsi="Calibri" w:cs="Calibri"/>
        </w:rPr>
        <w:t xml:space="preserve"> and acknowled</w:t>
      </w:r>
      <w:r>
        <w:rPr>
          <w:rFonts w:ascii="Calibri" w:hAnsi="Calibri" w:cs="Calibri"/>
        </w:rPr>
        <w:t>gment</w:t>
      </w:r>
      <w:r w:rsidRPr="005A5E00">
        <w:rPr>
          <w:rFonts w:ascii="Calibri" w:hAnsi="Calibri" w:cs="Calibri"/>
        </w:rPr>
        <w:t xml:space="preserve"> to and from the resources. </w:t>
      </w:r>
    </w:p>
    <w:p w14:paraId="5163E576" w14:textId="77777777" w:rsidR="000D7832" w:rsidRPr="005D4938" w:rsidRDefault="000D7832" w:rsidP="00F836F4">
      <w:pPr>
        <w:pStyle w:val="ListParagraph"/>
        <w:numPr>
          <w:ilvl w:val="0"/>
          <w:numId w:val="123"/>
        </w:numPr>
      </w:pPr>
      <w:r w:rsidRPr="005D4938">
        <w:t>Conduct a cost-benefit analysis</w:t>
      </w:r>
      <w:r w:rsidRPr="005D4938" w:rsidDel="00332705">
        <w:t xml:space="preserve"> </w:t>
      </w:r>
      <w:r w:rsidRPr="005D4938">
        <w:t>utilizing the data collected before and during the demonstration to quantify the value of such services using similar service contracts and/or power system market clearing prices for the product.  The cost-benefit analysis along with the performance requirements variables would be used as the main input for the analysis of the economic barriers for the proposed grid services.  These in turn would be shared with the power systems operations and planning stakeholders to increase their confidence in using solar and wind generation technologies for complementing system operations.</w:t>
      </w:r>
    </w:p>
    <w:p w14:paraId="0066CF11" w14:textId="2F04BC29" w:rsidR="000D7832" w:rsidRPr="005D4938" w:rsidRDefault="000D7832" w:rsidP="00F836F4">
      <w:pPr>
        <w:pStyle w:val="ListParagraph"/>
        <w:numPr>
          <w:ilvl w:val="0"/>
          <w:numId w:val="123"/>
        </w:numPr>
      </w:pPr>
      <w:r w:rsidRPr="005D4938">
        <w:t xml:space="preserve">Identify how the </w:t>
      </w:r>
      <w:r w:rsidR="00680E97" w:rsidRPr="005D4938">
        <w:t>demonstrated grid service technologies may impact</w:t>
      </w:r>
      <w:r w:rsidRPr="005D4938">
        <w:t xml:space="preserve"> </w:t>
      </w:r>
      <w:r w:rsidR="00680E97" w:rsidRPr="005D4938">
        <w:t>the interconnection study process</w:t>
      </w:r>
      <w:r w:rsidRPr="005D4938">
        <w:t>:</w:t>
      </w:r>
    </w:p>
    <w:p w14:paraId="03226192" w14:textId="5B5B5A5B" w:rsidR="000D7832" w:rsidRPr="00490805" w:rsidRDefault="00680E97" w:rsidP="00F836F4">
      <w:pPr>
        <w:pStyle w:val="ListParagraph"/>
        <w:numPr>
          <w:ilvl w:val="1"/>
          <w:numId w:val="124"/>
        </w:numPr>
        <w:rPr>
          <w:rFonts w:ascii="Calibri" w:hAnsi="Calibri"/>
          <w:szCs w:val="24"/>
        </w:rPr>
      </w:pPr>
      <w:r>
        <w:rPr>
          <w:rFonts w:ascii="Calibri" w:hAnsi="Calibri"/>
          <w:szCs w:val="24"/>
        </w:rPr>
        <w:t>Identify new simulations or studies that may be needed during the interconnection process for solar and wind plants that can provide grid services.</w:t>
      </w:r>
    </w:p>
    <w:p w14:paraId="5905DFD4" w14:textId="7FB07BDF" w:rsidR="000D7832" w:rsidRPr="00490805" w:rsidRDefault="00680E97" w:rsidP="00F836F4">
      <w:pPr>
        <w:pStyle w:val="ListParagraph"/>
        <w:numPr>
          <w:ilvl w:val="1"/>
          <w:numId w:val="124"/>
        </w:numPr>
        <w:rPr>
          <w:rFonts w:ascii="Calibri" w:hAnsi="Calibri"/>
          <w:szCs w:val="24"/>
        </w:rPr>
      </w:pPr>
      <w:r>
        <w:rPr>
          <w:rFonts w:ascii="Calibri" w:hAnsi="Calibri"/>
          <w:szCs w:val="24"/>
        </w:rPr>
        <w:t>Identify improvements that could be made to interconnection study tools or software to perform studies that account for grid services more efficiently</w:t>
      </w:r>
      <w:r w:rsidR="000D7832" w:rsidRPr="00490805">
        <w:rPr>
          <w:rFonts w:ascii="Calibri" w:hAnsi="Calibri"/>
          <w:szCs w:val="24"/>
        </w:rPr>
        <w:t>.</w:t>
      </w:r>
    </w:p>
    <w:p w14:paraId="31584658" w14:textId="1C412370" w:rsidR="002D7998" w:rsidRDefault="002D7998">
      <w:pPr>
        <w:rPr>
          <w:b/>
          <w:bCs/>
        </w:rPr>
      </w:pPr>
      <w:r>
        <w:rPr>
          <w:b/>
          <w:bCs/>
        </w:rPr>
        <w:br w:type="page"/>
      </w:r>
    </w:p>
    <w:p w14:paraId="10988D47" w14:textId="7296166E" w:rsidR="007B0BD6" w:rsidRDefault="007B0BD6" w:rsidP="007B0BD6">
      <w:pPr>
        <w:ind w:left="1440"/>
        <w:rPr>
          <w:b/>
          <w:bCs/>
        </w:rPr>
      </w:pPr>
      <w:r>
        <w:rPr>
          <w:b/>
          <w:bCs/>
        </w:rPr>
        <w:t>Project Requirements</w:t>
      </w:r>
    </w:p>
    <w:p w14:paraId="02E761E4" w14:textId="77777777" w:rsidR="004B4DBC" w:rsidRDefault="004B4DBC" w:rsidP="007B0BD6">
      <w:pPr>
        <w:ind w:left="1440"/>
        <w:rPr>
          <w:b/>
          <w:bCs/>
        </w:rPr>
      </w:pPr>
    </w:p>
    <w:p w14:paraId="71D7D5B1" w14:textId="7193188A" w:rsidR="007B0BD6" w:rsidRDefault="007B0BD6" w:rsidP="007B0BD6">
      <w:pPr>
        <w:ind w:left="1440"/>
        <w:rPr>
          <w:rFonts w:ascii="Calibri" w:hAnsi="Calibri"/>
        </w:rPr>
      </w:pPr>
      <w:r w:rsidRPr="005A5E00">
        <w:rPr>
          <w:rFonts w:ascii="Calibri" w:hAnsi="Calibri"/>
        </w:rPr>
        <w:fldChar w:fldCharType="begin"/>
      </w:r>
      <w:r w:rsidRPr="005A5E00">
        <w:rPr>
          <w:rFonts w:ascii="Calibri" w:hAnsi="Calibri"/>
        </w:rPr>
        <w:instrText xml:space="preserve"> REF _Ref91753726 \h </w:instrText>
      </w:r>
      <w:r w:rsidRPr="005A5E00">
        <w:rPr>
          <w:rFonts w:ascii="Calibri" w:hAnsi="Calibri"/>
        </w:rPr>
      </w:r>
      <w:r w:rsidRPr="005A5E00">
        <w:rPr>
          <w:rFonts w:ascii="Calibri" w:hAnsi="Calibri"/>
        </w:rPr>
        <w:fldChar w:fldCharType="separate"/>
      </w:r>
      <w:r w:rsidRPr="005A5E00">
        <w:rPr>
          <w:rFonts w:ascii="Calibri" w:hAnsi="Calibri"/>
        </w:rPr>
        <w:t xml:space="preserve">Table </w:t>
      </w:r>
      <w:r w:rsidRPr="005A5E00">
        <w:rPr>
          <w:rFonts w:ascii="Calibri" w:hAnsi="Calibri"/>
          <w:noProof/>
        </w:rPr>
        <w:t>2</w:t>
      </w:r>
      <w:r w:rsidRPr="005A5E00">
        <w:rPr>
          <w:rFonts w:ascii="Calibri" w:hAnsi="Calibri"/>
        </w:rPr>
        <w:fldChar w:fldCharType="end"/>
      </w:r>
      <w:r w:rsidRPr="005A5E00">
        <w:rPr>
          <w:rFonts w:ascii="Calibri" w:hAnsi="Calibri"/>
        </w:rPr>
        <w:t xml:space="preserve"> below provides a summary of general project requirements.</w:t>
      </w:r>
    </w:p>
    <w:p w14:paraId="33215494" w14:textId="77777777" w:rsidR="007B0BD6" w:rsidRDefault="007B0BD6" w:rsidP="007B0BD6">
      <w:pPr>
        <w:ind w:left="1440"/>
        <w:rPr>
          <w:rFonts w:ascii="Calibri" w:hAnsi="Calibri"/>
        </w:rPr>
      </w:pPr>
    </w:p>
    <w:p w14:paraId="3A47BCFE" w14:textId="77777777" w:rsidR="007B0BD6" w:rsidRPr="007B0BD6" w:rsidRDefault="007B0BD6" w:rsidP="007B0BD6">
      <w:pPr>
        <w:jc w:val="center"/>
        <w:rPr>
          <w:rFonts w:ascii="Calibri" w:hAnsi="Calibri"/>
          <w:i/>
          <w:sz w:val="18"/>
          <w:szCs w:val="18"/>
        </w:rPr>
      </w:pPr>
      <w:bookmarkStart w:id="37" w:name="_Ref91753726"/>
      <w:r w:rsidRPr="007B0BD6">
        <w:rPr>
          <w:rFonts w:ascii="Calibri" w:hAnsi="Calibri"/>
          <w:i/>
          <w:sz w:val="18"/>
          <w:szCs w:val="18"/>
        </w:rPr>
        <w:t xml:space="preserve">Table </w:t>
      </w:r>
      <w:r w:rsidRPr="007B0BD6">
        <w:rPr>
          <w:rFonts w:ascii="Calibri" w:hAnsi="Calibri"/>
          <w:i/>
          <w:sz w:val="18"/>
          <w:szCs w:val="18"/>
        </w:rPr>
        <w:fldChar w:fldCharType="begin"/>
      </w:r>
      <w:r w:rsidRPr="007B0BD6">
        <w:rPr>
          <w:rFonts w:ascii="Calibri" w:hAnsi="Calibri"/>
          <w:i/>
          <w:sz w:val="18"/>
          <w:szCs w:val="18"/>
        </w:rPr>
        <w:instrText xml:space="preserve"> SEQ Table \* ARABIC </w:instrText>
      </w:r>
      <w:r w:rsidRPr="007B0BD6">
        <w:rPr>
          <w:rFonts w:ascii="Calibri" w:hAnsi="Calibri"/>
          <w:i/>
          <w:sz w:val="18"/>
          <w:szCs w:val="18"/>
        </w:rPr>
        <w:fldChar w:fldCharType="separate"/>
      </w:r>
      <w:r w:rsidRPr="007B0BD6">
        <w:rPr>
          <w:rFonts w:ascii="Calibri" w:hAnsi="Calibri"/>
          <w:i/>
          <w:noProof/>
          <w:sz w:val="18"/>
          <w:szCs w:val="18"/>
        </w:rPr>
        <w:t>2</w:t>
      </w:r>
      <w:r w:rsidRPr="007B0BD6">
        <w:rPr>
          <w:rFonts w:ascii="Calibri" w:hAnsi="Calibri"/>
          <w:i/>
          <w:noProof/>
          <w:sz w:val="18"/>
          <w:szCs w:val="18"/>
        </w:rPr>
        <w:fldChar w:fldCharType="end"/>
      </w:r>
      <w:bookmarkEnd w:id="37"/>
      <w:r w:rsidRPr="007B0BD6">
        <w:rPr>
          <w:rFonts w:ascii="Calibri" w:hAnsi="Calibri"/>
          <w:i/>
          <w:sz w:val="18"/>
          <w:szCs w:val="18"/>
        </w:rPr>
        <w:t>: Project Requirements</w:t>
      </w:r>
    </w:p>
    <w:tbl>
      <w:tblPr>
        <w:tblW w:w="9413" w:type="dxa"/>
        <w:jc w:val="center"/>
        <w:tblCellMar>
          <w:top w:w="58" w:type="dxa"/>
          <w:left w:w="115" w:type="dxa"/>
          <w:bottom w:w="58" w:type="dxa"/>
          <w:right w:w="115" w:type="dxa"/>
        </w:tblCellMar>
        <w:tblLook w:val="04A0" w:firstRow="1" w:lastRow="0" w:firstColumn="1" w:lastColumn="0" w:noHBand="0" w:noVBand="1"/>
        <w:tblCaption w:val=""/>
        <w:tblDescription w:val=""/>
      </w:tblPr>
      <w:tblGrid>
        <w:gridCol w:w="2205"/>
        <w:gridCol w:w="7208"/>
      </w:tblGrid>
      <w:tr w:rsidR="007B0BD6" w:rsidRPr="005A5E00" w14:paraId="4E4CDB6B" w14:textId="77777777" w:rsidTr="00F836F4">
        <w:trPr>
          <w:trHeight w:val="369"/>
          <w:jc w:val="center"/>
        </w:trPr>
        <w:tc>
          <w:tcPr>
            <w:tcW w:w="2205" w:type="dxa"/>
            <w:tcBorders>
              <w:top w:val="single" w:sz="4" w:space="0" w:color="999999"/>
              <w:left w:val="single" w:sz="4" w:space="0" w:color="999999"/>
              <w:right w:val="single" w:sz="4" w:space="0" w:color="999999"/>
            </w:tcBorders>
            <w:shd w:val="clear" w:color="auto" w:fill="B8CCE4" w:themeFill="accent1" w:themeFillTint="66"/>
            <w:vAlign w:val="center"/>
            <w:hideMark/>
          </w:tcPr>
          <w:p w14:paraId="6D2A27E0" w14:textId="77777777" w:rsidR="007B0BD6" w:rsidRPr="00F836F4" w:rsidRDefault="007B0BD6" w:rsidP="00822FCC">
            <w:pPr>
              <w:contextualSpacing/>
              <w:jc w:val="center"/>
              <w:rPr>
                <w:rFonts w:ascii="Calibri" w:hAnsi="Calibri" w:cs="Calibri"/>
                <w:b/>
                <w:bCs/>
                <w:sz w:val="20"/>
              </w:rPr>
            </w:pPr>
            <w:r w:rsidRPr="00F836F4">
              <w:rPr>
                <w:rFonts w:ascii="Calibri" w:hAnsi="Calibri" w:cs="Calibri"/>
                <w:b/>
                <w:bCs/>
                <w:sz w:val="20"/>
              </w:rPr>
              <w:t>Features</w:t>
            </w:r>
          </w:p>
        </w:tc>
        <w:tc>
          <w:tcPr>
            <w:tcW w:w="7208" w:type="dxa"/>
            <w:tcBorders>
              <w:top w:val="single" w:sz="4" w:space="0" w:color="999999"/>
              <w:left w:val="single" w:sz="4" w:space="0" w:color="999999"/>
              <w:right w:val="single" w:sz="4" w:space="0" w:color="999999"/>
            </w:tcBorders>
            <w:shd w:val="clear" w:color="auto" w:fill="B8CCE4" w:themeFill="accent1" w:themeFillTint="66"/>
            <w:vAlign w:val="center"/>
            <w:hideMark/>
          </w:tcPr>
          <w:p w14:paraId="0548A0C8" w14:textId="77777777" w:rsidR="007B0BD6" w:rsidRPr="00F836F4" w:rsidRDefault="007B0BD6" w:rsidP="00822FCC">
            <w:pPr>
              <w:contextualSpacing/>
              <w:jc w:val="center"/>
              <w:rPr>
                <w:rFonts w:ascii="Calibri" w:hAnsi="Calibri" w:cs="Calibri"/>
                <w:b/>
                <w:bCs/>
                <w:sz w:val="20"/>
              </w:rPr>
            </w:pPr>
            <w:r w:rsidRPr="00F836F4">
              <w:rPr>
                <w:rFonts w:ascii="Calibri" w:hAnsi="Calibri" w:cs="Calibri"/>
                <w:b/>
                <w:bCs/>
                <w:sz w:val="20"/>
              </w:rPr>
              <w:t>Requirements</w:t>
            </w:r>
          </w:p>
        </w:tc>
      </w:tr>
      <w:tr w:rsidR="007B0BD6" w:rsidRPr="005A5E00" w14:paraId="0097239B" w14:textId="77777777" w:rsidTr="00F836F4">
        <w:trPr>
          <w:trHeight w:val="447"/>
          <w:jc w:val="center"/>
        </w:trPr>
        <w:tc>
          <w:tcPr>
            <w:tcW w:w="220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758A6BA3" w14:textId="77777777" w:rsidR="007B0BD6" w:rsidRPr="00F836F4" w:rsidRDefault="007B0BD6" w:rsidP="00822FCC">
            <w:pPr>
              <w:contextualSpacing/>
              <w:rPr>
                <w:rFonts w:ascii="Calibri" w:hAnsi="Calibri" w:cs="Calibri"/>
                <w:sz w:val="20"/>
              </w:rPr>
            </w:pPr>
            <w:r w:rsidRPr="00F836F4">
              <w:rPr>
                <w:rFonts w:ascii="Calibri" w:hAnsi="Calibri" w:cs="Calibri"/>
                <w:sz w:val="20"/>
              </w:rPr>
              <w:t>Utility or ISO size</w:t>
            </w:r>
          </w:p>
        </w:tc>
        <w:tc>
          <w:tcPr>
            <w:tcW w:w="720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5A504F43" w14:textId="77777777" w:rsidR="007B0BD6" w:rsidRPr="00F836F4" w:rsidRDefault="007B0BD6" w:rsidP="00F836F4">
            <w:pPr>
              <w:numPr>
                <w:ilvl w:val="0"/>
                <w:numId w:val="86"/>
              </w:numPr>
              <w:tabs>
                <w:tab w:val="center" w:pos="4320"/>
                <w:tab w:val="right" w:pos="8640"/>
              </w:tabs>
              <w:contextualSpacing/>
              <w:rPr>
                <w:rFonts w:ascii="Calibri" w:hAnsi="Calibri" w:cs="Calibri"/>
                <w:sz w:val="20"/>
              </w:rPr>
            </w:pPr>
            <w:r w:rsidRPr="00F836F4">
              <w:rPr>
                <w:rFonts w:ascii="Calibri" w:hAnsi="Calibri" w:cs="Calibri"/>
                <w:sz w:val="20"/>
              </w:rPr>
              <w:t xml:space="preserve">Bulk power systems size: </w:t>
            </w:r>
            <w:r w:rsidRPr="00F836F4">
              <w:rPr>
                <w:rFonts w:ascii="Calibri" w:hAnsi="Calibri" w:cs="Calibri"/>
                <w:color w:val="000000"/>
                <w:sz w:val="20"/>
              </w:rPr>
              <w:t xml:space="preserve">≥ </w:t>
            </w:r>
            <w:r w:rsidRPr="00F836F4">
              <w:rPr>
                <w:rFonts w:ascii="Calibri" w:hAnsi="Calibri" w:cs="Calibri"/>
                <w:sz w:val="20"/>
              </w:rPr>
              <w:t>200 MW for traditional services demonstration</w:t>
            </w:r>
          </w:p>
          <w:p w14:paraId="55FDB1B4" w14:textId="77777777" w:rsidR="007B0BD6" w:rsidRPr="00F836F4" w:rsidRDefault="007B0BD6" w:rsidP="00F836F4">
            <w:pPr>
              <w:numPr>
                <w:ilvl w:val="0"/>
                <w:numId w:val="86"/>
              </w:numPr>
              <w:tabs>
                <w:tab w:val="center" w:pos="4320"/>
                <w:tab w:val="right" w:pos="8640"/>
              </w:tabs>
              <w:contextualSpacing/>
              <w:rPr>
                <w:rFonts w:ascii="Calibri" w:hAnsi="Calibri" w:cs="Calibri"/>
                <w:sz w:val="20"/>
              </w:rPr>
            </w:pPr>
            <w:r w:rsidRPr="00F836F4">
              <w:rPr>
                <w:rFonts w:ascii="Calibri" w:hAnsi="Calibri" w:cs="Calibri"/>
                <w:sz w:val="20"/>
              </w:rPr>
              <w:t xml:space="preserve">Bulk power system size: </w:t>
            </w:r>
            <w:r w:rsidRPr="00F836F4">
              <w:rPr>
                <w:rFonts w:ascii="Calibri" w:hAnsi="Calibri" w:cs="Calibri"/>
                <w:color w:val="000000"/>
                <w:sz w:val="20"/>
              </w:rPr>
              <w:t xml:space="preserve">≥ </w:t>
            </w:r>
            <w:r w:rsidRPr="00F836F4">
              <w:rPr>
                <w:rFonts w:ascii="Calibri" w:hAnsi="Calibri" w:cs="Calibri"/>
                <w:sz w:val="20"/>
              </w:rPr>
              <w:t>50MW for emerging services demonstration</w:t>
            </w:r>
          </w:p>
        </w:tc>
      </w:tr>
      <w:tr w:rsidR="007B0BD6" w:rsidRPr="005A5E00" w14:paraId="535A1957" w14:textId="77777777" w:rsidTr="00F836F4">
        <w:trPr>
          <w:trHeight w:val="130"/>
          <w:jc w:val="center"/>
        </w:trPr>
        <w:tc>
          <w:tcPr>
            <w:tcW w:w="220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413DA349" w14:textId="77777777" w:rsidR="007B0BD6" w:rsidRPr="00F836F4" w:rsidRDefault="007B0BD6" w:rsidP="00822FCC">
            <w:pPr>
              <w:contextualSpacing/>
              <w:rPr>
                <w:rFonts w:ascii="Calibri" w:hAnsi="Calibri" w:cs="Calibri"/>
                <w:sz w:val="20"/>
              </w:rPr>
            </w:pPr>
            <w:r w:rsidRPr="00F836F4">
              <w:rPr>
                <w:rFonts w:ascii="Calibri" w:hAnsi="Calibri" w:cs="Calibri"/>
                <w:sz w:val="20"/>
              </w:rPr>
              <w:t>(Aggregated) Plant size</w:t>
            </w:r>
          </w:p>
        </w:tc>
        <w:tc>
          <w:tcPr>
            <w:tcW w:w="720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74AE0747" w14:textId="77777777" w:rsidR="007B0BD6" w:rsidRPr="00F836F4" w:rsidRDefault="007B0BD6" w:rsidP="00F836F4">
            <w:pPr>
              <w:numPr>
                <w:ilvl w:val="0"/>
                <w:numId w:val="86"/>
              </w:numPr>
              <w:tabs>
                <w:tab w:val="center" w:pos="4320"/>
                <w:tab w:val="right" w:pos="8640"/>
              </w:tabs>
              <w:contextualSpacing/>
              <w:rPr>
                <w:rFonts w:ascii="Calibri" w:hAnsi="Calibri" w:cs="Calibri"/>
                <w:sz w:val="20"/>
              </w:rPr>
            </w:pPr>
            <w:r w:rsidRPr="00F836F4">
              <w:rPr>
                <w:rFonts w:ascii="Calibri" w:hAnsi="Calibri" w:cs="Calibri"/>
                <w:sz w:val="20"/>
              </w:rPr>
              <w:t xml:space="preserve">Combined wind/ solar/ storage/ aggregated DERs </w:t>
            </w:r>
            <w:r w:rsidRPr="00F836F4">
              <w:rPr>
                <w:rFonts w:ascii="Calibri" w:hAnsi="Calibri" w:cs="Calibri"/>
                <w:color w:val="000000"/>
                <w:sz w:val="20"/>
              </w:rPr>
              <w:t>≥ 10</w:t>
            </w:r>
            <w:r w:rsidRPr="00F836F4">
              <w:rPr>
                <w:rFonts w:ascii="Calibri" w:hAnsi="Calibri" w:cs="Calibri"/>
                <w:sz w:val="20"/>
              </w:rPr>
              <w:t xml:space="preserve"> MW</w:t>
            </w:r>
          </w:p>
        </w:tc>
      </w:tr>
      <w:tr w:rsidR="007B0BD6" w:rsidRPr="005A5E00" w14:paraId="3F3AA7C3" w14:textId="77777777" w:rsidTr="00F836F4">
        <w:trPr>
          <w:trHeight w:val="583"/>
          <w:jc w:val="center"/>
        </w:trPr>
        <w:tc>
          <w:tcPr>
            <w:tcW w:w="220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428B03D5" w14:textId="77777777" w:rsidR="007B0BD6" w:rsidRPr="00F836F4" w:rsidRDefault="007B0BD6" w:rsidP="00822FCC">
            <w:pPr>
              <w:contextualSpacing/>
              <w:rPr>
                <w:rFonts w:ascii="Calibri" w:hAnsi="Calibri" w:cs="Calibri"/>
                <w:sz w:val="20"/>
              </w:rPr>
            </w:pPr>
            <w:r w:rsidRPr="00F836F4">
              <w:rPr>
                <w:rFonts w:ascii="Calibri" w:hAnsi="Calibri" w:cs="Calibri"/>
                <w:sz w:val="20"/>
              </w:rPr>
              <w:t>Renewable penetration</w:t>
            </w:r>
          </w:p>
        </w:tc>
        <w:tc>
          <w:tcPr>
            <w:tcW w:w="720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6A1EEB6D" w14:textId="02FD6010" w:rsidR="007B0BD6" w:rsidRPr="00F836F4" w:rsidRDefault="007B0BD6" w:rsidP="00F836F4">
            <w:pPr>
              <w:numPr>
                <w:ilvl w:val="0"/>
                <w:numId w:val="86"/>
              </w:numPr>
              <w:tabs>
                <w:tab w:val="center" w:pos="4320"/>
                <w:tab w:val="right" w:pos="8640"/>
              </w:tabs>
              <w:contextualSpacing/>
              <w:rPr>
                <w:rFonts w:ascii="Calibri" w:hAnsi="Calibri" w:cs="Calibri"/>
                <w:sz w:val="20"/>
              </w:rPr>
            </w:pPr>
            <w:r w:rsidRPr="00F836F4">
              <w:rPr>
                <w:rFonts w:ascii="Calibri" w:hAnsi="Calibri" w:cs="Calibri"/>
                <w:sz w:val="20"/>
              </w:rPr>
              <w:t xml:space="preserve">Instantaneous (hourly or 15-min time intervals) renewables and aggregated DERs penetration level </w:t>
            </w:r>
            <w:r w:rsidR="008815F5" w:rsidRPr="00F836F4">
              <w:rPr>
                <w:rFonts w:ascii="Calibri" w:hAnsi="Calibri" w:cs="Calibri"/>
                <w:color w:val="000000"/>
                <w:sz w:val="20"/>
              </w:rPr>
              <w:t xml:space="preserve">≥ </w:t>
            </w:r>
            <w:r w:rsidR="008815F5" w:rsidRPr="00F836F4">
              <w:rPr>
                <w:rFonts w:ascii="Calibri" w:hAnsi="Calibri" w:cs="Calibri"/>
                <w:sz w:val="20"/>
              </w:rPr>
              <w:t>50</w:t>
            </w:r>
            <w:r w:rsidRPr="00F836F4">
              <w:rPr>
                <w:rFonts w:ascii="Calibri" w:hAnsi="Calibri" w:cs="Calibri"/>
                <w:sz w:val="20"/>
              </w:rPr>
              <w:t>% up to 100% for 25% of demonstration period</w:t>
            </w:r>
          </w:p>
        </w:tc>
      </w:tr>
      <w:tr w:rsidR="007B0BD6" w:rsidRPr="005A5E00" w14:paraId="52AB6852" w14:textId="77777777" w:rsidTr="00F836F4">
        <w:trPr>
          <w:trHeight w:val="230"/>
          <w:jc w:val="center"/>
        </w:trPr>
        <w:tc>
          <w:tcPr>
            <w:tcW w:w="220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4842C4A6" w14:textId="77777777" w:rsidR="007B0BD6" w:rsidRPr="00F836F4" w:rsidRDefault="007B0BD6" w:rsidP="00822FCC">
            <w:pPr>
              <w:contextualSpacing/>
              <w:rPr>
                <w:rFonts w:ascii="Calibri" w:hAnsi="Calibri" w:cs="Calibri"/>
                <w:sz w:val="20"/>
              </w:rPr>
            </w:pPr>
            <w:r w:rsidRPr="00F836F4">
              <w:rPr>
                <w:rFonts w:ascii="Calibri" w:hAnsi="Calibri" w:cs="Calibri"/>
                <w:sz w:val="20"/>
              </w:rPr>
              <w:t>Minimum other DERs aggregation</w:t>
            </w:r>
          </w:p>
        </w:tc>
        <w:tc>
          <w:tcPr>
            <w:tcW w:w="720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447EE1DB" w14:textId="77777777" w:rsidR="007B0BD6" w:rsidRPr="00F836F4" w:rsidRDefault="007B0BD6" w:rsidP="00F836F4">
            <w:pPr>
              <w:numPr>
                <w:ilvl w:val="0"/>
                <w:numId w:val="86"/>
              </w:numPr>
              <w:tabs>
                <w:tab w:val="center" w:pos="4320"/>
                <w:tab w:val="right" w:pos="8640"/>
              </w:tabs>
              <w:contextualSpacing/>
              <w:rPr>
                <w:rFonts w:ascii="Calibri" w:hAnsi="Calibri" w:cs="Calibri"/>
                <w:sz w:val="20"/>
              </w:rPr>
            </w:pPr>
            <w:r w:rsidRPr="00F836F4">
              <w:rPr>
                <w:rFonts w:ascii="Calibri" w:hAnsi="Calibri" w:cs="Calibri"/>
                <w:sz w:val="20"/>
              </w:rPr>
              <w:t xml:space="preserve">Roof top PV, demand-side management (DMS), etc.  </w:t>
            </w:r>
            <w:r w:rsidRPr="00F836F4">
              <w:rPr>
                <w:rFonts w:ascii="Calibri" w:hAnsi="Calibri" w:cs="Calibri"/>
                <w:color w:val="000000"/>
                <w:sz w:val="20"/>
              </w:rPr>
              <w:t>≥ 10</w:t>
            </w:r>
            <w:r w:rsidRPr="00F836F4">
              <w:rPr>
                <w:rFonts w:ascii="Calibri" w:hAnsi="Calibri" w:cs="Calibri"/>
                <w:sz w:val="20"/>
              </w:rPr>
              <w:t xml:space="preserve"> MW</w:t>
            </w:r>
          </w:p>
        </w:tc>
      </w:tr>
      <w:tr w:rsidR="007B0BD6" w:rsidRPr="005A5E00" w14:paraId="5E64BC9A" w14:textId="77777777" w:rsidTr="00F836F4">
        <w:trPr>
          <w:trHeight w:val="338"/>
          <w:jc w:val="center"/>
        </w:trPr>
        <w:tc>
          <w:tcPr>
            <w:tcW w:w="220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14CE02DC" w14:textId="77777777" w:rsidR="007B0BD6" w:rsidRPr="00F836F4" w:rsidRDefault="007B0BD6" w:rsidP="00822FCC">
            <w:pPr>
              <w:contextualSpacing/>
              <w:rPr>
                <w:rFonts w:ascii="Calibri" w:hAnsi="Calibri" w:cs="Calibri"/>
                <w:sz w:val="20"/>
              </w:rPr>
            </w:pPr>
            <w:r w:rsidRPr="00F836F4">
              <w:rPr>
                <w:rFonts w:ascii="Calibri" w:hAnsi="Calibri" w:cs="Calibri"/>
                <w:color w:val="000000"/>
                <w:sz w:val="20"/>
              </w:rPr>
              <w:t>Hardware-in-the-loop simulations</w:t>
            </w:r>
          </w:p>
        </w:tc>
        <w:tc>
          <w:tcPr>
            <w:tcW w:w="720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3E506912" w14:textId="77777777" w:rsidR="007B0BD6" w:rsidRPr="00F836F4" w:rsidRDefault="007B0BD6" w:rsidP="00F836F4">
            <w:pPr>
              <w:numPr>
                <w:ilvl w:val="0"/>
                <w:numId w:val="86"/>
              </w:numPr>
              <w:tabs>
                <w:tab w:val="center" w:pos="4320"/>
                <w:tab w:val="right" w:pos="8640"/>
              </w:tabs>
              <w:contextualSpacing/>
              <w:rPr>
                <w:rFonts w:ascii="Calibri" w:hAnsi="Calibri" w:cs="Calibri"/>
                <w:sz w:val="20"/>
              </w:rPr>
            </w:pPr>
            <w:r w:rsidRPr="00F836F4">
              <w:rPr>
                <w:rFonts w:ascii="Calibri" w:hAnsi="Calibri" w:cs="Calibri"/>
                <w:color w:val="000000"/>
                <w:sz w:val="20"/>
              </w:rPr>
              <w:t>≥ 15 min, 24 hour, 6-month simulations, required</w:t>
            </w:r>
          </w:p>
          <w:p w14:paraId="2DDBA564" w14:textId="77777777" w:rsidR="007B0BD6" w:rsidRPr="00F836F4" w:rsidRDefault="007B0BD6" w:rsidP="00F836F4">
            <w:pPr>
              <w:numPr>
                <w:ilvl w:val="0"/>
                <w:numId w:val="86"/>
              </w:numPr>
              <w:tabs>
                <w:tab w:val="center" w:pos="4320"/>
                <w:tab w:val="right" w:pos="8640"/>
              </w:tabs>
              <w:contextualSpacing/>
              <w:rPr>
                <w:rFonts w:ascii="Calibri" w:hAnsi="Calibri" w:cs="Calibri"/>
                <w:sz w:val="20"/>
              </w:rPr>
            </w:pPr>
            <w:r w:rsidRPr="00F836F4">
              <w:rPr>
                <w:rFonts w:ascii="Calibri" w:hAnsi="Calibri" w:cs="Calibri"/>
                <w:color w:val="000000"/>
                <w:sz w:val="20"/>
              </w:rPr>
              <w:t>≥ 5 min, 24 hour, 12-month simulations,</w:t>
            </w:r>
            <w:r w:rsidRPr="00F836F4">
              <w:rPr>
                <w:rFonts w:ascii="Calibri" w:hAnsi="Calibri" w:cs="Calibri"/>
                <w:sz w:val="20"/>
              </w:rPr>
              <w:t xml:space="preserve"> recommended</w:t>
            </w:r>
          </w:p>
        </w:tc>
      </w:tr>
      <w:tr w:rsidR="007B0BD6" w:rsidRPr="005A5E00" w14:paraId="190696C7" w14:textId="77777777" w:rsidTr="00F836F4">
        <w:trPr>
          <w:trHeight w:val="284"/>
          <w:jc w:val="center"/>
        </w:trPr>
        <w:tc>
          <w:tcPr>
            <w:tcW w:w="220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59A44087" w14:textId="77777777" w:rsidR="007B0BD6" w:rsidRPr="00F836F4" w:rsidRDefault="007B0BD6" w:rsidP="00822FCC">
            <w:pPr>
              <w:contextualSpacing/>
              <w:rPr>
                <w:rFonts w:ascii="Calibri" w:hAnsi="Calibri" w:cs="Calibri"/>
                <w:sz w:val="20"/>
              </w:rPr>
            </w:pPr>
            <w:r w:rsidRPr="00F836F4">
              <w:rPr>
                <w:rFonts w:ascii="Calibri" w:hAnsi="Calibri" w:cs="Calibri"/>
                <w:sz w:val="20"/>
              </w:rPr>
              <w:t>Demonstration period</w:t>
            </w:r>
          </w:p>
        </w:tc>
        <w:tc>
          <w:tcPr>
            <w:tcW w:w="720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0D4C5A0E" w14:textId="77777777" w:rsidR="007B0BD6" w:rsidRPr="00F836F4" w:rsidRDefault="007B0BD6" w:rsidP="00F836F4">
            <w:pPr>
              <w:numPr>
                <w:ilvl w:val="0"/>
                <w:numId w:val="86"/>
              </w:numPr>
              <w:tabs>
                <w:tab w:val="center" w:pos="4320"/>
                <w:tab w:val="right" w:pos="8640"/>
              </w:tabs>
              <w:contextualSpacing/>
              <w:rPr>
                <w:rFonts w:ascii="Calibri" w:hAnsi="Calibri" w:cs="Calibri"/>
                <w:sz w:val="20"/>
              </w:rPr>
            </w:pPr>
            <w:r w:rsidRPr="00F836F4">
              <w:rPr>
                <w:rFonts w:ascii="Calibri" w:hAnsi="Calibri" w:cs="Calibri"/>
                <w:color w:val="000000"/>
                <w:sz w:val="20"/>
              </w:rPr>
              <w:t>≥</w:t>
            </w:r>
            <w:r w:rsidRPr="00F836F4">
              <w:rPr>
                <w:rFonts w:ascii="Calibri" w:hAnsi="Calibri" w:cs="Calibri"/>
                <w:sz w:val="20"/>
              </w:rPr>
              <w:t xml:space="preserve"> 6 months, required</w:t>
            </w:r>
          </w:p>
          <w:p w14:paraId="45278ADA" w14:textId="77777777" w:rsidR="007B0BD6" w:rsidRPr="00F836F4" w:rsidRDefault="007B0BD6" w:rsidP="00F836F4">
            <w:pPr>
              <w:numPr>
                <w:ilvl w:val="0"/>
                <w:numId w:val="86"/>
              </w:numPr>
              <w:tabs>
                <w:tab w:val="center" w:pos="4320"/>
                <w:tab w:val="right" w:pos="8640"/>
              </w:tabs>
              <w:contextualSpacing/>
              <w:rPr>
                <w:rFonts w:ascii="Calibri" w:hAnsi="Calibri" w:cs="Calibri"/>
                <w:sz w:val="20"/>
              </w:rPr>
            </w:pPr>
            <w:r w:rsidRPr="00F836F4">
              <w:rPr>
                <w:rFonts w:ascii="Calibri" w:hAnsi="Calibri" w:cs="Calibri"/>
                <w:color w:val="000000"/>
                <w:sz w:val="20"/>
              </w:rPr>
              <w:t>≥</w:t>
            </w:r>
            <w:r w:rsidRPr="00F836F4">
              <w:rPr>
                <w:rFonts w:ascii="Calibri" w:hAnsi="Calibri" w:cs="Calibri"/>
                <w:sz w:val="20"/>
              </w:rPr>
              <w:t xml:space="preserve"> 12 months, recommended</w:t>
            </w:r>
          </w:p>
        </w:tc>
      </w:tr>
      <w:tr w:rsidR="007B0BD6" w:rsidRPr="005A5E00" w14:paraId="5B40BCF9" w14:textId="77777777" w:rsidTr="00F836F4">
        <w:trPr>
          <w:trHeight w:val="419"/>
          <w:jc w:val="center"/>
        </w:trPr>
        <w:tc>
          <w:tcPr>
            <w:tcW w:w="220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2CD31202" w14:textId="77777777" w:rsidR="007B0BD6" w:rsidRPr="00F836F4" w:rsidRDefault="007B0BD6" w:rsidP="00822FCC">
            <w:pPr>
              <w:contextualSpacing/>
              <w:rPr>
                <w:rFonts w:ascii="Calibri" w:hAnsi="Calibri" w:cs="Calibri"/>
                <w:sz w:val="20"/>
              </w:rPr>
            </w:pPr>
            <w:r w:rsidRPr="00F836F4">
              <w:rPr>
                <w:rFonts w:ascii="Calibri" w:hAnsi="Calibri" w:cs="Calibri"/>
                <w:sz w:val="20"/>
              </w:rPr>
              <w:t>Energy resource types</w:t>
            </w:r>
          </w:p>
        </w:tc>
        <w:tc>
          <w:tcPr>
            <w:tcW w:w="720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386695AB" w14:textId="77777777" w:rsidR="007B0BD6" w:rsidRPr="00F836F4" w:rsidRDefault="007B0BD6" w:rsidP="00F836F4">
            <w:pPr>
              <w:numPr>
                <w:ilvl w:val="0"/>
                <w:numId w:val="86"/>
              </w:numPr>
              <w:tabs>
                <w:tab w:val="center" w:pos="4320"/>
                <w:tab w:val="right" w:pos="8640"/>
              </w:tabs>
              <w:contextualSpacing/>
              <w:rPr>
                <w:rFonts w:ascii="Calibri" w:hAnsi="Calibri" w:cs="Calibri"/>
                <w:sz w:val="20"/>
              </w:rPr>
            </w:pPr>
            <w:r w:rsidRPr="00F836F4">
              <w:rPr>
                <w:rFonts w:ascii="Calibri" w:hAnsi="Calibri" w:cs="Calibri"/>
                <w:sz w:val="20"/>
              </w:rPr>
              <w:t>Wind or solar with or without storage, required</w:t>
            </w:r>
          </w:p>
          <w:p w14:paraId="52888AC6" w14:textId="77777777" w:rsidR="007B0BD6" w:rsidRPr="00F836F4" w:rsidRDefault="007B0BD6" w:rsidP="00F836F4">
            <w:pPr>
              <w:numPr>
                <w:ilvl w:val="0"/>
                <w:numId w:val="86"/>
              </w:numPr>
              <w:tabs>
                <w:tab w:val="center" w:pos="4320"/>
                <w:tab w:val="right" w:pos="8640"/>
              </w:tabs>
              <w:contextualSpacing/>
              <w:rPr>
                <w:rFonts w:ascii="Calibri" w:hAnsi="Calibri" w:cs="Calibri"/>
                <w:sz w:val="20"/>
              </w:rPr>
            </w:pPr>
            <w:r w:rsidRPr="00F836F4">
              <w:rPr>
                <w:rFonts w:ascii="Calibri" w:hAnsi="Calibri" w:cs="Calibri"/>
                <w:sz w:val="20"/>
              </w:rPr>
              <w:t>Wind and solar with storage, recommended</w:t>
            </w:r>
          </w:p>
        </w:tc>
      </w:tr>
      <w:tr w:rsidR="007B0BD6" w:rsidRPr="005A5E00" w14:paraId="695DE8E7" w14:textId="77777777" w:rsidTr="00F836F4">
        <w:trPr>
          <w:trHeight w:val="1016"/>
          <w:jc w:val="center"/>
        </w:trPr>
        <w:tc>
          <w:tcPr>
            <w:tcW w:w="220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5D9E7DA3" w14:textId="77777777" w:rsidR="007B0BD6" w:rsidRPr="00F836F4" w:rsidRDefault="007B0BD6" w:rsidP="00822FCC">
            <w:pPr>
              <w:contextualSpacing/>
              <w:rPr>
                <w:rFonts w:ascii="Calibri" w:hAnsi="Calibri" w:cs="Calibri"/>
                <w:sz w:val="20"/>
              </w:rPr>
            </w:pPr>
            <w:r w:rsidRPr="00F836F4">
              <w:rPr>
                <w:rFonts w:ascii="Calibri" w:hAnsi="Calibri" w:cs="Calibri"/>
                <w:sz w:val="20"/>
              </w:rPr>
              <w:t>Integration</w:t>
            </w:r>
          </w:p>
        </w:tc>
        <w:tc>
          <w:tcPr>
            <w:tcW w:w="720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2446C69C" w14:textId="77777777" w:rsidR="007B0BD6" w:rsidRPr="00F836F4" w:rsidRDefault="007B0BD6" w:rsidP="00F836F4">
            <w:pPr>
              <w:numPr>
                <w:ilvl w:val="0"/>
                <w:numId w:val="86"/>
              </w:numPr>
              <w:tabs>
                <w:tab w:val="center" w:pos="4320"/>
                <w:tab w:val="right" w:pos="8640"/>
              </w:tabs>
              <w:contextualSpacing/>
              <w:rPr>
                <w:rFonts w:ascii="Calibri" w:hAnsi="Calibri" w:cs="Calibri"/>
                <w:sz w:val="20"/>
              </w:rPr>
            </w:pPr>
            <w:r w:rsidRPr="00F836F4">
              <w:rPr>
                <w:rFonts w:ascii="Calibri" w:hAnsi="Calibri" w:cs="Calibri"/>
                <w:color w:val="000000"/>
                <w:sz w:val="20"/>
              </w:rPr>
              <w:t>Following a central control signal individually, required</w:t>
            </w:r>
          </w:p>
          <w:p w14:paraId="4A3E13D5" w14:textId="77777777" w:rsidR="007B0BD6" w:rsidRPr="00F836F4" w:rsidRDefault="007B0BD6" w:rsidP="00F836F4">
            <w:pPr>
              <w:numPr>
                <w:ilvl w:val="0"/>
                <w:numId w:val="86"/>
              </w:numPr>
              <w:contextualSpacing/>
              <w:rPr>
                <w:rFonts w:ascii="Calibri" w:hAnsi="Calibri" w:cs="Calibri"/>
                <w:sz w:val="20"/>
              </w:rPr>
            </w:pPr>
            <w:r w:rsidRPr="00F836F4">
              <w:rPr>
                <w:rFonts w:ascii="Calibri" w:hAnsi="Calibri" w:cs="Calibri"/>
                <w:color w:val="000000"/>
                <w:sz w:val="20"/>
              </w:rPr>
              <w:t>Following a central control signal collectively, with a</w:t>
            </w:r>
            <w:r w:rsidRPr="00F836F4">
              <w:rPr>
                <w:rFonts w:ascii="Calibri" w:hAnsi="Calibri" w:cs="Calibri"/>
                <w:sz w:val="20"/>
              </w:rPr>
              <w:t xml:space="preserve">utonomous controls </w:t>
            </w:r>
          </w:p>
          <w:p w14:paraId="4A8B9EF5" w14:textId="711402EA" w:rsidR="007B0BD6" w:rsidRPr="00F836F4" w:rsidRDefault="007B0BD6" w:rsidP="00F836F4">
            <w:pPr>
              <w:numPr>
                <w:ilvl w:val="0"/>
                <w:numId w:val="86"/>
              </w:numPr>
              <w:tabs>
                <w:tab w:val="center" w:pos="4320"/>
                <w:tab w:val="right" w:pos="8640"/>
              </w:tabs>
              <w:contextualSpacing/>
              <w:rPr>
                <w:rFonts w:ascii="Calibri" w:hAnsi="Calibri" w:cs="Calibri"/>
                <w:sz w:val="20"/>
              </w:rPr>
            </w:pPr>
            <w:r w:rsidRPr="00F836F4">
              <w:rPr>
                <w:rFonts w:ascii="Calibri" w:hAnsi="Calibri" w:cs="Calibri"/>
                <w:sz w:val="20"/>
              </w:rPr>
              <w:t>If collective, design and implementation of control dispatch and related monit</w:t>
            </w:r>
            <w:r w:rsidR="008815F5" w:rsidRPr="00F836F4">
              <w:rPr>
                <w:rFonts w:ascii="Calibri" w:hAnsi="Calibri" w:cs="Calibri"/>
                <w:sz w:val="20"/>
              </w:rPr>
              <w:t>or</w:t>
            </w:r>
            <w:r w:rsidRPr="00F836F4">
              <w:rPr>
                <w:rFonts w:ascii="Calibri" w:hAnsi="Calibri" w:cs="Calibri"/>
                <w:sz w:val="20"/>
              </w:rPr>
              <w:t xml:space="preserve">ing and data management requirements. </w:t>
            </w:r>
          </w:p>
        </w:tc>
      </w:tr>
      <w:tr w:rsidR="007B0BD6" w:rsidRPr="005A5E00" w14:paraId="7C71881A" w14:textId="77777777" w:rsidTr="00F836F4">
        <w:trPr>
          <w:trHeight w:val="383"/>
          <w:jc w:val="center"/>
        </w:trPr>
        <w:tc>
          <w:tcPr>
            <w:tcW w:w="220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52BCE632" w14:textId="77777777" w:rsidR="007B0BD6" w:rsidRPr="00F836F4" w:rsidRDefault="007B0BD6" w:rsidP="00822FCC">
            <w:pPr>
              <w:contextualSpacing/>
              <w:rPr>
                <w:rFonts w:ascii="Calibri" w:hAnsi="Calibri" w:cs="Calibri"/>
                <w:sz w:val="20"/>
              </w:rPr>
            </w:pPr>
            <w:r w:rsidRPr="00F836F4">
              <w:rPr>
                <w:rFonts w:ascii="Calibri" w:hAnsi="Calibri" w:cs="Calibri"/>
                <w:sz w:val="20"/>
              </w:rPr>
              <w:t>Scalability</w:t>
            </w:r>
          </w:p>
        </w:tc>
        <w:tc>
          <w:tcPr>
            <w:tcW w:w="720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33D7E4CE" w14:textId="77777777" w:rsidR="007B0BD6" w:rsidRPr="00F836F4" w:rsidRDefault="007B0BD6" w:rsidP="00F836F4">
            <w:pPr>
              <w:numPr>
                <w:ilvl w:val="0"/>
                <w:numId w:val="87"/>
              </w:numPr>
              <w:tabs>
                <w:tab w:val="center" w:pos="4320"/>
                <w:tab w:val="right" w:pos="8640"/>
              </w:tabs>
              <w:contextualSpacing/>
              <w:rPr>
                <w:rFonts w:ascii="Calibri" w:hAnsi="Calibri" w:cs="Calibri"/>
                <w:sz w:val="20"/>
              </w:rPr>
            </w:pPr>
            <w:r w:rsidRPr="00F836F4">
              <w:rPr>
                <w:rFonts w:ascii="Calibri" w:hAnsi="Calibri" w:cs="Calibri"/>
                <w:sz w:val="20"/>
              </w:rPr>
              <w:t>Demonstration of ability to scale up the technologies and implementations to larger systems and higher renewable penetrations</w:t>
            </w:r>
          </w:p>
        </w:tc>
      </w:tr>
      <w:tr w:rsidR="007B0BD6" w:rsidRPr="005A5E00" w14:paraId="3FB6E67B" w14:textId="77777777" w:rsidTr="00F836F4">
        <w:trPr>
          <w:trHeight w:val="383"/>
          <w:jc w:val="center"/>
        </w:trPr>
        <w:tc>
          <w:tcPr>
            <w:tcW w:w="220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2A7F4269" w14:textId="77777777" w:rsidR="007B0BD6" w:rsidRPr="00F836F4" w:rsidRDefault="007B0BD6" w:rsidP="00822FCC">
            <w:pPr>
              <w:contextualSpacing/>
              <w:rPr>
                <w:rFonts w:ascii="Calibri" w:hAnsi="Calibri" w:cs="Calibri"/>
                <w:sz w:val="20"/>
              </w:rPr>
            </w:pPr>
            <w:r w:rsidRPr="00F836F4">
              <w:rPr>
                <w:rFonts w:ascii="Calibri" w:hAnsi="Calibri" w:cs="Calibri"/>
                <w:sz w:val="20"/>
              </w:rPr>
              <w:t>Security</w:t>
            </w:r>
          </w:p>
        </w:tc>
        <w:tc>
          <w:tcPr>
            <w:tcW w:w="720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6F237E73" w14:textId="77777777" w:rsidR="007B0BD6" w:rsidRPr="00F836F4" w:rsidRDefault="007B0BD6" w:rsidP="00F836F4">
            <w:pPr>
              <w:numPr>
                <w:ilvl w:val="0"/>
                <w:numId w:val="87"/>
              </w:numPr>
              <w:tabs>
                <w:tab w:val="center" w:pos="4320"/>
                <w:tab w:val="right" w:pos="8640"/>
              </w:tabs>
              <w:contextualSpacing/>
              <w:rPr>
                <w:rFonts w:ascii="Calibri" w:hAnsi="Calibri" w:cs="Calibri"/>
                <w:sz w:val="20"/>
              </w:rPr>
            </w:pPr>
            <w:r w:rsidRPr="00F836F4">
              <w:rPr>
                <w:rFonts w:ascii="Calibri" w:hAnsi="Calibri" w:cs="Calibri"/>
                <w:sz w:val="20"/>
              </w:rPr>
              <w:t xml:space="preserve">Compliance with the latest power system’s communication, </w:t>
            </w:r>
            <w:proofErr w:type="gramStart"/>
            <w:r w:rsidRPr="00F836F4">
              <w:rPr>
                <w:rFonts w:ascii="Calibri" w:hAnsi="Calibri" w:cs="Calibri"/>
                <w:sz w:val="20"/>
              </w:rPr>
              <w:t>controls</w:t>
            </w:r>
            <w:proofErr w:type="gramEnd"/>
            <w:r w:rsidRPr="00F836F4">
              <w:rPr>
                <w:rFonts w:ascii="Calibri" w:hAnsi="Calibri" w:cs="Calibri"/>
                <w:sz w:val="20"/>
              </w:rPr>
              <w:t xml:space="preserve"> and cyber security standards </w:t>
            </w:r>
          </w:p>
        </w:tc>
      </w:tr>
      <w:tr w:rsidR="007B0BD6" w:rsidRPr="005A5E00" w14:paraId="39C66317" w14:textId="77777777" w:rsidTr="00F836F4">
        <w:trPr>
          <w:trHeight w:val="401"/>
          <w:jc w:val="center"/>
        </w:trPr>
        <w:tc>
          <w:tcPr>
            <w:tcW w:w="220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66B4DB51" w14:textId="77777777" w:rsidR="007B0BD6" w:rsidRPr="00F836F4" w:rsidRDefault="007B0BD6" w:rsidP="00822FCC">
            <w:pPr>
              <w:contextualSpacing/>
              <w:rPr>
                <w:rFonts w:ascii="Calibri" w:hAnsi="Calibri" w:cs="Calibri"/>
                <w:color w:val="000000"/>
                <w:sz w:val="20"/>
              </w:rPr>
            </w:pPr>
            <w:r w:rsidRPr="00F836F4">
              <w:rPr>
                <w:rFonts w:ascii="Calibri" w:hAnsi="Calibri" w:cs="Calibri"/>
                <w:color w:val="000000"/>
                <w:sz w:val="20"/>
              </w:rPr>
              <w:t>Market structure</w:t>
            </w:r>
          </w:p>
        </w:tc>
        <w:tc>
          <w:tcPr>
            <w:tcW w:w="720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434E9C13" w14:textId="77777777" w:rsidR="007B0BD6" w:rsidRPr="00F836F4" w:rsidRDefault="007B0BD6" w:rsidP="00F836F4">
            <w:pPr>
              <w:numPr>
                <w:ilvl w:val="0"/>
                <w:numId w:val="87"/>
              </w:numPr>
              <w:tabs>
                <w:tab w:val="center" w:pos="4320"/>
                <w:tab w:val="right" w:pos="8640"/>
              </w:tabs>
              <w:contextualSpacing/>
              <w:rPr>
                <w:rFonts w:ascii="Calibri" w:hAnsi="Calibri" w:cs="Calibri"/>
                <w:sz w:val="20"/>
              </w:rPr>
            </w:pPr>
            <w:r w:rsidRPr="00F836F4">
              <w:rPr>
                <w:rFonts w:ascii="Calibri" w:hAnsi="Calibri" w:cs="Calibri"/>
                <w:color w:val="000000"/>
                <w:sz w:val="20"/>
              </w:rPr>
              <w:t>Vertically integrated or deregulated electric power market structure</w:t>
            </w:r>
          </w:p>
        </w:tc>
      </w:tr>
      <w:tr w:rsidR="007B0BD6" w:rsidRPr="005A5E00" w14:paraId="2EF5B113" w14:textId="77777777" w:rsidTr="00F836F4">
        <w:trPr>
          <w:trHeight w:val="437"/>
          <w:jc w:val="center"/>
        </w:trPr>
        <w:tc>
          <w:tcPr>
            <w:tcW w:w="220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0AD42933" w14:textId="77777777" w:rsidR="007B0BD6" w:rsidRPr="00F836F4" w:rsidRDefault="007B0BD6" w:rsidP="00822FCC">
            <w:pPr>
              <w:contextualSpacing/>
              <w:rPr>
                <w:rFonts w:ascii="Calibri" w:hAnsi="Calibri" w:cs="Calibri"/>
                <w:color w:val="000000"/>
                <w:sz w:val="20"/>
              </w:rPr>
            </w:pPr>
            <w:r w:rsidRPr="00F836F4">
              <w:rPr>
                <w:rFonts w:ascii="Calibri" w:hAnsi="Calibri" w:cs="Calibri"/>
                <w:color w:val="000000"/>
                <w:sz w:val="20"/>
              </w:rPr>
              <w:t>Cost-benefit analysis</w:t>
            </w:r>
          </w:p>
        </w:tc>
        <w:tc>
          <w:tcPr>
            <w:tcW w:w="720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083D33B7" w14:textId="77777777" w:rsidR="007B0BD6" w:rsidRPr="00F836F4" w:rsidRDefault="007B0BD6" w:rsidP="00F836F4">
            <w:pPr>
              <w:numPr>
                <w:ilvl w:val="0"/>
                <w:numId w:val="87"/>
              </w:numPr>
              <w:tabs>
                <w:tab w:val="center" w:pos="4320"/>
                <w:tab w:val="right" w:pos="8640"/>
              </w:tabs>
              <w:contextualSpacing/>
              <w:rPr>
                <w:rFonts w:ascii="Calibri" w:hAnsi="Calibri" w:cs="Calibri"/>
                <w:color w:val="000000"/>
                <w:sz w:val="20"/>
              </w:rPr>
            </w:pPr>
            <w:r w:rsidRPr="00F836F4">
              <w:rPr>
                <w:rFonts w:ascii="Calibri" w:hAnsi="Calibri" w:cs="Calibri"/>
                <w:color w:val="000000"/>
                <w:sz w:val="20"/>
              </w:rPr>
              <w:t>Data collection during demonstration period to perform a detailed cost-benefit analysis for proposed grid services</w:t>
            </w:r>
          </w:p>
        </w:tc>
      </w:tr>
      <w:tr w:rsidR="007B0BD6" w:rsidRPr="005A5E00" w14:paraId="1CFFC289" w14:textId="77777777" w:rsidTr="00F836F4">
        <w:trPr>
          <w:trHeight w:val="492"/>
          <w:jc w:val="center"/>
        </w:trPr>
        <w:tc>
          <w:tcPr>
            <w:tcW w:w="220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2296E538" w14:textId="77777777" w:rsidR="007B0BD6" w:rsidRPr="00F836F4" w:rsidRDefault="007B0BD6" w:rsidP="00822FCC">
            <w:pPr>
              <w:contextualSpacing/>
              <w:rPr>
                <w:rFonts w:ascii="Calibri" w:hAnsi="Calibri" w:cs="Calibri"/>
                <w:color w:val="000000"/>
                <w:sz w:val="20"/>
              </w:rPr>
            </w:pPr>
            <w:r w:rsidRPr="00F836F4">
              <w:rPr>
                <w:rFonts w:ascii="Calibri" w:hAnsi="Calibri" w:cs="Calibri"/>
                <w:color w:val="000000"/>
                <w:sz w:val="20"/>
              </w:rPr>
              <w:t>Team partners</w:t>
            </w:r>
          </w:p>
        </w:tc>
        <w:tc>
          <w:tcPr>
            <w:tcW w:w="720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11E45B7B" w14:textId="042068DE" w:rsidR="007B0BD6" w:rsidRPr="00F836F4" w:rsidRDefault="007B0BD6" w:rsidP="00F836F4">
            <w:pPr>
              <w:numPr>
                <w:ilvl w:val="0"/>
                <w:numId w:val="87"/>
              </w:numPr>
              <w:contextualSpacing/>
              <w:rPr>
                <w:rFonts w:ascii="Calibri" w:hAnsi="Calibri" w:cs="Calibri"/>
                <w:sz w:val="20"/>
              </w:rPr>
            </w:pPr>
            <w:r w:rsidRPr="00F836F4">
              <w:rPr>
                <w:rFonts w:ascii="Calibri" w:hAnsi="Calibri" w:cs="Calibri"/>
                <w:color w:val="000000"/>
                <w:sz w:val="20"/>
              </w:rPr>
              <w:t xml:space="preserve">Utility </w:t>
            </w:r>
            <w:r w:rsidR="00515570" w:rsidRPr="00F836F4">
              <w:rPr>
                <w:rFonts w:ascii="Calibri" w:hAnsi="Calibri" w:cs="Calibri"/>
                <w:color w:val="000000"/>
                <w:sz w:val="20"/>
              </w:rPr>
              <w:t xml:space="preserve">(including investor-owned, municipal, or co-operative, of any size that meets the minimum requirements listed in this table) </w:t>
            </w:r>
            <w:r w:rsidRPr="00F836F4">
              <w:rPr>
                <w:rFonts w:ascii="Calibri" w:hAnsi="Calibri" w:cs="Calibri"/>
                <w:color w:val="000000"/>
                <w:sz w:val="20"/>
              </w:rPr>
              <w:t>or ISO, and s</w:t>
            </w:r>
            <w:r w:rsidRPr="00F836F4">
              <w:rPr>
                <w:rFonts w:ascii="Calibri" w:hAnsi="Calibri" w:cs="Calibri"/>
                <w:sz w:val="20"/>
              </w:rPr>
              <w:t>olar or wind asset owner(s), required</w:t>
            </w:r>
          </w:p>
          <w:p w14:paraId="1BBB1A05" w14:textId="77777777" w:rsidR="007B0BD6" w:rsidRPr="00F836F4" w:rsidRDefault="007B0BD6" w:rsidP="00F836F4">
            <w:pPr>
              <w:numPr>
                <w:ilvl w:val="0"/>
                <w:numId w:val="87"/>
              </w:numPr>
              <w:tabs>
                <w:tab w:val="center" w:pos="4320"/>
                <w:tab w:val="right" w:pos="8640"/>
              </w:tabs>
              <w:contextualSpacing/>
              <w:rPr>
                <w:rFonts w:ascii="Calibri" w:hAnsi="Calibri" w:cs="Calibri"/>
                <w:color w:val="000000"/>
                <w:sz w:val="20"/>
              </w:rPr>
            </w:pPr>
            <w:r w:rsidRPr="00F836F4">
              <w:rPr>
                <w:rFonts w:ascii="Calibri" w:hAnsi="Calibri" w:cs="Calibri"/>
                <w:color w:val="000000"/>
                <w:sz w:val="20"/>
              </w:rPr>
              <w:t>Utility or ISO, and s</w:t>
            </w:r>
            <w:r w:rsidRPr="00F836F4">
              <w:rPr>
                <w:rFonts w:ascii="Calibri" w:hAnsi="Calibri" w:cs="Calibri"/>
                <w:sz w:val="20"/>
              </w:rPr>
              <w:t>olar, wind, battery asset owners and aggregators, recommended</w:t>
            </w:r>
          </w:p>
          <w:p w14:paraId="009631C3" w14:textId="18D05D06" w:rsidR="007B0BD6" w:rsidRPr="00F836F4" w:rsidRDefault="00F77049" w:rsidP="00F836F4">
            <w:pPr>
              <w:numPr>
                <w:ilvl w:val="0"/>
                <w:numId w:val="87"/>
              </w:numPr>
              <w:tabs>
                <w:tab w:val="center" w:pos="4320"/>
                <w:tab w:val="right" w:pos="8640"/>
              </w:tabs>
              <w:contextualSpacing/>
              <w:rPr>
                <w:rFonts w:ascii="Calibri" w:hAnsi="Calibri" w:cs="Calibri"/>
                <w:color w:val="000000"/>
                <w:sz w:val="20"/>
              </w:rPr>
            </w:pPr>
            <w:r w:rsidRPr="00F836F4">
              <w:rPr>
                <w:rFonts w:ascii="Calibri" w:hAnsi="Calibri" w:cs="Calibri"/>
                <w:color w:val="000000"/>
                <w:sz w:val="20"/>
              </w:rPr>
              <w:t xml:space="preserve">Teams are strongly encouraged to include community colleges, </w:t>
            </w:r>
            <w:r w:rsidR="008773F6" w:rsidRPr="00F836F4">
              <w:rPr>
                <w:rFonts w:ascii="Calibri" w:hAnsi="Calibri" w:cs="Calibri"/>
                <w:color w:val="000000"/>
                <w:sz w:val="20"/>
              </w:rPr>
              <w:t>T</w:t>
            </w:r>
            <w:r w:rsidRPr="00F836F4">
              <w:rPr>
                <w:rFonts w:ascii="Calibri" w:hAnsi="Calibri" w:cs="Calibri"/>
                <w:color w:val="000000"/>
                <w:sz w:val="20"/>
              </w:rPr>
              <w:t xml:space="preserve">ribal colleges, MSIs, or other institutes that do not typically engage in power systems research as project partners or to be engaged in project activities, </w:t>
            </w:r>
            <w:proofErr w:type="gramStart"/>
            <w:r w:rsidRPr="00F836F4">
              <w:rPr>
                <w:rFonts w:ascii="Calibri" w:hAnsi="Calibri" w:cs="Calibri"/>
                <w:color w:val="000000"/>
                <w:sz w:val="20"/>
              </w:rPr>
              <w:t>in an effort to</w:t>
            </w:r>
            <w:proofErr w:type="gramEnd"/>
            <w:r w:rsidRPr="00F836F4">
              <w:rPr>
                <w:rFonts w:ascii="Calibri" w:hAnsi="Calibri" w:cs="Calibri"/>
                <w:color w:val="000000"/>
                <w:sz w:val="20"/>
              </w:rPr>
              <w:t xml:space="preserve"> increase the diversity of people exposed to this field of study</w:t>
            </w:r>
          </w:p>
        </w:tc>
      </w:tr>
    </w:tbl>
    <w:p w14:paraId="705B7774" w14:textId="77777777" w:rsidR="00B575AF" w:rsidRPr="00B575AF" w:rsidRDefault="00B575AF" w:rsidP="00B575AF"/>
    <w:p w14:paraId="1F8DB883" w14:textId="77777777" w:rsidR="002D7998" w:rsidRDefault="002D7998" w:rsidP="007B0BD6">
      <w:pPr>
        <w:ind w:left="1350"/>
        <w:rPr>
          <w:b/>
          <w:bCs/>
        </w:rPr>
      </w:pPr>
    </w:p>
    <w:p w14:paraId="7E8EBED6" w14:textId="38D35C6E" w:rsidR="004B762A" w:rsidRDefault="007B0BD6" w:rsidP="007B0BD6">
      <w:pPr>
        <w:ind w:left="1350"/>
        <w:rPr>
          <w:b/>
          <w:bCs/>
        </w:rPr>
      </w:pPr>
      <w:r>
        <w:rPr>
          <w:b/>
          <w:bCs/>
        </w:rPr>
        <w:t>Applications Not of Interest</w:t>
      </w:r>
      <w:r w:rsidR="00335F47">
        <w:rPr>
          <w:b/>
          <w:bCs/>
        </w:rPr>
        <w:t xml:space="preserve"> for Topic 1</w:t>
      </w:r>
    </w:p>
    <w:p w14:paraId="577ADC89" w14:textId="1D9C7B56" w:rsidR="007B0BD6" w:rsidRPr="007B0BD6" w:rsidRDefault="007B0BD6" w:rsidP="00F836F4">
      <w:pPr>
        <w:pStyle w:val="ListParagraph"/>
        <w:numPr>
          <w:ilvl w:val="0"/>
          <w:numId w:val="88"/>
        </w:numPr>
      </w:pPr>
      <w:r w:rsidRPr="005A5E00">
        <w:rPr>
          <w:bCs/>
          <w:szCs w:val="24"/>
        </w:rPr>
        <w:t xml:space="preserve">Applications that primarily focus on system modeling, </w:t>
      </w:r>
      <w:proofErr w:type="gramStart"/>
      <w:r w:rsidRPr="005A5E00">
        <w:rPr>
          <w:bCs/>
          <w:szCs w:val="24"/>
        </w:rPr>
        <w:t>simulations</w:t>
      </w:r>
      <w:proofErr w:type="gramEnd"/>
      <w:r w:rsidRPr="005A5E00">
        <w:rPr>
          <w:bCs/>
          <w:szCs w:val="24"/>
        </w:rPr>
        <w:t xml:space="preserve"> and study of renewable energy resources</w:t>
      </w:r>
      <w:r>
        <w:rPr>
          <w:bCs/>
          <w:szCs w:val="24"/>
        </w:rPr>
        <w:t>.</w:t>
      </w:r>
    </w:p>
    <w:p w14:paraId="2C76BE5A" w14:textId="77777777" w:rsidR="007B0BD6" w:rsidRPr="005A5E00" w:rsidRDefault="007B0BD6" w:rsidP="00F836F4">
      <w:pPr>
        <w:numPr>
          <w:ilvl w:val="0"/>
          <w:numId w:val="88"/>
        </w:numPr>
        <w:rPr>
          <w:szCs w:val="24"/>
        </w:rPr>
      </w:pPr>
      <w:r w:rsidRPr="005A5E00">
        <w:rPr>
          <w:szCs w:val="24"/>
        </w:rPr>
        <w:t>Applications from companies seeking the full or incremental funding of an existing or a new project for installation</w:t>
      </w:r>
      <w:r>
        <w:rPr>
          <w:szCs w:val="24"/>
        </w:rPr>
        <w:t>.</w:t>
      </w:r>
    </w:p>
    <w:p w14:paraId="4403FC03" w14:textId="77777777" w:rsidR="007B0BD6" w:rsidRPr="005A5E00" w:rsidRDefault="007B0BD6" w:rsidP="00F836F4">
      <w:pPr>
        <w:numPr>
          <w:ilvl w:val="0"/>
          <w:numId w:val="88"/>
        </w:numPr>
        <w:rPr>
          <w:szCs w:val="24"/>
        </w:rPr>
      </w:pPr>
      <w:r w:rsidRPr="005A5E00">
        <w:rPr>
          <w:szCs w:val="24"/>
        </w:rPr>
        <w:t>Projects with micro-grid field demo</w:t>
      </w:r>
      <w:r>
        <w:rPr>
          <w:szCs w:val="24"/>
        </w:rPr>
        <w:t>n</w:t>
      </w:r>
      <w:r w:rsidRPr="005A5E00">
        <w:rPr>
          <w:szCs w:val="24"/>
        </w:rPr>
        <w:t>s</w:t>
      </w:r>
      <w:r>
        <w:rPr>
          <w:szCs w:val="24"/>
        </w:rPr>
        <w:t>trations</w:t>
      </w:r>
      <w:r w:rsidRPr="005A5E00">
        <w:rPr>
          <w:szCs w:val="24"/>
        </w:rPr>
        <w:t xml:space="preserve"> for traditional services</w:t>
      </w:r>
      <w:r>
        <w:rPr>
          <w:szCs w:val="24"/>
        </w:rPr>
        <w:t>.</w:t>
      </w:r>
    </w:p>
    <w:p w14:paraId="6AA6D1FA" w14:textId="2279B0F8" w:rsidR="002D7998" w:rsidRDefault="002D7998">
      <w:r>
        <w:br w:type="page"/>
      </w:r>
    </w:p>
    <w:p w14:paraId="52AF1EBF" w14:textId="245D02AC" w:rsidR="00C91C2B" w:rsidRDefault="001816B5" w:rsidP="00F836F4">
      <w:pPr>
        <w:pStyle w:val="FOAHeading3"/>
        <w:numPr>
          <w:ilvl w:val="2"/>
          <w:numId w:val="26"/>
        </w:numPr>
        <w:ind w:left="1440" w:hanging="360"/>
        <w:outlineLvl w:val="2"/>
      </w:pPr>
      <w:bookmarkStart w:id="38" w:name="_Toc109921650"/>
      <w:r>
        <w:t>Topic Area 2: Protection of Bulk Power Systems with High Contribution from Inverter-Based Resources</w:t>
      </w:r>
      <w:bookmarkEnd w:id="38"/>
    </w:p>
    <w:p w14:paraId="2022ADAA" w14:textId="2A21E46D" w:rsidR="00C91C2B" w:rsidRDefault="00C91C2B" w:rsidP="001816B5">
      <w:pPr>
        <w:pStyle w:val="FOAHeading4"/>
        <w:numPr>
          <w:ilvl w:val="0"/>
          <w:numId w:val="0"/>
        </w:numPr>
        <w:ind w:left="1440"/>
      </w:pPr>
    </w:p>
    <w:p w14:paraId="7144E7A3" w14:textId="6275D1EF" w:rsidR="00C91C2B" w:rsidRPr="00C91C2B" w:rsidRDefault="00C91C2B" w:rsidP="001816B5">
      <w:pPr>
        <w:pStyle w:val="FOAHeading4"/>
        <w:numPr>
          <w:ilvl w:val="0"/>
          <w:numId w:val="0"/>
        </w:numPr>
        <w:ind w:left="1440"/>
      </w:pPr>
      <w:r>
        <w:t>Background and Context</w:t>
      </w:r>
    </w:p>
    <w:p w14:paraId="51054689" w14:textId="77777777" w:rsidR="00426BBA" w:rsidRDefault="00426BBA" w:rsidP="00426BBA">
      <w:pPr>
        <w:ind w:left="1440"/>
        <w:rPr>
          <w:rFonts w:ascii="Calibri" w:hAnsi="Calibri"/>
          <w:szCs w:val="24"/>
        </w:rPr>
      </w:pPr>
      <w:bookmarkStart w:id="39" w:name="_Hlk99117504"/>
    </w:p>
    <w:p w14:paraId="344C7BC0" w14:textId="29FD6D7F" w:rsidR="00AC4277" w:rsidRPr="00490805" w:rsidRDefault="003D30A7" w:rsidP="00AC4277">
      <w:pPr>
        <w:ind w:left="1440"/>
        <w:rPr>
          <w:rFonts w:ascii="Calibri" w:hAnsi="Calibri"/>
          <w:szCs w:val="24"/>
        </w:rPr>
      </w:pPr>
      <w:bookmarkStart w:id="40" w:name="_Hlk89881934"/>
      <w:r>
        <w:rPr>
          <w:rFonts w:ascii="Calibri" w:hAnsi="Calibri"/>
          <w:szCs w:val="24"/>
        </w:rPr>
        <w:t>T</w:t>
      </w:r>
      <w:r w:rsidR="00AC4277">
        <w:rPr>
          <w:rFonts w:ascii="Calibri" w:hAnsi="Calibri"/>
          <w:szCs w:val="24"/>
        </w:rPr>
        <w:t>o achieve the administration’s goal of a decarbonized electricity grid, s</w:t>
      </w:r>
      <w:r w:rsidR="00AC4277" w:rsidRPr="00490805">
        <w:rPr>
          <w:rFonts w:ascii="Calibri" w:hAnsi="Calibri"/>
          <w:szCs w:val="24"/>
        </w:rPr>
        <w:t>olar and wind generation are expected to greatly increase their role in energy production over the next decade</w:t>
      </w:r>
      <w:r w:rsidR="00AC4277">
        <w:rPr>
          <w:rFonts w:ascii="Calibri" w:hAnsi="Calibri"/>
          <w:szCs w:val="24"/>
        </w:rPr>
        <w:t>.</w:t>
      </w:r>
      <w:r w:rsidR="00AC4277" w:rsidRPr="00490805">
        <w:rPr>
          <w:rFonts w:ascii="Calibri" w:hAnsi="Calibri"/>
          <w:szCs w:val="24"/>
        </w:rPr>
        <w:t xml:space="preserve"> These increases, along with the increased adoption of energy storage systems, will result in a power system that will transition from one supplied primarily by synchronous generators to a system that will be supplied primarily by resources that are interfaced with the grid through power electronic inverters. The industries supporting the bulk power grid must be prepared for how this transition may change the operation of the transmission system, such as how the grid architecture and protection devices, software, and processes that secure the grid will respond to abnormal conditions when energy is sourced primarily from inverters. In this topic, any type of generation interfaced to the grid through an inverter is referred to as an inverter-based resource (IBR), since the inverter connection is the most relevant change when it comes to the subjects of this topic.  However, it should be noted that the energy source behind the inverter may be relevant to the overall dynamic response or energy availability of IBR</w:t>
      </w:r>
      <w:r w:rsidR="00AC4277">
        <w:rPr>
          <w:rFonts w:ascii="Calibri" w:hAnsi="Calibri"/>
          <w:szCs w:val="24"/>
        </w:rPr>
        <w:t>s</w:t>
      </w:r>
      <w:r w:rsidR="00AC4277" w:rsidRPr="00490805">
        <w:rPr>
          <w:rFonts w:ascii="Calibri" w:hAnsi="Calibri"/>
          <w:szCs w:val="24"/>
        </w:rPr>
        <w:t>.</w:t>
      </w:r>
    </w:p>
    <w:p w14:paraId="75345002" w14:textId="77777777" w:rsidR="00AC4277" w:rsidRPr="005A5E00" w:rsidRDefault="00AC4277" w:rsidP="00AC4277">
      <w:pPr>
        <w:ind w:left="1440"/>
        <w:rPr>
          <w:rFonts w:ascii="Calibri" w:hAnsi="Calibri"/>
          <w:sz w:val="22"/>
          <w:szCs w:val="22"/>
        </w:rPr>
      </w:pPr>
    </w:p>
    <w:p w14:paraId="72EE6611" w14:textId="01A8D17B" w:rsidR="00AC4277" w:rsidRPr="00490805" w:rsidRDefault="00AC4277" w:rsidP="00AC4277">
      <w:pPr>
        <w:ind w:left="1440"/>
        <w:rPr>
          <w:rFonts w:ascii="Calibri" w:hAnsi="Calibri"/>
          <w:szCs w:val="24"/>
        </w:rPr>
      </w:pPr>
      <w:r>
        <w:rPr>
          <w:rFonts w:ascii="Calibri" w:hAnsi="Calibri"/>
          <w:szCs w:val="24"/>
        </w:rPr>
        <w:t>In the past, w</w:t>
      </w:r>
      <w:r w:rsidRPr="00490805">
        <w:rPr>
          <w:rFonts w:ascii="Calibri" w:hAnsi="Calibri"/>
          <w:szCs w:val="24"/>
        </w:rPr>
        <w:t>hen IBRs comprised a small contribution to the grid, interconnection standards dictated they disconnect during faults or abnormal conditions to not interfere with the recovery process. Over the past decade, IBRs have become a significant enough contributor to the grid that they must instead actively support the grid in these conditions to avoid further destabilizing the grid.</w:t>
      </w:r>
      <w:r w:rsidRPr="00490805">
        <w:rPr>
          <w:rFonts w:ascii="Calibri" w:hAnsi="Calibri"/>
          <w:szCs w:val="24"/>
          <w:vertAlign w:val="superscript"/>
        </w:rPr>
        <w:footnoteReference w:id="47"/>
      </w:r>
      <w:r w:rsidRPr="00490805">
        <w:rPr>
          <w:rFonts w:ascii="Calibri" w:hAnsi="Calibri"/>
          <w:szCs w:val="24"/>
          <w:vertAlign w:val="superscript"/>
        </w:rPr>
        <w:t>,</w:t>
      </w:r>
      <w:r w:rsidRPr="00490805">
        <w:rPr>
          <w:rFonts w:ascii="Calibri" w:hAnsi="Calibri"/>
          <w:szCs w:val="24"/>
          <w:vertAlign w:val="superscript"/>
        </w:rPr>
        <w:footnoteReference w:id="48"/>
      </w:r>
      <w:r w:rsidRPr="00490805">
        <w:rPr>
          <w:rFonts w:ascii="Calibri" w:hAnsi="Calibri" w:cs="Calibri"/>
          <w:color w:val="000000"/>
          <w:szCs w:val="24"/>
        </w:rPr>
        <w:t xml:space="preserve"> New standards</w:t>
      </w:r>
      <w:r w:rsidRPr="00490805">
        <w:rPr>
          <w:rFonts w:ascii="Calibri" w:hAnsi="Calibri"/>
          <w:szCs w:val="24"/>
          <w:vertAlign w:val="superscript"/>
        </w:rPr>
        <w:footnoteReference w:id="49"/>
      </w:r>
      <w:r w:rsidRPr="00490805">
        <w:rPr>
          <w:rFonts w:ascii="Calibri" w:hAnsi="Calibri" w:cs="Calibri"/>
          <w:color w:val="000000"/>
          <w:szCs w:val="24"/>
          <w:vertAlign w:val="superscript"/>
        </w:rPr>
        <w:t>,</w:t>
      </w:r>
      <w:r w:rsidRPr="00490805">
        <w:rPr>
          <w:rFonts w:ascii="Calibri" w:hAnsi="Calibri" w:cs="Calibri"/>
          <w:color w:val="000000"/>
          <w:szCs w:val="24"/>
          <w:vertAlign w:val="superscript"/>
        </w:rPr>
        <w:footnoteReference w:id="50"/>
      </w:r>
      <w:r w:rsidRPr="00490805">
        <w:rPr>
          <w:rFonts w:ascii="Calibri" w:hAnsi="Calibri" w:cs="Calibri"/>
          <w:color w:val="000000"/>
          <w:szCs w:val="24"/>
        </w:rPr>
        <w:t xml:space="preserve"> have been and are continuing to be developed to enable IBRs to actively support the grid in the event of a fault or other issue. H</w:t>
      </w:r>
      <w:r w:rsidRPr="00490805">
        <w:rPr>
          <w:rFonts w:ascii="Calibri" w:hAnsi="Calibri"/>
          <w:szCs w:val="24"/>
        </w:rPr>
        <w:t xml:space="preserve">owever, in the event of a fault, these standards assume that the appropriate protection system will correctly operate and remove the fault causing the abnormal condition as quickly as possible. As the generation sources become increasingly inverter-based, it is unclear if protection systems will perform as expected since most of </w:t>
      </w:r>
      <w:r w:rsidR="008815F5" w:rsidRPr="00490805">
        <w:rPr>
          <w:rFonts w:ascii="Calibri" w:hAnsi="Calibri"/>
          <w:szCs w:val="24"/>
        </w:rPr>
        <w:t>these systems</w:t>
      </w:r>
      <w:r w:rsidRPr="00490805">
        <w:rPr>
          <w:rFonts w:ascii="Calibri" w:hAnsi="Calibri"/>
          <w:szCs w:val="24"/>
        </w:rPr>
        <w:t xml:space="preserve"> have been designed </w:t>
      </w:r>
      <w:proofErr w:type="gramStart"/>
      <w:r w:rsidRPr="00490805">
        <w:rPr>
          <w:rFonts w:ascii="Calibri" w:hAnsi="Calibri"/>
          <w:szCs w:val="24"/>
        </w:rPr>
        <w:t>on the basis of</w:t>
      </w:r>
      <w:proofErr w:type="gramEnd"/>
      <w:r w:rsidRPr="00490805">
        <w:rPr>
          <w:rFonts w:ascii="Calibri" w:hAnsi="Calibri"/>
          <w:szCs w:val="24"/>
        </w:rPr>
        <w:t xml:space="preserve"> synchronous generation.</w:t>
      </w:r>
    </w:p>
    <w:bookmarkEnd w:id="40"/>
    <w:p w14:paraId="3589F5E2" w14:textId="18D90F40" w:rsidR="00426BBA" w:rsidRDefault="00426BBA" w:rsidP="00426BBA">
      <w:pPr>
        <w:ind w:left="1440"/>
        <w:rPr>
          <w:rFonts w:ascii="Calibri" w:hAnsi="Calibri"/>
          <w:szCs w:val="24"/>
        </w:rPr>
      </w:pPr>
    </w:p>
    <w:p w14:paraId="5A2AC96A" w14:textId="7938E6F4" w:rsidR="00EA1BBA" w:rsidRDefault="00EA1BBA" w:rsidP="00426BBA">
      <w:pPr>
        <w:ind w:left="1440"/>
        <w:rPr>
          <w:rFonts w:ascii="Calibri" w:hAnsi="Calibri"/>
          <w:szCs w:val="24"/>
          <w:u w:val="single"/>
        </w:rPr>
      </w:pPr>
      <w:r>
        <w:rPr>
          <w:rFonts w:ascii="Calibri" w:hAnsi="Calibri"/>
          <w:szCs w:val="24"/>
          <w:u w:val="single"/>
        </w:rPr>
        <w:t>Emerging Challenges</w:t>
      </w:r>
    </w:p>
    <w:p w14:paraId="1701187A" w14:textId="406516EF" w:rsidR="00EA1BBA" w:rsidRDefault="00EA1BBA" w:rsidP="00426BBA">
      <w:pPr>
        <w:ind w:left="1440"/>
        <w:rPr>
          <w:rFonts w:ascii="Calibri" w:hAnsi="Calibri"/>
          <w:szCs w:val="24"/>
        </w:rPr>
      </w:pPr>
    </w:p>
    <w:p w14:paraId="12DAA4E8" w14:textId="7A5E5B34" w:rsidR="00AC4277" w:rsidRDefault="00AC4277" w:rsidP="00AC4277">
      <w:pPr>
        <w:ind w:left="1440"/>
        <w:rPr>
          <w:rFonts w:ascii="Calibri" w:hAnsi="Calibri"/>
          <w:szCs w:val="24"/>
        </w:rPr>
      </w:pPr>
      <w:r w:rsidRPr="00490805">
        <w:rPr>
          <w:rFonts w:ascii="Calibri" w:hAnsi="Calibri"/>
          <w:szCs w:val="24"/>
        </w:rPr>
        <w:t>Protection challenges exist for faults occurring on the grid at both transmission and distribution levels. The impact of IBR on distribution protection is better understood due to recent research efforts</w:t>
      </w:r>
      <w:r>
        <w:rPr>
          <w:rFonts w:ascii="Calibri" w:hAnsi="Calibri"/>
          <w:szCs w:val="24"/>
        </w:rPr>
        <w:t>,</w:t>
      </w:r>
      <w:r w:rsidRPr="00490805">
        <w:rPr>
          <w:rFonts w:ascii="Calibri" w:hAnsi="Calibri"/>
          <w:szCs w:val="24"/>
        </w:rPr>
        <w:t xml:space="preserve"> therefore, this topic will focus on IBR-related impacts to transmission protection. Several challenges to transmission protection linked to the increased penetration of IBRs have already been observed. The most prominent instances to date have been due to the general lack of coordination between the design of grid protection systems and IBR controls or the misunderstanding of how IBRs will respond to faults. These challenges have already been shown to lead to unnecessary losses in generation that further increase reliability risks.</w:t>
      </w:r>
      <w:r w:rsidRPr="00490805">
        <w:rPr>
          <w:rFonts w:ascii="Calibri" w:hAnsi="Calibri"/>
          <w:szCs w:val="24"/>
          <w:vertAlign w:val="superscript"/>
        </w:rPr>
        <w:footnoteReference w:id="51"/>
      </w:r>
      <w:r w:rsidRPr="00490805">
        <w:rPr>
          <w:rFonts w:ascii="Calibri" w:hAnsi="Calibri"/>
          <w:szCs w:val="24"/>
        </w:rPr>
        <w:t xml:space="preserve"> </w:t>
      </w:r>
    </w:p>
    <w:p w14:paraId="68F5168B" w14:textId="77777777" w:rsidR="00AC4277" w:rsidRDefault="00AC4277" w:rsidP="00AC4277">
      <w:pPr>
        <w:rPr>
          <w:rFonts w:ascii="Calibri" w:hAnsi="Calibri"/>
          <w:szCs w:val="24"/>
        </w:rPr>
      </w:pPr>
    </w:p>
    <w:p w14:paraId="101AF6C5" w14:textId="161A1EB8" w:rsidR="00EA1BBA" w:rsidRDefault="00AC4277" w:rsidP="00AC4277">
      <w:pPr>
        <w:ind w:left="1440"/>
        <w:rPr>
          <w:rFonts w:ascii="Calibri" w:hAnsi="Calibri"/>
          <w:szCs w:val="24"/>
        </w:rPr>
      </w:pPr>
      <w:r w:rsidRPr="00490805">
        <w:rPr>
          <w:rFonts w:ascii="Calibri" w:hAnsi="Calibri"/>
          <w:szCs w:val="24"/>
        </w:rPr>
        <w:t xml:space="preserve">In the event shown in </w:t>
      </w:r>
      <w:r w:rsidRPr="00490805">
        <w:rPr>
          <w:rFonts w:ascii="Calibri" w:hAnsi="Calibri"/>
          <w:szCs w:val="24"/>
        </w:rPr>
        <w:fldChar w:fldCharType="begin"/>
      </w:r>
      <w:r w:rsidRPr="00490805">
        <w:rPr>
          <w:rFonts w:ascii="Calibri" w:hAnsi="Calibri"/>
          <w:szCs w:val="24"/>
        </w:rPr>
        <w:instrText xml:space="preserve"> REF _Ref90403579 \h  \* MERGEFORMAT </w:instrText>
      </w:r>
      <w:r w:rsidRPr="00490805">
        <w:rPr>
          <w:rFonts w:ascii="Calibri" w:hAnsi="Calibri"/>
          <w:szCs w:val="24"/>
        </w:rPr>
      </w:r>
      <w:r w:rsidRPr="00490805">
        <w:rPr>
          <w:rFonts w:ascii="Calibri" w:hAnsi="Calibri"/>
          <w:szCs w:val="24"/>
        </w:rPr>
        <w:fldChar w:fldCharType="separate"/>
      </w:r>
      <w:r w:rsidRPr="00AC4277">
        <w:rPr>
          <w:rFonts w:ascii="Calibri" w:hAnsi="Calibri"/>
          <w:szCs w:val="24"/>
        </w:rPr>
        <w:t xml:space="preserve">Figure </w:t>
      </w:r>
      <w:r w:rsidRPr="00AC4277">
        <w:rPr>
          <w:rFonts w:ascii="Calibri" w:hAnsi="Calibri"/>
          <w:noProof/>
          <w:szCs w:val="24"/>
        </w:rPr>
        <w:t>5</w:t>
      </w:r>
      <w:r w:rsidRPr="00490805">
        <w:rPr>
          <w:rFonts w:ascii="Calibri" w:hAnsi="Calibri"/>
          <w:szCs w:val="24"/>
        </w:rPr>
        <w:fldChar w:fldCharType="end"/>
      </w:r>
      <w:r w:rsidRPr="00490805">
        <w:rPr>
          <w:rFonts w:ascii="Calibri" w:hAnsi="Calibri"/>
          <w:szCs w:val="24"/>
        </w:rPr>
        <w:t xml:space="preserve">, the </w:t>
      </w:r>
      <w:r w:rsidR="00C32326">
        <w:rPr>
          <w:rFonts w:ascii="Calibri" w:hAnsi="Calibri"/>
        </w:rPr>
        <w:t>Electric Reliability Council of Texas (</w:t>
      </w:r>
      <w:r w:rsidRPr="00490805">
        <w:rPr>
          <w:rFonts w:ascii="Calibri" w:hAnsi="Calibri"/>
          <w:szCs w:val="24"/>
        </w:rPr>
        <w:t>ERCOT</w:t>
      </w:r>
      <w:r w:rsidR="00C32326">
        <w:rPr>
          <w:rFonts w:ascii="Calibri" w:hAnsi="Calibri"/>
        </w:rPr>
        <w:t>)</w:t>
      </w:r>
      <w:r w:rsidRPr="00490805">
        <w:rPr>
          <w:rFonts w:ascii="Calibri" w:hAnsi="Calibri"/>
          <w:szCs w:val="24"/>
        </w:rPr>
        <w:t xml:space="preserve"> interconnection lost nearly a quarter of its PV generation in response to a fault </w:t>
      </w:r>
      <w:r w:rsidR="003D30A7">
        <w:rPr>
          <w:rFonts w:ascii="Calibri" w:hAnsi="Calibri"/>
          <w:szCs w:val="24"/>
        </w:rPr>
        <w:t>for which many of</w:t>
      </w:r>
      <w:r w:rsidRPr="00490805">
        <w:rPr>
          <w:rFonts w:ascii="Calibri" w:hAnsi="Calibri"/>
          <w:szCs w:val="24"/>
        </w:rPr>
        <w:t xml:space="preserve"> the IBRs should have </w:t>
      </w:r>
      <w:r w:rsidR="003D30A7">
        <w:rPr>
          <w:rFonts w:ascii="Calibri" w:hAnsi="Calibri"/>
          <w:szCs w:val="24"/>
        </w:rPr>
        <w:t>remained connected</w:t>
      </w:r>
      <w:r w:rsidRPr="00490805">
        <w:rPr>
          <w:rFonts w:ascii="Calibri" w:hAnsi="Calibri"/>
          <w:szCs w:val="24"/>
        </w:rPr>
        <w:t>.</w:t>
      </w:r>
      <w:r w:rsidRPr="00490805">
        <w:rPr>
          <w:rFonts w:ascii="Calibri" w:hAnsi="Calibri"/>
          <w:szCs w:val="24"/>
          <w:vertAlign w:val="superscript"/>
        </w:rPr>
        <w:footnoteReference w:id="52"/>
      </w:r>
      <w:r w:rsidRPr="00490805">
        <w:rPr>
          <w:rFonts w:ascii="Calibri" w:hAnsi="Calibri"/>
          <w:szCs w:val="24"/>
        </w:rPr>
        <w:t xml:space="preserve"> The inverters tripped offline for a variety of reasons, such as loss of synchronization with the grid, internal and grid-side overvoltage, and underfrequency. However, it is speculated that proper modeling and simulation of the IBR controls in conjunction with the grid protection system would likely have foreseen these issues in protection studies performed during the IBR’s interconnection. Proper tuning of IBR control and protection parameters may have then prevented many of these disconnections.</w:t>
      </w:r>
    </w:p>
    <w:p w14:paraId="75799F35" w14:textId="77777777" w:rsidR="00EA1BBA" w:rsidRDefault="00EA1BBA" w:rsidP="00EA1BBA">
      <w:pPr>
        <w:rPr>
          <w:rFonts w:ascii="Calibri" w:hAnsi="Calibri"/>
          <w:szCs w:val="24"/>
        </w:rPr>
      </w:pPr>
    </w:p>
    <w:p w14:paraId="55DDA492" w14:textId="77777777" w:rsidR="00EA1BBA" w:rsidRPr="005A5E00" w:rsidRDefault="00EA1BBA" w:rsidP="00F836F4">
      <w:pPr>
        <w:keepNext/>
        <w:ind w:left="720"/>
        <w:jc w:val="center"/>
        <w:rPr>
          <w:rFonts w:ascii="Calibri" w:hAnsi="Calibri"/>
        </w:rPr>
      </w:pPr>
      <w:r w:rsidRPr="005A5E00">
        <w:rPr>
          <w:rFonts w:ascii="Calibri" w:hAnsi="Calibri"/>
          <w:noProof/>
        </w:rPr>
        <w:drawing>
          <wp:inline distT="0" distB="0" distL="0" distR="0" wp14:anchorId="091FCCCA" wp14:editId="48348277">
            <wp:extent cx="5901707" cy="2301411"/>
            <wp:effectExtent l="0" t="0" r="3810" b="3810"/>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42"/>
                    <a:stretch>
                      <a:fillRect/>
                    </a:stretch>
                  </pic:blipFill>
                  <pic:spPr>
                    <a:xfrm>
                      <a:off x="0" y="0"/>
                      <a:ext cx="5964496" cy="2325896"/>
                    </a:xfrm>
                    <a:prstGeom prst="rect">
                      <a:avLst/>
                    </a:prstGeom>
                  </pic:spPr>
                </pic:pic>
              </a:graphicData>
            </a:graphic>
          </wp:inline>
        </w:drawing>
      </w:r>
    </w:p>
    <w:p w14:paraId="32FF59AB" w14:textId="76A5A1A4" w:rsidR="00EA1BBA" w:rsidRPr="00EA1BBA" w:rsidRDefault="00EA1BBA" w:rsidP="00EA1BBA">
      <w:pPr>
        <w:spacing w:after="200"/>
        <w:ind w:left="1440"/>
        <w:rPr>
          <w:rFonts w:ascii="Calibri" w:hAnsi="Calibri"/>
          <w:i/>
          <w:iCs/>
          <w:sz w:val="16"/>
          <w:szCs w:val="12"/>
        </w:rPr>
      </w:pPr>
      <w:bookmarkStart w:id="42" w:name="_Ref90403579"/>
      <w:r w:rsidRPr="00EA1BBA">
        <w:rPr>
          <w:rFonts w:ascii="Calibri" w:hAnsi="Calibri"/>
          <w:i/>
          <w:iCs/>
          <w:sz w:val="18"/>
          <w:szCs w:val="12"/>
        </w:rPr>
        <w:t xml:space="preserve">Figure </w:t>
      </w:r>
      <w:r w:rsidRPr="00EA1BBA">
        <w:rPr>
          <w:rFonts w:ascii="Calibri" w:hAnsi="Calibri"/>
          <w:i/>
          <w:iCs/>
          <w:sz w:val="18"/>
          <w:szCs w:val="12"/>
        </w:rPr>
        <w:fldChar w:fldCharType="begin"/>
      </w:r>
      <w:r w:rsidRPr="00EA1BBA">
        <w:rPr>
          <w:rFonts w:ascii="Calibri" w:hAnsi="Calibri"/>
          <w:i/>
          <w:iCs/>
          <w:sz w:val="18"/>
          <w:szCs w:val="12"/>
        </w:rPr>
        <w:instrText xml:space="preserve"> SEQ Figure \* ARABIC </w:instrText>
      </w:r>
      <w:r w:rsidRPr="00EA1BBA">
        <w:rPr>
          <w:rFonts w:ascii="Calibri" w:hAnsi="Calibri"/>
          <w:i/>
          <w:iCs/>
          <w:sz w:val="18"/>
          <w:szCs w:val="12"/>
        </w:rPr>
        <w:fldChar w:fldCharType="separate"/>
      </w:r>
      <w:r w:rsidR="00AC4277">
        <w:rPr>
          <w:rFonts w:ascii="Calibri" w:hAnsi="Calibri"/>
          <w:i/>
          <w:iCs/>
          <w:noProof/>
          <w:sz w:val="18"/>
          <w:szCs w:val="12"/>
        </w:rPr>
        <w:t>5</w:t>
      </w:r>
      <w:r w:rsidRPr="00EA1BBA">
        <w:rPr>
          <w:rFonts w:ascii="Calibri" w:hAnsi="Calibri"/>
          <w:i/>
          <w:iCs/>
          <w:noProof/>
          <w:sz w:val="18"/>
          <w:szCs w:val="12"/>
        </w:rPr>
        <w:fldChar w:fldCharType="end"/>
      </w:r>
      <w:bookmarkEnd w:id="42"/>
      <w:r w:rsidRPr="00EA1BBA">
        <w:rPr>
          <w:rFonts w:ascii="Calibri" w:hAnsi="Calibri"/>
          <w:i/>
          <w:iCs/>
          <w:sz w:val="18"/>
          <w:szCs w:val="12"/>
        </w:rPr>
        <w:t>. Significant loss of BPS-connected PV generation in ERCOT during a fault.</w:t>
      </w:r>
    </w:p>
    <w:p w14:paraId="32F0F211" w14:textId="54969D7D" w:rsidR="00AC4277" w:rsidRPr="00490805" w:rsidRDefault="00AC4277" w:rsidP="00AC4277">
      <w:pPr>
        <w:ind w:left="1440"/>
        <w:rPr>
          <w:rFonts w:ascii="Calibri" w:hAnsi="Calibri"/>
          <w:szCs w:val="24"/>
        </w:rPr>
      </w:pPr>
      <w:r w:rsidRPr="00490805">
        <w:rPr>
          <w:rFonts w:ascii="Calibri" w:hAnsi="Calibri"/>
          <w:szCs w:val="24"/>
        </w:rPr>
        <w:t>In fact, several blackout or large-scale load-shedding events have already occurred in other regions due to unexpected loss of generation during periods of high-IBR generation.</w:t>
      </w:r>
      <w:r w:rsidRPr="00490805">
        <w:rPr>
          <w:rFonts w:ascii="Calibri" w:hAnsi="Calibri"/>
          <w:szCs w:val="24"/>
          <w:vertAlign w:val="superscript"/>
        </w:rPr>
        <w:footnoteReference w:id="53"/>
      </w:r>
      <w:r w:rsidRPr="00490805">
        <w:rPr>
          <w:rFonts w:ascii="Calibri" w:hAnsi="Calibri"/>
          <w:szCs w:val="24"/>
          <w:vertAlign w:val="superscript"/>
        </w:rPr>
        <w:t>,</w:t>
      </w:r>
      <w:r w:rsidRPr="00490805">
        <w:rPr>
          <w:rFonts w:ascii="Calibri" w:hAnsi="Calibri"/>
          <w:szCs w:val="24"/>
          <w:vertAlign w:val="superscript"/>
        </w:rPr>
        <w:footnoteReference w:id="54"/>
      </w:r>
      <w:r w:rsidRPr="00490805">
        <w:rPr>
          <w:rFonts w:ascii="Calibri" w:hAnsi="Calibri"/>
          <w:szCs w:val="24"/>
          <w:vertAlign w:val="superscript"/>
        </w:rPr>
        <w:t xml:space="preserve"> </w:t>
      </w:r>
      <w:r w:rsidRPr="00490805">
        <w:rPr>
          <w:rFonts w:ascii="Calibri" w:hAnsi="Calibri"/>
          <w:szCs w:val="24"/>
        </w:rPr>
        <w:t>While policy changes may address some of these challenges, improvements to software and modeling for protection studies are needed to ensure the coordination of IBRs and the grid protection system</w:t>
      </w:r>
      <w:r w:rsidR="003D30A7">
        <w:rPr>
          <w:rFonts w:ascii="Calibri" w:hAnsi="Calibri"/>
          <w:szCs w:val="24"/>
        </w:rPr>
        <w:t xml:space="preserve"> as well as for improving the efficiency of the interconnection study process, especially when it comes to system protection</w:t>
      </w:r>
      <w:r w:rsidRPr="00490805">
        <w:rPr>
          <w:rFonts w:ascii="Calibri" w:hAnsi="Calibri"/>
          <w:szCs w:val="24"/>
        </w:rPr>
        <w:t>.</w:t>
      </w:r>
      <w:r w:rsidRPr="00490805">
        <w:rPr>
          <w:rStyle w:val="FootnoteReference"/>
          <w:rFonts w:ascii="Calibri" w:hAnsi="Calibri"/>
          <w:szCs w:val="24"/>
        </w:rPr>
        <w:footnoteReference w:id="55"/>
      </w:r>
    </w:p>
    <w:p w14:paraId="60834692" w14:textId="77777777" w:rsidR="00AC4277" w:rsidRDefault="00AC4277" w:rsidP="00AC4277">
      <w:pPr>
        <w:ind w:left="1440"/>
        <w:rPr>
          <w:rFonts w:ascii="Calibri" w:hAnsi="Calibri" w:cs="Calibri"/>
          <w:color w:val="000000"/>
          <w:sz w:val="22"/>
          <w:szCs w:val="22"/>
        </w:rPr>
      </w:pPr>
    </w:p>
    <w:p w14:paraId="27374B6C" w14:textId="77777777" w:rsidR="00AC4277" w:rsidRPr="00490805" w:rsidRDefault="00AC4277" w:rsidP="00AC4277">
      <w:pPr>
        <w:ind w:left="1440"/>
        <w:rPr>
          <w:rFonts w:ascii="Calibri" w:hAnsi="Calibri" w:cs="Calibri"/>
          <w:color w:val="000000"/>
          <w:szCs w:val="24"/>
        </w:rPr>
      </w:pPr>
      <w:r w:rsidRPr="00490805">
        <w:rPr>
          <w:rFonts w:ascii="Calibri" w:hAnsi="Calibri" w:cs="Calibri"/>
          <w:color w:val="000000"/>
          <w:szCs w:val="24"/>
        </w:rPr>
        <w:t xml:space="preserve">Other instances have been observed where the nature of the output of IBRs during a fault has caused </w:t>
      </w:r>
      <w:proofErr w:type="spellStart"/>
      <w:r w:rsidRPr="00490805">
        <w:rPr>
          <w:rFonts w:ascii="Calibri" w:hAnsi="Calibri" w:cs="Calibri"/>
          <w:color w:val="000000"/>
          <w:szCs w:val="24"/>
        </w:rPr>
        <w:t>misoperations</w:t>
      </w:r>
      <w:proofErr w:type="spellEnd"/>
      <w:r w:rsidRPr="00490805">
        <w:rPr>
          <w:rFonts w:ascii="Calibri" w:hAnsi="Calibri" w:cs="Calibri"/>
          <w:color w:val="000000"/>
          <w:szCs w:val="24"/>
        </w:rPr>
        <w:t xml:space="preserve"> in the existing grid protection systems. A well-recognized difference between the response of an IBR and a synchronous generator to a fault is that the IBR will supply a much lower short-circuit current magnitude due to the current-limiting nature of IBRs. </w:t>
      </w:r>
      <w:r w:rsidRPr="00490805">
        <w:rPr>
          <w:rFonts w:ascii="Calibri" w:hAnsi="Calibri" w:cs="Calibri"/>
          <w:szCs w:val="24"/>
        </w:rPr>
        <w:t xml:space="preserve">A synchronous generator will typically output about 6.0 </w:t>
      </w:r>
      <w:proofErr w:type="spellStart"/>
      <w:r w:rsidRPr="00490805">
        <w:rPr>
          <w:rFonts w:ascii="Calibri" w:hAnsi="Calibri" w:cs="Calibri"/>
          <w:szCs w:val="24"/>
        </w:rPr>
        <w:t>p.u</w:t>
      </w:r>
      <w:proofErr w:type="spellEnd"/>
      <w:r w:rsidRPr="00490805">
        <w:rPr>
          <w:rFonts w:ascii="Calibri" w:hAnsi="Calibri" w:cs="Calibri"/>
          <w:szCs w:val="24"/>
        </w:rPr>
        <w:t xml:space="preserve">. of its rated current for several cycles before reducing to 2.0 – 4.0 </w:t>
      </w:r>
      <w:proofErr w:type="spellStart"/>
      <w:r w:rsidRPr="00490805">
        <w:rPr>
          <w:rFonts w:ascii="Calibri" w:hAnsi="Calibri" w:cs="Calibri"/>
          <w:szCs w:val="24"/>
        </w:rPr>
        <w:t>p.u</w:t>
      </w:r>
      <w:proofErr w:type="spellEnd"/>
      <w:r w:rsidRPr="00490805">
        <w:rPr>
          <w:rFonts w:ascii="Calibri" w:hAnsi="Calibri" w:cs="Calibri"/>
          <w:szCs w:val="24"/>
        </w:rPr>
        <w:t xml:space="preserve">. in steady-state during a fault. An IBR on the other hand will have a brief transient current of 2.0 – 5.0 </w:t>
      </w:r>
      <w:proofErr w:type="spellStart"/>
      <w:r w:rsidRPr="00490805">
        <w:rPr>
          <w:rFonts w:ascii="Calibri" w:hAnsi="Calibri" w:cs="Calibri"/>
          <w:szCs w:val="24"/>
        </w:rPr>
        <w:t>p.u</w:t>
      </w:r>
      <w:proofErr w:type="spellEnd"/>
      <w:r w:rsidRPr="00490805">
        <w:rPr>
          <w:rFonts w:ascii="Calibri" w:hAnsi="Calibri" w:cs="Calibri"/>
          <w:szCs w:val="24"/>
        </w:rPr>
        <w:t xml:space="preserve">. for less than ¼ of a cycle before returning to 1.0 – 2.0 </w:t>
      </w:r>
      <w:proofErr w:type="spellStart"/>
      <w:r w:rsidRPr="00490805">
        <w:rPr>
          <w:rFonts w:ascii="Calibri" w:hAnsi="Calibri" w:cs="Calibri"/>
          <w:szCs w:val="24"/>
        </w:rPr>
        <w:t>p.u</w:t>
      </w:r>
      <w:proofErr w:type="spellEnd"/>
      <w:r w:rsidRPr="00490805">
        <w:rPr>
          <w:rFonts w:ascii="Calibri" w:hAnsi="Calibri" w:cs="Calibri"/>
          <w:szCs w:val="24"/>
        </w:rPr>
        <w:t>. rated current in steady-state during the fault.</w:t>
      </w:r>
      <w:r w:rsidRPr="00490805">
        <w:rPr>
          <w:rFonts w:ascii="Calibri" w:hAnsi="Calibri" w:cs="Calibri"/>
          <w:color w:val="000000"/>
          <w:szCs w:val="24"/>
          <w:vertAlign w:val="superscript"/>
        </w:rPr>
        <w:footnoteReference w:id="56"/>
      </w:r>
      <w:r w:rsidRPr="00490805">
        <w:rPr>
          <w:rFonts w:ascii="Calibri" w:hAnsi="Calibri" w:cs="Calibri"/>
          <w:color w:val="000000"/>
          <w:szCs w:val="24"/>
        </w:rPr>
        <w:t xml:space="preserve"> However, the amount of IBR fault or short-circuit current can vary significantly by the specific design and control of an inverter. This is complicated by the variable nature of renewable resources behind inverter devices. More comprehensive protection studies or adaptive protection schemes could address such issues. However, it is not conclusive that short-circuit values will universally decline across a transmission grid supplied mostly by IBR.</w:t>
      </w:r>
      <w:bookmarkStart w:id="43" w:name="_Ref93674146"/>
      <w:r w:rsidRPr="00490805">
        <w:rPr>
          <w:rFonts w:ascii="Calibri" w:hAnsi="Calibri" w:cs="Calibri"/>
          <w:color w:val="000000"/>
          <w:szCs w:val="24"/>
          <w:vertAlign w:val="superscript"/>
        </w:rPr>
        <w:footnoteReference w:id="57"/>
      </w:r>
      <w:bookmarkEnd w:id="43"/>
      <w:r w:rsidRPr="00490805">
        <w:rPr>
          <w:rFonts w:ascii="Calibri" w:hAnsi="Calibri" w:cs="Calibri"/>
          <w:color w:val="000000"/>
          <w:szCs w:val="24"/>
        </w:rPr>
        <w:t xml:space="preserve"> Some areas of the transmission grid may have </w:t>
      </w:r>
      <w:proofErr w:type="gramStart"/>
      <w:r w:rsidRPr="00490805">
        <w:rPr>
          <w:rFonts w:ascii="Calibri" w:hAnsi="Calibri" w:cs="Calibri"/>
          <w:color w:val="000000"/>
          <w:szCs w:val="24"/>
        </w:rPr>
        <w:t>short-circuit</w:t>
      </w:r>
      <w:proofErr w:type="gramEnd"/>
      <w:r w:rsidRPr="00490805">
        <w:rPr>
          <w:rFonts w:ascii="Calibri" w:hAnsi="Calibri" w:cs="Calibri"/>
          <w:color w:val="000000"/>
          <w:szCs w:val="24"/>
        </w:rPr>
        <w:t xml:space="preserve"> characteristics that are determined primarily by line and transformer impedances rather than the mix of generation.</w:t>
      </w:r>
    </w:p>
    <w:p w14:paraId="0F5535CB" w14:textId="77777777" w:rsidR="00AC4277" w:rsidRPr="005A5E00" w:rsidRDefault="00AC4277" w:rsidP="00AC4277">
      <w:pPr>
        <w:ind w:left="1440"/>
        <w:rPr>
          <w:rFonts w:ascii="Calibri" w:hAnsi="Calibri" w:cs="Calibri"/>
          <w:color w:val="000000"/>
          <w:sz w:val="22"/>
          <w:szCs w:val="22"/>
        </w:rPr>
      </w:pPr>
    </w:p>
    <w:p w14:paraId="52FD7221" w14:textId="0D144135" w:rsidR="00AC4277" w:rsidRPr="00490805" w:rsidRDefault="00AC4277" w:rsidP="00AC4277">
      <w:pPr>
        <w:ind w:left="1440"/>
        <w:rPr>
          <w:rFonts w:ascii="Calibri" w:hAnsi="Calibri" w:cs="Calibri"/>
          <w:szCs w:val="24"/>
        </w:rPr>
      </w:pPr>
      <w:r w:rsidRPr="00490805">
        <w:rPr>
          <w:rFonts w:ascii="Calibri" w:hAnsi="Calibri" w:cs="Calibri"/>
          <w:color w:val="000000"/>
          <w:szCs w:val="24"/>
        </w:rPr>
        <w:t xml:space="preserve">Another underlying difference in the response of IBRs to faults compared to synchronous generators is that BPS-connected IBRs, as they are typically controlled today, suppress their output of negative sequence current. Negative-sequence current is a mathematical representation of how far from balanced three-phase operation a generator is producing current and protection engineers use it as an important quantity to identify unbalanced faults in the system. One application is to simply trigger a relay to operate a breaker if too much negative sequence current is measured (negative sequence overcurrent) as an indication of an unbalanced fault. The study by EPRI in Reference </w:t>
      </w:r>
      <w:r w:rsidRPr="00490805">
        <w:rPr>
          <w:rFonts w:ascii="Calibri" w:hAnsi="Calibri" w:cs="Calibri"/>
          <w:color w:val="000000"/>
          <w:szCs w:val="24"/>
        </w:rPr>
        <w:fldChar w:fldCharType="begin"/>
      </w:r>
      <w:r w:rsidRPr="00490805">
        <w:rPr>
          <w:rFonts w:ascii="Calibri" w:hAnsi="Calibri" w:cs="Calibri"/>
          <w:color w:val="000000"/>
          <w:szCs w:val="24"/>
        </w:rPr>
        <w:instrText xml:space="preserve"> NOTEREF _Ref97740376 \h </w:instrText>
      </w:r>
      <w:r>
        <w:rPr>
          <w:rFonts w:ascii="Calibri" w:hAnsi="Calibri" w:cs="Calibri"/>
          <w:color w:val="000000"/>
          <w:szCs w:val="24"/>
        </w:rPr>
        <w:instrText xml:space="preserve"> \* MERGEFORMAT </w:instrText>
      </w:r>
      <w:r w:rsidRPr="00490805">
        <w:rPr>
          <w:rFonts w:ascii="Calibri" w:hAnsi="Calibri" w:cs="Calibri"/>
          <w:color w:val="000000"/>
          <w:szCs w:val="24"/>
        </w:rPr>
      </w:r>
      <w:r w:rsidRPr="00490805">
        <w:rPr>
          <w:rFonts w:ascii="Calibri" w:hAnsi="Calibri" w:cs="Calibri"/>
          <w:color w:val="000000"/>
          <w:szCs w:val="24"/>
        </w:rPr>
        <w:fldChar w:fldCharType="separate"/>
      </w:r>
      <w:r w:rsidRPr="00490805">
        <w:rPr>
          <w:rFonts w:ascii="Calibri" w:hAnsi="Calibri" w:cs="Calibri"/>
          <w:color w:val="000000"/>
          <w:szCs w:val="24"/>
        </w:rPr>
        <w:t>49</w:t>
      </w:r>
      <w:r w:rsidRPr="00490805">
        <w:rPr>
          <w:rFonts w:ascii="Calibri" w:hAnsi="Calibri" w:cs="Calibri"/>
          <w:color w:val="000000"/>
          <w:szCs w:val="24"/>
        </w:rPr>
        <w:fldChar w:fldCharType="end"/>
      </w:r>
      <w:r w:rsidRPr="00490805">
        <w:rPr>
          <w:rFonts w:ascii="Calibri" w:hAnsi="Calibri" w:cs="Calibri"/>
          <w:color w:val="000000"/>
          <w:szCs w:val="24"/>
        </w:rPr>
        <w:t xml:space="preserve"> provides a detailed description of how IBR produce a much lower magnitude of negative-sequence current compared to an equivalent sized synchronous generator.</w:t>
      </w:r>
      <w:bookmarkStart w:id="44" w:name="_Ref97740376"/>
      <w:r w:rsidRPr="00490805">
        <w:rPr>
          <w:rFonts w:ascii="Calibri" w:hAnsi="Calibri"/>
          <w:szCs w:val="24"/>
          <w:vertAlign w:val="superscript"/>
        </w:rPr>
        <w:footnoteReference w:id="58"/>
      </w:r>
      <w:bookmarkEnd w:id="44"/>
      <w:r w:rsidRPr="00490805">
        <w:rPr>
          <w:rFonts w:ascii="Calibri" w:hAnsi="Calibri" w:cs="Calibri"/>
          <w:color w:val="000000"/>
          <w:szCs w:val="24"/>
        </w:rPr>
        <w:t xml:space="preserve"> This study also includes examples of how typical negative sequence overcurrent settings will fail to operate when the fault current is supplied primarily by IBR versus synchronous generators. These findings indicate a more careful application of settings must be applied to relays depending on the mix of sources supplying a fault. This complicates the development of protection settings and may even necessitate adaptive settings if the resource mix fluctuates. </w:t>
      </w:r>
      <w:r w:rsidRPr="00490805">
        <w:rPr>
          <w:rFonts w:ascii="Calibri" w:hAnsi="Calibri" w:cs="Calibri"/>
          <w:szCs w:val="24"/>
        </w:rPr>
        <w:t>A further complication is that the aggregate impact of distributed IBRs on the transmission grid (if allowed to feed into the transmission grid) will have less predictable negative-sequence (and possibly zero-sequence) responses to faults than large grid-tied IBRs due to their unbalanced nature.</w:t>
      </w:r>
    </w:p>
    <w:p w14:paraId="60103D78" w14:textId="77777777" w:rsidR="00AC4277" w:rsidRPr="005A5E00" w:rsidRDefault="00AC4277" w:rsidP="00AC4277">
      <w:pPr>
        <w:ind w:left="1440"/>
        <w:rPr>
          <w:rFonts w:ascii="Calibri" w:hAnsi="Calibri" w:cs="Calibri"/>
          <w:color w:val="000000"/>
          <w:sz w:val="22"/>
          <w:szCs w:val="22"/>
        </w:rPr>
      </w:pPr>
    </w:p>
    <w:p w14:paraId="6A130A7E" w14:textId="3A1FB521" w:rsidR="00AC4277" w:rsidRPr="00490805" w:rsidRDefault="00AC4277" w:rsidP="00AC4277">
      <w:pPr>
        <w:ind w:left="1440"/>
        <w:rPr>
          <w:rFonts w:ascii="Calibri" w:hAnsi="Calibri" w:cs="Calibri"/>
          <w:color w:val="000000"/>
          <w:sz w:val="28"/>
          <w:szCs w:val="28"/>
        </w:rPr>
      </w:pPr>
      <w:r w:rsidRPr="00490805">
        <w:rPr>
          <w:rFonts w:ascii="Calibri" w:hAnsi="Calibri" w:cs="Calibri"/>
          <w:color w:val="000000"/>
          <w:szCs w:val="24"/>
        </w:rPr>
        <w:t>Besides directly triggering on overcurrent, other protection applications use negative sequence voltage and current as important references in their operation. It has been observed that relays on transmission lines can fail to properly identify fault current direction in high-IBR penetration scenarios.</w:t>
      </w:r>
      <w:r w:rsidRPr="00490805">
        <w:rPr>
          <w:rFonts w:ascii="Calibri" w:hAnsi="Calibri" w:cs="Calibri"/>
          <w:color w:val="000000"/>
          <w:szCs w:val="24"/>
          <w:vertAlign w:val="superscript"/>
        </w:rPr>
        <w:footnoteReference w:id="59"/>
      </w:r>
      <w:r w:rsidRPr="00490805">
        <w:rPr>
          <w:rFonts w:ascii="Calibri" w:hAnsi="Calibri" w:cs="Calibri"/>
          <w:color w:val="000000"/>
          <w:szCs w:val="24"/>
        </w:rPr>
        <w:t xml:space="preserve"> The current direction calculation may fail for several reasons. The relay may require a minimum threshold of negative-sequence current before it uses the direction calculation, which would fail if the threshold </w:t>
      </w:r>
      <w:r w:rsidR="008815F5" w:rsidRPr="00490805">
        <w:rPr>
          <w:rFonts w:ascii="Calibri" w:hAnsi="Calibri" w:cs="Calibri"/>
          <w:color w:val="000000"/>
          <w:szCs w:val="24"/>
        </w:rPr>
        <w:t>were</w:t>
      </w:r>
      <w:r w:rsidRPr="00490805">
        <w:rPr>
          <w:rFonts w:ascii="Calibri" w:hAnsi="Calibri" w:cs="Calibri"/>
          <w:color w:val="000000"/>
          <w:szCs w:val="24"/>
        </w:rPr>
        <w:t xml:space="preserve"> set to</w:t>
      </w:r>
      <w:r w:rsidR="008815F5">
        <w:rPr>
          <w:rFonts w:ascii="Calibri" w:hAnsi="Calibri" w:cs="Calibri"/>
          <w:color w:val="000000"/>
          <w:szCs w:val="24"/>
        </w:rPr>
        <w:t>o</w:t>
      </w:r>
      <w:r w:rsidRPr="00490805">
        <w:rPr>
          <w:rFonts w:ascii="Calibri" w:hAnsi="Calibri" w:cs="Calibri"/>
          <w:color w:val="000000"/>
          <w:szCs w:val="24"/>
        </w:rPr>
        <w:t xml:space="preserve"> high</w:t>
      </w:r>
      <w:r w:rsidR="008815F5">
        <w:rPr>
          <w:rFonts w:ascii="Calibri" w:hAnsi="Calibri" w:cs="Calibri"/>
          <w:color w:val="000000"/>
          <w:szCs w:val="24"/>
        </w:rPr>
        <w:t xml:space="preserve">. </w:t>
      </w:r>
      <w:r w:rsidRPr="00490805">
        <w:rPr>
          <w:rFonts w:ascii="Calibri" w:hAnsi="Calibri" w:cs="Calibri"/>
          <w:color w:val="000000"/>
          <w:szCs w:val="24"/>
        </w:rPr>
        <w:t xml:space="preserve">Another reason is that the calculation may rely on the relationship between negative sequence voltage and current that is typical for a synchronous </w:t>
      </w:r>
      <w:proofErr w:type="gramStart"/>
      <w:r w:rsidRPr="00490805">
        <w:rPr>
          <w:rFonts w:ascii="Calibri" w:hAnsi="Calibri" w:cs="Calibri"/>
          <w:color w:val="000000"/>
          <w:szCs w:val="24"/>
        </w:rPr>
        <w:t>generator, but</w:t>
      </w:r>
      <w:proofErr w:type="gramEnd"/>
      <w:r w:rsidRPr="00490805">
        <w:rPr>
          <w:rFonts w:ascii="Calibri" w:hAnsi="Calibri" w:cs="Calibri"/>
          <w:color w:val="000000"/>
          <w:szCs w:val="24"/>
        </w:rPr>
        <w:t xml:space="preserve"> is different for IBRs. Determining fault current direction is crucial to many protection schemes, particularly distance protection schemes that are commonly deployed on many transmission lines. An error in this calculation could lead to relays calculating a fault to be in an incorrect location and either failing to operate to isolate a fault or </w:t>
      </w:r>
      <w:proofErr w:type="spellStart"/>
      <w:r w:rsidRPr="00490805">
        <w:rPr>
          <w:rFonts w:ascii="Calibri" w:hAnsi="Calibri" w:cs="Calibri"/>
          <w:color w:val="000000"/>
          <w:szCs w:val="24"/>
        </w:rPr>
        <w:t>misoperating</w:t>
      </w:r>
      <w:proofErr w:type="spellEnd"/>
      <w:r w:rsidRPr="00490805">
        <w:rPr>
          <w:rFonts w:ascii="Calibri" w:hAnsi="Calibri" w:cs="Calibri"/>
          <w:color w:val="000000"/>
          <w:szCs w:val="24"/>
        </w:rPr>
        <w:t xml:space="preserve"> to open a healthy transmission line.</w:t>
      </w:r>
      <w:r w:rsidRPr="00490805">
        <w:rPr>
          <w:rFonts w:ascii="Calibri" w:hAnsi="Calibri"/>
          <w:szCs w:val="22"/>
          <w:vertAlign w:val="superscript"/>
        </w:rPr>
        <w:footnoteReference w:id="60"/>
      </w:r>
    </w:p>
    <w:p w14:paraId="7786852C" w14:textId="77777777" w:rsidR="00AC4277" w:rsidRPr="00490805" w:rsidRDefault="00AC4277" w:rsidP="00AC4277">
      <w:pPr>
        <w:ind w:left="1440"/>
        <w:rPr>
          <w:rFonts w:ascii="Calibri" w:hAnsi="Calibri"/>
          <w:color w:val="E505A5"/>
          <w:szCs w:val="24"/>
        </w:rPr>
      </w:pPr>
    </w:p>
    <w:p w14:paraId="7EAFDD6B" w14:textId="77777777" w:rsidR="00AC4277" w:rsidRDefault="00AC4277" w:rsidP="00AC4277">
      <w:pPr>
        <w:ind w:left="1440"/>
        <w:rPr>
          <w:rFonts w:ascii="Calibri" w:hAnsi="Calibri" w:cs="Calibri"/>
          <w:color w:val="000000"/>
          <w:szCs w:val="24"/>
        </w:rPr>
      </w:pPr>
      <w:r w:rsidRPr="00490805">
        <w:rPr>
          <w:rFonts w:ascii="Calibri" w:hAnsi="Calibri" w:cs="Calibri"/>
          <w:color w:val="000000"/>
          <w:szCs w:val="24"/>
        </w:rPr>
        <w:t>In addition to the challenges that have already been observed in the transmission system, preliminary research has identified several more challenges to emerge as the contribution of IBRs to the BPS increases further. Lately, there has been a long-term downward trend in estimates of system inertia.</w:t>
      </w:r>
      <w:r w:rsidRPr="00490805">
        <w:rPr>
          <w:rFonts w:ascii="Calibri" w:hAnsi="Calibri" w:cs="Calibri"/>
          <w:color w:val="000000"/>
          <w:szCs w:val="24"/>
          <w:vertAlign w:val="superscript"/>
        </w:rPr>
        <w:footnoteReference w:id="61"/>
      </w:r>
      <w:r w:rsidRPr="00490805">
        <w:rPr>
          <w:rFonts w:ascii="Calibri" w:hAnsi="Calibri" w:cs="Calibri"/>
          <w:color w:val="000000"/>
          <w:szCs w:val="24"/>
        </w:rPr>
        <w:t xml:space="preserve"> There is speculation that replacing large synchronous generators with IBRs could continue the decline of system inertia and the rate of change of frequency (ROCOF) will rise. At a high enough ROCOF, system frequency may drop below a safe operating threshold before protection can operate to arrest the drop. This could lead to generator tripping, wide-scale load-shedding, or even blackouts.</w:t>
      </w:r>
      <w:r w:rsidRPr="00490805">
        <w:rPr>
          <w:rFonts w:ascii="Calibri" w:hAnsi="Calibri" w:cs="Calibri"/>
          <w:color w:val="000000"/>
          <w:szCs w:val="24"/>
          <w:vertAlign w:val="superscript"/>
        </w:rPr>
        <w:footnoteReference w:id="62"/>
      </w:r>
      <w:r w:rsidRPr="00490805">
        <w:rPr>
          <w:rFonts w:ascii="Calibri" w:hAnsi="Calibri" w:cs="Calibri"/>
          <w:color w:val="000000"/>
          <w:szCs w:val="24"/>
        </w:rPr>
        <w:t xml:space="preserve"> Put another way, the critical operating time of circuit breakers before a grid instability occurs may be decreased. This timing must be monitored through protection studies as the state of the grid evolves to ensure the protection system is operating sufficiently fast.</w:t>
      </w:r>
    </w:p>
    <w:p w14:paraId="3BCE5C90" w14:textId="77777777" w:rsidR="00AC4277" w:rsidRPr="00490805" w:rsidRDefault="00AC4277" w:rsidP="00AC4277">
      <w:pPr>
        <w:rPr>
          <w:rFonts w:ascii="Calibri" w:hAnsi="Calibri" w:cs="Calibri"/>
          <w:color w:val="000000"/>
          <w:sz w:val="28"/>
          <w:szCs w:val="28"/>
        </w:rPr>
      </w:pPr>
    </w:p>
    <w:p w14:paraId="012DB8A1" w14:textId="1D8E0274" w:rsidR="00EA1BBA" w:rsidRDefault="00AC4277" w:rsidP="00AC4277">
      <w:pPr>
        <w:ind w:left="1440"/>
        <w:rPr>
          <w:rFonts w:ascii="Calibri" w:hAnsi="Calibri" w:cs="Calibri"/>
          <w:color w:val="000000"/>
          <w:szCs w:val="24"/>
        </w:rPr>
      </w:pPr>
      <w:r w:rsidRPr="00490805">
        <w:rPr>
          <w:rFonts w:ascii="Calibri" w:hAnsi="Calibri" w:cs="Calibri"/>
          <w:color w:val="000000"/>
          <w:szCs w:val="24"/>
        </w:rPr>
        <w:t>Other studies have shown that</w:t>
      </w:r>
      <w:r w:rsidR="004532A3">
        <w:rPr>
          <w:rFonts w:ascii="Calibri" w:hAnsi="Calibri" w:cs="Calibri"/>
          <w:color w:val="000000"/>
          <w:szCs w:val="24"/>
        </w:rPr>
        <w:t xml:space="preserve"> </w:t>
      </w:r>
      <w:r w:rsidRPr="00490805">
        <w:rPr>
          <w:rFonts w:ascii="Calibri" w:hAnsi="Calibri" w:cs="Calibri"/>
          <w:color w:val="000000"/>
          <w:szCs w:val="24"/>
        </w:rPr>
        <w:t>changing</w:t>
      </w:r>
      <w:r w:rsidR="004532A3">
        <w:rPr>
          <w:rFonts w:ascii="Calibri" w:hAnsi="Calibri" w:cs="Calibri"/>
          <w:color w:val="000000"/>
          <w:szCs w:val="24"/>
        </w:rPr>
        <w:t xml:space="preserve"> </w:t>
      </w:r>
      <w:r w:rsidRPr="00490805">
        <w:rPr>
          <w:rFonts w:ascii="Calibri" w:hAnsi="Calibri" w:cs="Calibri"/>
          <w:color w:val="000000"/>
          <w:szCs w:val="24"/>
        </w:rPr>
        <w:t>generation from synchronous machines to IBRs changes the power swing dynamics of the bulk power system.</w:t>
      </w:r>
      <w:r w:rsidRPr="00490805">
        <w:rPr>
          <w:rFonts w:ascii="Calibri" w:hAnsi="Calibri" w:cs="Calibri"/>
          <w:color w:val="000000"/>
          <w:szCs w:val="24"/>
          <w:vertAlign w:val="superscript"/>
        </w:rPr>
        <w:footnoteReference w:id="63"/>
      </w:r>
      <w:r w:rsidRPr="00490805">
        <w:rPr>
          <w:rFonts w:ascii="Calibri" w:hAnsi="Calibri" w:cs="Calibri"/>
          <w:color w:val="000000"/>
          <w:szCs w:val="24"/>
        </w:rPr>
        <w:t xml:space="preserve"> These changes in power swings may impact existing protection schemes, such as generator out-of-step protection or the power swing blocking elements of line protection. Furthermore, recent studies have indicated that poor or uncoordinated tuning of IBR controls can create oscillations or other dynamics that have a destabilizing effect on the grid and are currently not accounted for by transmission protection.</w:t>
      </w:r>
    </w:p>
    <w:p w14:paraId="6604E067" w14:textId="6421B6AB" w:rsidR="00CC74E5" w:rsidRDefault="00CC74E5" w:rsidP="00EA1BBA">
      <w:pPr>
        <w:ind w:left="1440"/>
        <w:rPr>
          <w:rFonts w:ascii="Calibri" w:hAnsi="Calibri" w:cs="Calibri"/>
          <w:color w:val="000000"/>
          <w:szCs w:val="24"/>
        </w:rPr>
      </w:pPr>
    </w:p>
    <w:p w14:paraId="2FE2BF9A" w14:textId="77777777" w:rsidR="002D7998" w:rsidRDefault="002D7998" w:rsidP="00CC74E5">
      <w:pPr>
        <w:pStyle w:val="FOAHeading4"/>
        <w:numPr>
          <w:ilvl w:val="0"/>
          <w:numId w:val="0"/>
        </w:numPr>
        <w:ind w:left="1440"/>
        <w:rPr>
          <w:b w:val="0"/>
          <w:bCs/>
          <w:u w:val="single"/>
        </w:rPr>
      </w:pPr>
    </w:p>
    <w:p w14:paraId="4A2F6632" w14:textId="77777777" w:rsidR="002D7998" w:rsidRDefault="002D7998" w:rsidP="00CC74E5">
      <w:pPr>
        <w:pStyle w:val="FOAHeading4"/>
        <w:numPr>
          <w:ilvl w:val="0"/>
          <w:numId w:val="0"/>
        </w:numPr>
        <w:ind w:left="1440"/>
        <w:rPr>
          <w:b w:val="0"/>
          <w:bCs/>
          <w:u w:val="single"/>
        </w:rPr>
      </w:pPr>
    </w:p>
    <w:p w14:paraId="4ED4FCB9" w14:textId="77777777" w:rsidR="002D7998" w:rsidRDefault="002D7998" w:rsidP="00CC74E5">
      <w:pPr>
        <w:pStyle w:val="FOAHeading4"/>
        <w:numPr>
          <w:ilvl w:val="0"/>
          <w:numId w:val="0"/>
        </w:numPr>
        <w:ind w:left="1440"/>
        <w:rPr>
          <w:b w:val="0"/>
          <w:bCs/>
          <w:u w:val="single"/>
        </w:rPr>
      </w:pPr>
    </w:p>
    <w:p w14:paraId="7BB2361F" w14:textId="17706B67" w:rsidR="00CC74E5" w:rsidRPr="00EA1BBA" w:rsidRDefault="00CC74E5" w:rsidP="00CC74E5">
      <w:pPr>
        <w:pStyle w:val="FOAHeading4"/>
        <w:numPr>
          <w:ilvl w:val="0"/>
          <w:numId w:val="0"/>
        </w:numPr>
        <w:ind w:left="1440"/>
        <w:rPr>
          <w:b w:val="0"/>
          <w:bCs/>
          <w:u w:val="single"/>
        </w:rPr>
      </w:pPr>
      <w:r>
        <w:rPr>
          <w:b w:val="0"/>
          <w:bCs/>
          <w:u w:val="single"/>
        </w:rPr>
        <w:t>Current State of the Art</w:t>
      </w:r>
    </w:p>
    <w:p w14:paraId="7ED32E2E" w14:textId="77777777" w:rsidR="00CC74E5" w:rsidRDefault="00CC74E5" w:rsidP="00CC74E5">
      <w:pPr>
        <w:pStyle w:val="FOAHeading4"/>
        <w:numPr>
          <w:ilvl w:val="0"/>
          <w:numId w:val="0"/>
        </w:numPr>
        <w:ind w:left="1440"/>
        <w:rPr>
          <w:b w:val="0"/>
          <w:bCs/>
        </w:rPr>
      </w:pPr>
    </w:p>
    <w:p w14:paraId="069FA2B6" w14:textId="77777777" w:rsidR="00CC74E5" w:rsidRDefault="00CC74E5" w:rsidP="00CC74E5">
      <w:pPr>
        <w:pStyle w:val="FOAHeading4"/>
        <w:numPr>
          <w:ilvl w:val="0"/>
          <w:numId w:val="0"/>
        </w:numPr>
        <w:ind w:left="1440"/>
        <w:rPr>
          <w:b w:val="0"/>
          <w:bCs/>
        </w:rPr>
      </w:pPr>
      <w:r>
        <w:rPr>
          <w:b w:val="0"/>
          <w:bCs/>
          <w:i/>
          <w:iCs/>
        </w:rPr>
        <w:t>Distribution Systems</w:t>
      </w:r>
    </w:p>
    <w:p w14:paraId="019D5FB2" w14:textId="3ADBCC3C" w:rsidR="00CC74E5" w:rsidRDefault="00CC74E5" w:rsidP="00EA1BBA">
      <w:pPr>
        <w:ind w:left="1440"/>
        <w:rPr>
          <w:rFonts w:ascii="Calibri" w:hAnsi="Calibri" w:cs="Calibri"/>
          <w:color w:val="000000"/>
          <w:szCs w:val="24"/>
        </w:rPr>
      </w:pPr>
    </w:p>
    <w:p w14:paraId="19E9CBBF" w14:textId="3068B9EE" w:rsidR="00CC74E5" w:rsidRDefault="00AC4277" w:rsidP="00CC74E5">
      <w:pPr>
        <w:ind w:left="1440"/>
        <w:rPr>
          <w:rFonts w:ascii="Calibri" w:hAnsi="Calibri"/>
          <w:szCs w:val="22"/>
        </w:rPr>
      </w:pPr>
      <w:bookmarkStart w:id="45" w:name="_Hlk99118356"/>
      <w:r w:rsidRPr="00490805">
        <w:rPr>
          <w:rFonts w:ascii="Calibri" w:hAnsi="Calibri"/>
          <w:szCs w:val="22"/>
        </w:rPr>
        <w:t xml:space="preserve">The objectives and methods used in the protection of distribution systems, which are typically designed for radial flows of power, differs from those of transmission systems, which have meshed flows of power. Due to distribution feeders experiencing higher relative penetration rates of IBR sooner than the bulk transmission system, more research has been focused </w:t>
      </w:r>
      <w:r w:rsidR="008815F5" w:rsidRPr="00490805">
        <w:rPr>
          <w:rFonts w:ascii="Calibri" w:hAnsi="Calibri"/>
          <w:szCs w:val="22"/>
        </w:rPr>
        <w:t>on</w:t>
      </w:r>
      <w:r w:rsidRPr="00490805">
        <w:rPr>
          <w:rFonts w:ascii="Calibri" w:hAnsi="Calibri"/>
          <w:szCs w:val="22"/>
        </w:rPr>
        <w:t xml:space="preserve"> the distribution level to investigate the impact of high penetrations of IBR on protection. Over the past years, this research has developed novel technologies and techniques to offer solutions and mitigations to challenges posed to distribution protection by IBR.  Studies conducted by PNNL,</w:t>
      </w:r>
      <w:r w:rsidRPr="00490805">
        <w:rPr>
          <w:rFonts w:ascii="Calibri" w:hAnsi="Calibri"/>
          <w:szCs w:val="22"/>
          <w:vertAlign w:val="superscript"/>
        </w:rPr>
        <w:footnoteReference w:id="64"/>
      </w:r>
      <w:r w:rsidRPr="00490805">
        <w:rPr>
          <w:rFonts w:ascii="Calibri" w:hAnsi="Calibri"/>
          <w:szCs w:val="24"/>
          <w:vertAlign w:val="superscript"/>
        </w:rPr>
        <w:t>,</w:t>
      </w:r>
      <w:r w:rsidRPr="00490805">
        <w:rPr>
          <w:rFonts w:ascii="Calibri" w:hAnsi="Calibri"/>
          <w:szCs w:val="24"/>
          <w:vertAlign w:val="superscript"/>
        </w:rPr>
        <w:footnoteReference w:id="65"/>
      </w:r>
      <w:r w:rsidRPr="00490805">
        <w:rPr>
          <w:rFonts w:ascii="Calibri" w:hAnsi="Calibri"/>
          <w:szCs w:val="22"/>
        </w:rPr>
        <w:t xml:space="preserve"> and other national labs</w:t>
      </w:r>
      <w:r w:rsidR="003D30A7">
        <w:rPr>
          <w:rFonts w:ascii="Calibri" w:hAnsi="Calibri"/>
          <w:szCs w:val="22"/>
        </w:rPr>
        <w:t>,</w:t>
      </w:r>
      <w:r w:rsidRPr="00490805">
        <w:rPr>
          <w:rFonts w:ascii="Calibri" w:hAnsi="Calibri"/>
          <w:szCs w:val="24"/>
          <w:vertAlign w:val="superscript"/>
        </w:rPr>
        <w:footnoteReference w:id="66"/>
      </w:r>
      <w:r w:rsidRPr="00490805">
        <w:rPr>
          <w:rFonts w:ascii="Calibri" w:hAnsi="Calibri"/>
          <w:szCs w:val="22"/>
        </w:rPr>
        <w:t xml:space="preserve"> have documented the technology gaps found in existing distribution protection and have proposed various state-of-the-art solutions. In most cases, the studies found that existing methods and commercially available devices can support protection for distribution systems with high penetration, up to 100% IBR. Where existing methods broke down, the studies suggest that adaptive settings or schemes can work in scenarios with highly variable conditions. The studies also found distance-based protection with incremental distance relays at PV sites improved performance metrics compared to traditional methods such as time-overcurrent protection. The studies additionally found that data-driven schemes showed promising results but require detailed models to perform electromagnetic transient (EMT) analysis and large volumes of data to train deep learning algorithms, such as convolutional neural networks (CNN), and that further field validation is needed</w:t>
      </w:r>
      <w:r w:rsidR="00CC74E5" w:rsidRPr="00490805">
        <w:rPr>
          <w:rFonts w:ascii="Calibri" w:hAnsi="Calibri"/>
          <w:szCs w:val="22"/>
        </w:rPr>
        <w:t>.</w:t>
      </w:r>
      <w:bookmarkEnd w:id="45"/>
    </w:p>
    <w:p w14:paraId="4D37799C" w14:textId="14DFD1BC" w:rsidR="00CC74E5" w:rsidRDefault="00CC74E5" w:rsidP="00CC74E5">
      <w:pPr>
        <w:ind w:left="1440"/>
        <w:rPr>
          <w:rFonts w:ascii="Calibri" w:hAnsi="Calibri"/>
          <w:szCs w:val="22"/>
        </w:rPr>
      </w:pPr>
    </w:p>
    <w:p w14:paraId="697DE100" w14:textId="0B6CD034" w:rsidR="00CC74E5" w:rsidRPr="00CC74E5" w:rsidRDefault="00CC74E5" w:rsidP="00CC74E5">
      <w:pPr>
        <w:ind w:left="1440"/>
        <w:rPr>
          <w:rFonts w:ascii="Calibri" w:hAnsi="Calibri"/>
          <w:i/>
          <w:iCs/>
          <w:szCs w:val="22"/>
        </w:rPr>
      </w:pPr>
      <w:r>
        <w:rPr>
          <w:rFonts w:ascii="Calibri" w:hAnsi="Calibri"/>
          <w:i/>
          <w:iCs/>
          <w:szCs w:val="22"/>
        </w:rPr>
        <w:t>Transmission Systems</w:t>
      </w:r>
    </w:p>
    <w:p w14:paraId="764B69CA" w14:textId="549CA5E1" w:rsidR="00CC74E5" w:rsidRDefault="00CC74E5" w:rsidP="00CC74E5">
      <w:pPr>
        <w:ind w:left="1440"/>
        <w:rPr>
          <w:rFonts w:ascii="Calibri" w:hAnsi="Calibri"/>
          <w:szCs w:val="22"/>
        </w:rPr>
      </w:pPr>
    </w:p>
    <w:p w14:paraId="0F74B04C" w14:textId="77777777" w:rsidR="00AC4277" w:rsidRPr="00490805" w:rsidRDefault="00AC4277" w:rsidP="00AC4277">
      <w:pPr>
        <w:ind w:left="1440"/>
        <w:rPr>
          <w:rFonts w:ascii="Calibri" w:hAnsi="Calibri"/>
          <w:szCs w:val="22"/>
        </w:rPr>
      </w:pPr>
      <w:r w:rsidRPr="00490805">
        <w:rPr>
          <w:rFonts w:ascii="Calibri" w:hAnsi="Calibri"/>
          <w:szCs w:val="22"/>
        </w:rPr>
        <w:t>More research into the impact of IBR on transmission protection is being performed as the penetration of renewable sources and IBR on transmission systems increases, especially in smaller islanded transmission systems that see very high IBR penetration rates. Some studies have shown that adjusting the settings of the existing deployed relays can provide an economic solution while increasing dependability and security of power systems with IBRs.</w:t>
      </w:r>
      <w:r w:rsidRPr="00490805">
        <w:rPr>
          <w:rFonts w:ascii="Calibri" w:hAnsi="Calibri"/>
          <w:szCs w:val="22"/>
          <w:vertAlign w:val="superscript"/>
        </w:rPr>
        <w:footnoteReference w:id="67"/>
      </w:r>
      <w:r w:rsidRPr="00490805">
        <w:rPr>
          <w:rFonts w:ascii="Calibri" w:hAnsi="Calibri"/>
          <w:szCs w:val="22"/>
        </w:rPr>
        <w:t xml:space="preserve"> Alternatively, improved performance has been shown to be achieved through slight modifications to existing protection algorithms, such as using different quantities for directional polarization. Multiple studies have reported that transmission line protection schemes may be improved in the presence of large amounts of non-dispatchable IBRs by using adaptive distance protection schemes.</w:t>
      </w:r>
      <w:r w:rsidRPr="00490805">
        <w:rPr>
          <w:rFonts w:ascii="Calibri" w:hAnsi="Calibri"/>
          <w:szCs w:val="22"/>
          <w:vertAlign w:val="superscript"/>
        </w:rPr>
        <w:footnoteReference w:id="68"/>
      </w:r>
      <w:r w:rsidRPr="00490805">
        <w:rPr>
          <w:rFonts w:ascii="Calibri" w:hAnsi="Calibri"/>
          <w:szCs w:val="22"/>
        </w:rPr>
        <w:t xml:space="preserve">  Other researchers have proposed completely new fault detection algorithms, such as source-agnostic approaches,</w:t>
      </w:r>
      <w:r w:rsidRPr="00490805">
        <w:rPr>
          <w:rFonts w:ascii="Calibri" w:hAnsi="Calibri"/>
          <w:szCs w:val="22"/>
          <w:vertAlign w:val="superscript"/>
        </w:rPr>
        <w:footnoteReference w:id="69"/>
      </w:r>
      <w:r w:rsidRPr="00490805">
        <w:rPr>
          <w:rFonts w:ascii="Calibri" w:hAnsi="Calibri"/>
          <w:szCs w:val="22"/>
        </w:rPr>
        <w:t xml:space="preserve"> or using new measurements, such as the voltage and current phasors from IBR-connected buses to set new boundaries for the relay settings. </w:t>
      </w:r>
    </w:p>
    <w:p w14:paraId="0A9C1E3E" w14:textId="77777777" w:rsidR="00AC4277" w:rsidRPr="005A5E00" w:rsidRDefault="00AC4277" w:rsidP="00AC4277">
      <w:pPr>
        <w:rPr>
          <w:rFonts w:ascii="Calibri" w:hAnsi="Calibri"/>
          <w:sz w:val="22"/>
        </w:rPr>
      </w:pPr>
    </w:p>
    <w:p w14:paraId="238A403F" w14:textId="60FE7F0B" w:rsidR="00CC74E5" w:rsidRDefault="00AC4277" w:rsidP="00AC4277">
      <w:pPr>
        <w:ind w:left="1440"/>
        <w:rPr>
          <w:rFonts w:ascii="Calibri" w:hAnsi="Calibri"/>
          <w:szCs w:val="22"/>
        </w:rPr>
      </w:pPr>
      <w:r w:rsidRPr="00490805">
        <w:rPr>
          <w:rFonts w:ascii="Calibri" w:hAnsi="Calibri"/>
          <w:szCs w:val="22"/>
        </w:rPr>
        <w:t xml:space="preserve">Studies have also indicated that the use of communication-based protection, such as line differential schemes, may outperform distance protection in high-IBR scenarios. Not only can these schemes provide synchronized operation of multiple devices at different ends of a line, </w:t>
      </w:r>
      <w:r w:rsidR="008815F5" w:rsidRPr="00490805">
        <w:rPr>
          <w:rFonts w:ascii="Calibri" w:hAnsi="Calibri"/>
          <w:szCs w:val="22"/>
        </w:rPr>
        <w:t>but they</w:t>
      </w:r>
      <w:r w:rsidRPr="00490805">
        <w:rPr>
          <w:rFonts w:ascii="Calibri" w:hAnsi="Calibri"/>
          <w:szCs w:val="22"/>
        </w:rPr>
        <w:t xml:space="preserve"> can also improve operating times. However, these approaches may not be economical due to the increased equipment requirements and may not cover all contingencies, such as how backup protection is achieved.</w:t>
      </w:r>
      <w:r w:rsidRPr="00490805">
        <w:rPr>
          <w:rFonts w:ascii="Calibri" w:hAnsi="Calibri"/>
          <w:szCs w:val="22"/>
          <w:vertAlign w:val="superscript"/>
        </w:rPr>
        <w:footnoteReference w:id="70"/>
      </w:r>
      <w:r w:rsidRPr="00490805">
        <w:rPr>
          <w:rFonts w:ascii="Calibri" w:hAnsi="Calibri"/>
          <w:szCs w:val="22"/>
        </w:rPr>
        <w:t xml:space="preserve"> Alternative communication-based approaches have also been proposed, such as using phasor measurement units (PMUs) in line differential schemes.</w:t>
      </w:r>
      <w:r w:rsidRPr="00490805">
        <w:rPr>
          <w:rFonts w:ascii="Calibri" w:hAnsi="Calibri"/>
          <w:szCs w:val="22"/>
          <w:vertAlign w:val="superscript"/>
        </w:rPr>
        <w:footnoteReference w:id="71"/>
      </w:r>
      <w:r w:rsidRPr="00490805">
        <w:rPr>
          <w:rFonts w:ascii="Calibri" w:hAnsi="Calibri"/>
          <w:szCs w:val="22"/>
        </w:rPr>
        <w:t xml:space="preserve"> PMUs have also been studied to estimate line impedance or system stability as inputs to protection functions.</w:t>
      </w:r>
      <w:r w:rsidRPr="00490805">
        <w:rPr>
          <w:rFonts w:ascii="Calibri" w:hAnsi="Calibri"/>
          <w:szCs w:val="22"/>
          <w:vertAlign w:val="superscript"/>
        </w:rPr>
        <w:footnoteReference w:id="72"/>
      </w:r>
      <w:r w:rsidRPr="00490805">
        <w:rPr>
          <w:rFonts w:ascii="Calibri" w:hAnsi="Calibri"/>
          <w:szCs w:val="22"/>
        </w:rPr>
        <w:t xml:space="preserve"> However, studies have found the application of PMUs for protection are limited by </w:t>
      </w:r>
      <w:proofErr w:type="spellStart"/>
      <w:r w:rsidRPr="00490805">
        <w:rPr>
          <w:rFonts w:ascii="Calibri" w:hAnsi="Calibri"/>
          <w:szCs w:val="22"/>
        </w:rPr>
        <w:t>synchrophasor</w:t>
      </w:r>
      <w:proofErr w:type="spellEnd"/>
      <w:r w:rsidRPr="00490805">
        <w:rPr>
          <w:rFonts w:ascii="Calibri" w:hAnsi="Calibri"/>
          <w:szCs w:val="22"/>
        </w:rPr>
        <w:t xml:space="preserve"> signal quality, latency, and loss of GPS synchronization.</w:t>
      </w:r>
    </w:p>
    <w:p w14:paraId="72F4C6EE" w14:textId="3380840F" w:rsidR="00CC74E5" w:rsidRDefault="00CC74E5" w:rsidP="00CC74E5">
      <w:pPr>
        <w:ind w:left="1440"/>
        <w:rPr>
          <w:rFonts w:ascii="Calibri" w:hAnsi="Calibri"/>
          <w:szCs w:val="22"/>
        </w:rPr>
      </w:pPr>
    </w:p>
    <w:p w14:paraId="645706FE" w14:textId="0622BF7C" w:rsidR="00CC74E5" w:rsidRPr="00CC74E5" w:rsidRDefault="00CC74E5" w:rsidP="00CC74E5">
      <w:pPr>
        <w:ind w:left="1440"/>
        <w:rPr>
          <w:rFonts w:ascii="Calibri" w:hAnsi="Calibri"/>
          <w:i/>
          <w:iCs/>
          <w:szCs w:val="22"/>
        </w:rPr>
      </w:pPr>
      <w:r>
        <w:rPr>
          <w:rFonts w:ascii="Calibri" w:hAnsi="Calibri"/>
          <w:i/>
          <w:iCs/>
          <w:szCs w:val="22"/>
        </w:rPr>
        <w:t>Simulation and Modeling</w:t>
      </w:r>
    </w:p>
    <w:p w14:paraId="7C8F9FF1" w14:textId="2CF7DC42" w:rsidR="00CC74E5" w:rsidRDefault="00CC74E5" w:rsidP="00CC74E5">
      <w:pPr>
        <w:ind w:left="1440"/>
        <w:rPr>
          <w:rFonts w:ascii="Calibri" w:hAnsi="Calibri"/>
          <w:szCs w:val="22"/>
        </w:rPr>
      </w:pPr>
    </w:p>
    <w:p w14:paraId="3BC9A59F" w14:textId="493D4808" w:rsidR="00CC74E5" w:rsidRPr="00490805" w:rsidRDefault="00AC4277" w:rsidP="00CC74E5">
      <w:pPr>
        <w:ind w:left="1440"/>
        <w:rPr>
          <w:rFonts w:ascii="Calibri" w:hAnsi="Calibri"/>
          <w:szCs w:val="22"/>
        </w:rPr>
      </w:pPr>
      <w:r w:rsidRPr="00490805">
        <w:rPr>
          <w:rFonts w:ascii="Calibri" w:hAnsi="Calibri"/>
          <w:szCs w:val="22"/>
        </w:rPr>
        <w:t>One challenge in studying and developing protection schemes in the presence of high IBR penetration has been that there is not yet a consistent approach to model the fault response of the various implementations of IBRs. The simulation tools used to perform protection studies need to be updated to consider a high IBR penetration grid. There are various working groups developing recommendations and standards for modeling IBRs for protection studies.</w:t>
      </w:r>
      <w:r w:rsidRPr="00490805">
        <w:rPr>
          <w:rFonts w:ascii="Calibri" w:hAnsi="Calibri"/>
          <w:szCs w:val="22"/>
          <w:vertAlign w:val="superscript"/>
        </w:rPr>
        <w:footnoteReference w:id="73"/>
      </w:r>
      <w:r w:rsidRPr="00490805">
        <w:rPr>
          <w:rFonts w:ascii="Calibri" w:hAnsi="Calibri"/>
          <w:szCs w:val="22"/>
        </w:rPr>
        <w:t xml:space="preserve"> However, more work is needed to validate the accuracy of the proposed models with real-world deployments, especially as </w:t>
      </w:r>
      <w:r w:rsidR="008815F5" w:rsidRPr="00490805">
        <w:rPr>
          <w:rFonts w:ascii="Calibri" w:hAnsi="Calibri"/>
          <w:szCs w:val="22"/>
        </w:rPr>
        <w:t>grid forming</w:t>
      </w:r>
      <w:r w:rsidRPr="00490805">
        <w:rPr>
          <w:rFonts w:ascii="Calibri" w:hAnsi="Calibri"/>
          <w:szCs w:val="22"/>
        </w:rPr>
        <w:t xml:space="preserve"> IBRs come online. There has also been much effort recently to improve the capabilities of simulation platforms to study IBRs, especially in the area of co-simulation of transmission and distribution and IBR plants.</w:t>
      </w:r>
      <w:r w:rsidRPr="00490805">
        <w:rPr>
          <w:rFonts w:ascii="Calibri" w:hAnsi="Calibri"/>
          <w:szCs w:val="22"/>
          <w:vertAlign w:val="superscript"/>
        </w:rPr>
        <w:footnoteReference w:id="74"/>
      </w:r>
      <w:r w:rsidRPr="00490805">
        <w:rPr>
          <w:rFonts w:ascii="Calibri" w:hAnsi="Calibri"/>
          <w:szCs w:val="22"/>
        </w:rPr>
        <w:t xml:space="preserve"> However, development of new protection schemes may also require updates to the software used to study protection, as some researchers have expressed struggles such as software not converging at 100% IBR penetration and not being able to perform EMT studies in large systems with many IBRs</w:t>
      </w:r>
      <w:r w:rsidR="00CC74E5" w:rsidRPr="00490805">
        <w:rPr>
          <w:rFonts w:ascii="Calibri" w:hAnsi="Calibri"/>
          <w:szCs w:val="22"/>
        </w:rPr>
        <w:t>.</w:t>
      </w:r>
    </w:p>
    <w:p w14:paraId="6DE5CA2E" w14:textId="721E5D91" w:rsidR="00CC74E5" w:rsidRDefault="00CC74E5" w:rsidP="00CC74E5">
      <w:pPr>
        <w:ind w:left="1440"/>
        <w:rPr>
          <w:rFonts w:ascii="Calibri" w:hAnsi="Calibri"/>
          <w:szCs w:val="22"/>
        </w:rPr>
      </w:pPr>
    </w:p>
    <w:p w14:paraId="3CA6D3DF" w14:textId="14F37699" w:rsidR="00AC4277" w:rsidRPr="00490805" w:rsidRDefault="00AC4277" w:rsidP="00AC4277">
      <w:pPr>
        <w:ind w:left="1440"/>
        <w:rPr>
          <w:rFonts w:ascii="Calibri" w:hAnsi="Calibri"/>
          <w:szCs w:val="22"/>
        </w:rPr>
      </w:pPr>
      <w:r w:rsidRPr="00490805">
        <w:rPr>
          <w:rFonts w:ascii="Calibri" w:hAnsi="Calibri"/>
          <w:szCs w:val="22"/>
        </w:rPr>
        <w:t xml:space="preserve">The integration of IBRs is changing the dynamic behavior of bulk power systems. Increasing the observability of transmission system dynamics is critical to monitor these changes and ensure safety and reliability. Currently, the technology and tools used to understand grid dynamics are not adequate under high IBR penetration scenarios. Particularly, grid fault signatures associated with different IBR penetration levels are not well understood and will require more high-fidelity monitoring. High resolution PMUs are mainly used for offline analysis or to inform the system’s </w:t>
      </w:r>
      <w:r w:rsidR="008815F5" w:rsidRPr="00490805">
        <w:rPr>
          <w:rFonts w:ascii="Calibri" w:hAnsi="Calibri"/>
          <w:szCs w:val="22"/>
        </w:rPr>
        <w:t>state but</w:t>
      </w:r>
      <w:r w:rsidRPr="00490805">
        <w:rPr>
          <w:rFonts w:ascii="Calibri" w:hAnsi="Calibri"/>
          <w:szCs w:val="22"/>
        </w:rPr>
        <w:t xml:space="preserve"> may also be useful in informing online protection systems. However, there are some examples of technical gaps for the adoption of </w:t>
      </w:r>
      <w:r w:rsidR="008815F5" w:rsidRPr="00490805">
        <w:rPr>
          <w:rFonts w:ascii="Calibri" w:hAnsi="Calibri"/>
          <w:szCs w:val="22"/>
        </w:rPr>
        <w:t>high-resolution</w:t>
      </w:r>
      <w:r w:rsidRPr="00490805">
        <w:rPr>
          <w:rFonts w:ascii="Calibri" w:hAnsi="Calibri"/>
          <w:szCs w:val="22"/>
        </w:rPr>
        <w:t xml:space="preserve"> sensor data, including phasor and point-on-wave, to perform protection functions, such as:</w:t>
      </w:r>
    </w:p>
    <w:p w14:paraId="671AE3C2" w14:textId="77777777" w:rsidR="00AC4277" w:rsidRPr="00490805" w:rsidRDefault="00AC4277" w:rsidP="00AC4277">
      <w:pPr>
        <w:ind w:left="720"/>
        <w:contextualSpacing/>
        <w:rPr>
          <w:rFonts w:ascii="Calibri" w:hAnsi="Calibri"/>
          <w:szCs w:val="22"/>
        </w:rPr>
      </w:pPr>
    </w:p>
    <w:p w14:paraId="0DA069D6" w14:textId="7DD880D9" w:rsidR="00AC4277" w:rsidRPr="00490805" w:rsidRDefault="00AC4277" w:rsidP="00C703FE">
      <w:pPr>
        <w:numPr>
          <w:ilvl w:val="0"/>
          <w:numId w:val="89"/>
        </w:numPr>
        <w:ind w:left="2160"/>
        <w:contextualSpacing/>
        <w:rPr>
          <w:rFonts w:ascii="Calibri" w:hAnsi="Calibri"/>
          <w:szCs w:val="22"/>
        </w:rPr>
      </w:pPr>
      <w:r w:rsidRPr="00490805">
        <w:rPr>
          <w:rFonts w:ascii="Calibri" w:hAnsi="Calibri"/>
          <w:szCs w:val="22"/>
        </w:rPr>
        <w:t xml:space="preserve">Utilization of </w:t>
      </w:r>
      <w:r w:rsidR="008815F5" w:rsidRPr="00490805">
        <w:rPr>
          <w:rFonts w:ascii="Calibri" w:hAnsi="Calibri"/>
          <w:szCs w:val="22"/>
        </w:rPr>
        <w:t>high-resolution</w:t>
      </w:r>
      <w:r w:rsidRPr="00490805">
        <w:rPr>
          <w:rFonts w:ascii="Calibri" w:hAnsi="Calibri"/>
          <w:szCs w:val="22"/>
        </w:rPr>
        <w:t xml:space="preserve"> field data for model validation.</w:t>
      </w:r>
    </w:p>
    <w:p w14:paraId="5E0900D8" w14:textId="77777777" w:rsidR="00AC4277" w:rsidRPr="00490805" w:rsidRDefault="00AC4277" w:rsidP="00C703FE">
      <w:pPr>
        <w:numPr>
          <w:ilvl w:val="0"/>
          <w:numId w:val="89"/>
        </w:numPr>
        <w:ind w:left="2160"/>
        <w:contextualSpacing/>
        <w:rPr>
          <w:rFonts w:ascii="Calibri" w:hAnsi="Calibri"/>
          <w:szCs w:val="22"/>
        </w:rPr>
      </w:pPr>
      <w:r w:rsidRPr="00490805">
        <w:rPr>
          <w:rFonts w:ascii="Calibri" w:hAnsi="Calibri"/>
          <w:szCs w:val="22"/>
        </w:rPr>
        <w:t xml:space="preserve">Understanding grid fault signatures to develop new protection schemes. </w:t>
      </w:r>
    </w:p>
    <w:p w14:paraId="1A7250F6" w14:textId="77777777" w:rsidR="00AC4277" w:rsidRPr="00490805" w:rsidRDefault="00AC4277" w:rsidP="00C703FE">
      <w:pPr>
        <w:numPr>
          <w:ilvl w:val="0"/>
          <w:numId w:val="89"/>
        </w:numPr>
        <w:ind w:left="2160"/>
        <w:contextualSpacing/>
        <w:rPr>
          <w:rFonts w:ascii="Calibri" w:hAnsi="Calibri"/>
          <w:szCs w:val="22"/>
        </w:rPr>
      </w:pPr>
      <w:r w:rsidRPr="00490805">
        <w:rPr>
          <w:rFonts w:ascii="Calibri" w:hAnsi="Calibri"/>
          <w:szCs w:val="22"/>
        </w:rPr>
        <w:t xml:space="preserve">Investigation of fault signature changes as a function of IBR penetration level. </w:t>
      </w:r>
    </w:p>
    <w:p w14:paraId="2E98B5D3" w14:textId="79CA9227" w:rsidR="00AC4277" w:rsidRPr="00490805" w:rsidRDefault="00AC4277" w:rsidP="00C703FE">
      <w:pPr>
        <w:numPr>
          <w:ilvl w:val="0"/>
          <w:numId w:val="89"/>
        </w:numPr>
        <w:ind w:left="2160"/>
        <w:contextualSpacing/>
        <w:rPr>
          <w:rFonts w:ascii="Calibri" w:hAnsi="Calibri"/>
          <w:szCs w:val="22"/>
        </w:rPr>
      </w:pPr>
      <w:r w:rsidRPr="00490805">
        <w:rPr>
          <w:rFonts w:ascii="Calibri" w:hAnsi="Calibri"/>
          <w:szCs w:val="22"/>
        </w:rPr>
        <w:t>Identifying protection system data requirements (e. g.</w:t>
      </w:r>
      <w:r w:rsidR="009C39D6">
        <w:rPr>
          <w:rFonts w:ascii="Calibri" w:hAnsi="Calibri"/>
          <w:szCs w:val="22"/>
        </w:rPr>
        <w:t>,</w:t>
      </w:r>
      <w:r w:rsidRPr="00490805">
        <w:rPr>
          <w:rFonts w:ascii="Calibri" w:hAnsi="Calibri"/>
          <w:szCs w:val="22"/>
        </w:rPr>
        <w:t xml:space="preserve"> sampling rates</w:t>
      </w:r>
      <w:r w:rsidR="00EF3B1F">
        <w:rPr>
          <w:rFonts w:ascii="Calibri" w:hAnsi="Calibri"/>
          <w:szCs w:val="22"/>
        </w:rPr>
        <w:t xml:space="preserve"> or </w:t>
      </w:r>
      <w:r w:rsidRPr="00490805">
        <w:rPr>
          <w:rFonts w:ascii="Calibri" w:hAnsi="Calibri"/>
          <w:szCs w:val="22"/>
        </w:rPr>
        <w:t>cycles for actuation and operations, data buffer sizes, offline forensics analysis, latency, etc.).</w:t>
      </w:r>
    </w:p>
    <w:p w14:paraId="33842BEE" w14:textId="60A9D3B8" w:rsidR="00AC4277" w:rsidRPr="00490805" w:rsidRDefault="00AC4277" w:rsidP="00C703FE">
      <w:pPr>
        <w:numPr>
          <w:ilvl w:val="0"/>
          <w:numId w:val="89"/>
        </w:numPr>
        <w:ind w:left="2160"/>
        <w:contextualSpacing/>
        <w:rPr>
          <w:rFonts w:ascii="Calibri" w:hAnsi="Calibri"/>
          <w:szCs w:val="22"/>
        </w:rPr>
      </w:pPr>
      <w:r w:rsidRPr="00490805">
        <w:rPr>
          <w:rFonts w:ascii="Calibri" w:hAnsi="Calibri"/>
          <w:szCs w:val="22"/>
        </w:rPr>
        <w:t xml:space="preserve">Lack of operational or system data to develop </w:t>
      </w:r>
      <w:r>
        <w:rPr>
          <w:rFonts w:ascii="Calibri" w:hAnsi="Calibri"/>
          <w:szCs w:val="22"/>
        </w:rPr>
        <w:t>artificial</w:t>
      </w:r>
      <w:r w:rsidRPr="00490805">
        <w:rPr>
          <w:rFonts w:ascii="Calibri" w:hAnsi="Calibri"/>
          <w:szCs w:val="22"/>
        </w:rPr>
        <w:t xml:space="preserve"> </w:t>
      </w:r>
      <w:r>
        <w:rPr>
          <w:rFonts w:ascii="Calibri" w:hAnsi="Calibri"/>
          <w:szCs w:val="22"/>
        </w:rPr>
        <w:t xml:space="preserve">intelligence or </w:t>
      </w:r>
      <w:r w:rsidRPr="00490805">
        <w:rPr>
          <w:rFonts w:ascii="Calibri" w:hAnsi="Calibri"/>
          <w:szCs w:val="22"/>
        </w:rPr>
        <w:t xml:space="preserve">machine learning or hybrid protection schemes. </w:t>
      </w:r>
    </w:p>
    <w:p w14:paraId="70961FDA" w14:textId="188C3E9B" w:rsidR="00AC4277" w:rsidRPr="00490805" w:rsidRDefault="00AC4277" w:rsidP="00C703FE">
      <w:pPr>
        <w:numPr>
          <w:ilvl w:val="0"/>
          <w:numId w:val="89"/>
        </w:numPr>
        <w:ind w:left="2160"/>
        <w:contextualSpacing/>
        <w:rPr>
          <w:rFonts w:ascii="Calibri" w:hAnsi="Calibri"/>
          <w:szCs w:val="22"/>
        </w:rPr>
      </w:pPr>
      <w:r w:rsidRPr="00490805">
        <w:rPr>
          <w:rFonts w:ascii="Calibri" w:hAnsi="Calibri"/>
          <w:szCs w:val="22"/>
        </w:rPr>
        <w:t>Efficient data collection procedures from existing sensors, such as current</w:t>
      </w:r>
      <w:r>
        <w:rPr>
          <w:rFonts w:ascii="Calibri" w:hAnsi="Calibri"/>
          <w:szCs w:val="22"/>
        </w:rPr>
        <w:t xml:space="preserve"> and </w:t>
      </w:r>
      <w:r w:rsidRPr="00490805">
        <w:rPr>
          <w:rFonts w:ascii="Calibri" w:hAnsi="Calibri"/>
          <w:szCs w:val="22"/>
        </w:rPr>
        <w:t xml:space="preserve">potential transformers, PMUs, fault data recorders (FDRs), power quality meters, </w:t>
      </w:r>
      <w:r w:rsidR="008815F5" w:rsidRPr="00490805">
        <w:rPr>
          <w:rFonts w:ascii="Calibri" w:hAnsi="Calibri"/>
          <w:szCs w:val="22"/>
        </w:rPr>
        <w:t>online</w:t>
      </w:r>
      <w:r w:rsidRPr="00490805">
        <w:rPr>
          <w:rFonts w:ascii="Calibri" w:hAnsi="Calibri"/>
          <w:szCs w:val="22"/>
        </w:rPr>
        <w:t xml:space="preserve"> sensors, and correlation with existing relay measurements. </w:t>
      </w:r>
    </w:p>
    <w:p w14:paraId="4A50D898" w14:textId="5B8B45B2" w:rsidR="00AC4277" w:rsidRPr="00490805" w:rsidRDefault="00AC4277" w:rsidP="00C703FE">
      <w:pPr>
        <w:numPr>
          <w:ilvl w:val="0"/>
          <w:numId w:val="89"/>
        </w:numPr>
        <w:ind w:left="2160"/>
        <w:contextualSpacing/>
        <w:rPr>
          <w:rFonts w:ascii="Calibri" w:hAnsi="Calibri"/>
          <w:szCs w:val="22"/>
        </w:rPr>
      </w:pPr>
      <w:r w:rsidRPr="00490805">
        <w:rPr>
          <w:rFonts w:ascii="Calibri" w:hAnsi="Calibri"/>
          <w:szCs w:val="22"/>
        </w:rPr>
        <w:t>Communication requirements (</w:t>
      </w:r>
      <w:r w:rsidR="008815F5" w:rsidRPr="00490805">
        <w:rPr>
          <w:rFonts w:ascii="Calibri" w:hAnsi="Calibri"/>
          <w:szCs w:val="22"/>
        </w:rPr>
        <w:t>e.g.,</w:t>
      </w:r>
      <w:r w:rsidRPr="00490805">
        <w:rPr>
          <w:rFonts w:ascii="Calibri" w:hAnsi="Calibri"/>
          <w:szCs w:val="22"/>
        </w:rPr>
        <w:t xml:space="preserve"> infrastructure availability, network architecture, and latency).</w:t>
      </w:r>
    </w:p>
    <w:p w14:paraId="1A92165D" w14:textId="77777777" w:rsidR="00AC4277" w:rsidRPr="00490805" w:rsidRDefault="00AC4277" w:rsidP="00C703FE">
      <w:pPr>
        <w:numPr>
          <w:ilvl w:val="0"/>
          <w:numId w:val="89"/>
        </w:numPr>
        <w:ind w:left="2160"/>
        <w:contextualSpacing/>
        <w:rPr>
          <w:rFonts w:ascii="Calibri" w:hAnsi="Calibri"/>
          <w:szCs w:val="22"/>
        </w:rPr>
      </w:pPr>
      <w:r w:rsidRPr="00490805">
        <w:rPr>
          <w:rFonts w:ascii="Calibri" w:hAnsi="Calibri"/>
          <w:szCs w:val="22"/>
        </w:rPr>
        <w:t xml:space="preserve">Analysis of the relation between protection tripping times and measurement precision. </w:t>
      </w:r>
    </w:p>
    <w:p w14:paraId="16AD7237" w14:textId="7170AAC6" w:rsidR="00CC74E5" w:rsidRPr="00490805" w:rsidRDefault="00AC4277" w:rsidP="00C703FE">
      <w:pPr>
        <w:numPr>
          <w:ilvl w:val="0"/>
          <w:numId w:val="89"/>
        </w:numPr>
        <w:ind w:left="2160"/>
        <w:contextualSpacing/>
        <w:rPr>
          <w:rFonts w:ascii="Calibri" w:hAnsi="Calibri"/>
          <w:szCs w:val="22"/>
        </w:rPr>
      </w:pPr>
      <w:r w:rsidRPr="00490805">
        <w:rPr>
          <w:rFonts w:ascii="Calibri" w:hAnsi="Calibri"/>
          <w:szCs w:val="22"/>
        </w:rPr>
        <w:t>Ensuring data quality to minimize measurement errors and enable reliable analytics techniques</w:t>
      </w:r>
      <w:r w:rsidR="00CC74E5" w:rsidRPr="00490805">
        <w:rPr>
          <w:rFonts w:ascii="Calibri" w:hAnsi="Calibri"/>
          <w:szCs w:val="22"/>
        </w:rPr>
        <w:t xml:space="preserve">. </w:t>
      </w:r>
    </w:p>
    <w:p w14:paraId="02DBADAF" w14:textId="77777777" w:rsidR="00CC74E5" w:rsidRDefault="00CC74E5" w:rsidP="00CC74E5">
      <w:pPr>
        <w:rPr>
          <w:rFonts w:ascii="Calibri" w:hAnsi="Calibri" w:cs="Calibri"/>
          <w:szCs w:val="24"/>
        </w:rPr>
      </w:pPr>
    </w:p>
    <w:p w14:paraId="7A3F8BF2" w14:textId="52DB8D02" w:rsidR="00CC74E5" w:rsidRPr="00CC74E5" w:rsidRDefault="00CC74E5" w:rsidP="00CC74E5">
      <w:pPr>
        <w:ind w:left="1440"/>
        <w:rPr>
          <w:rFonts w:ascii="Calibri" w:hAnsi="Calibri" w:cs="Calibri"/>
          <w:szCs w:val="24"/>
          <w:u w:val="single"/>
        </w:rPr>
      </w:pPr>
      <w:r w:rsidRPr="00CC74E5">
        <w:rPr>
          <w:rFonts w:ascii="Calibri" w:hAnsi="Calibri" w:cs="Calibri"/>
          <w:szCs w:val="24"/>
          <w:u w:val="single"/>
        </w:rPr>
        <w:t>Past Funding Efforts</w:t>
      </w:r>
    </w:p>
    <w:p w14:paraId="679A9BBF" w14:textId="77777777" w:rsidR="00CC74E5" w:rsidRDefault="00CC74E5" w:rsidP="00CC74E5">
      <w:pPr>
        <w:ind w:left="1440"/>
        <w:rPr>
          <w:rFonts w:ascii="Calibri" w:hAnsi="Calibri" w:cs="Calibri"/>
          <w:szCs w:val="24"/>
        </w:rPr>
      </w:pPr>
    </w:p>
    <w:p w14:paraId="2229E708" w14:textId="77777777" w:rsidR="00EF3B1F" w:rsidRPr="00490805" w:rsidRDefault="00EF3B1F" w:rsidP="00EF3B1F">
      <w:pPr>
        <w:ind w:left="1440"/>
        <w:rPr>
          <w:rFonts w:ascii="Calibri" w:hAnsi="Calibri" w:cs="Calibri"/>
          <w:szCs w:val="24"/>
        </w:rPr>
      </w:pPr>
      <w:r w:rsidRPr="00490805">
        <w:rPr>
          <w:rFonts w:ascii="Calibri" w:hAnsi="Calibri" w:cs="Calibri"/>
          <w:szCs w:val="24"/>
        </w:rPr>
        <w:t xml:space="preserve">SETO has invested resources to support research, development and demonstration of tools and technologies to understand and mitigate impacts and operational challenges related to the integration of solar systems technologies into the main power grid. These tools and technologies are crucial to ensure the stability, reliability and security of grid operations while transitioning to a decentralized grid with high IBR penetration. Previous funded efforts have focused on applications in distribution systems and microgrids targeting the following technical areas: </w:t>
      </w:r>
    </w:p>
    <w:p w14:paraId="3C90EA69" w14:textId="21286B9A" w:rsidR="00EF3B1F" w:rsidRPr="00490805" w:rsidRDefault="00EF3B1F" w:rsidP="00C703FE">
      <w:pPr>
        <w:numPr>
          <w:ilvl w:val="0"/>
          <w:numId w:val="90"/>
        </w:numPr>
        <w:ind w:left="2160"/>
        <w:contextualSpacing/>
        <w:rPr>
          <w:sz w:val="28"/>
          <w:szCs w:val="28"/>
        </w:rPr>
      </w:pPr>
      <w:r w:rsidRPr="00490805">
        <w:rPr>
          <w:rFonts w:ascii="Calibri" w:hAnsi="Calibri" w:cs="Calibri"/>
          <w:szCs w:val="24"/>
        </w:rPr>
        <w:t>Distribution planning and real-time operations</w:t>
      </w:r>
      <w:r w:rsidRPr="00490805">
        <w:rPr>
          <w:rFonts w:ascii="Calibri" w:hAnsi="Calibri" w:cs="Calibri"/>
          <w:szCs w:val="24"/>
          <w:vertAlign w:val="superscript"/>
        </w:rPr>
        <w:footnoteReference w:id="75"/>
      </w:r>
      <w:r w:rsidRPr="00490805">
        <w:rPr>
          <w:rFonts w:ascii="Calibri" w:hAnsi="Calibri" w:cs="Calibri"/>
          <w:szCs w:val="24"/>
        </w:rPr>
        <w:t xml:space="preserve"> – technologies developed under this </w:t>
      </w:r>
      <w:r w:rsidR="008815F5" w:rsidRPr="00490805">
        <w:rPr>
          <w:rFonts w:ascii="Calibri" w:hAnsi="Calibri" w:cs="Calibri"/>
          <w:szCs w:val="24"/>
        </w:rPr>
        <w:t>effort focused</w:t>
      </w:r>
      <w:r w:rsidRPr="00490805">
        <w:rPr>
          <w:rFonts w:ascii="Calibri" w:hAnsi="Calibri" w:cs="Calibri"/>
          <w:szCs w:val="24"/>
        </w:rPr>
        <w:t xml:space="preserve"> on enabling penetration levels between 50-100% distribution peak load. This included demonstration of new technologies that could address challenges such as bi-directional power flow, variable solar generation, interactions between transmission and distribution systems, and lack of visibility and control. Projects under this effort provided solutions to these </w:t>
      </w:r>
      <w:r w:rsidR="008815F5" w:rsidRPr="00490805">
        <w:rPr>
          <w:rFonts w:ascii="Calibri" w:hAnsi="Calibri" w:cs="Calibri"/>
          <w:szCs w:val="24"/>
        </w:rPr>
        <w:t>challenges through</w:t>
      </w:r>
      <w:r w:rsidRPr="00490805">
        <w:rPr>
          <w:rFonts w:ascii="Calibri" w:hAnsi="Calibri" w:cs="Calibri"/>
          <w:szCs w:val="24"/>
        </w:rPr>
        <w:t xml:space="preserve"> the utilization of commercially available technologies and prototypes while demonstrating compatibility of the newly developed tools with existing grid infrastructure.  </w:t>
      </w:r>
    </w:p>
    <w:p w14:paraId="1E7D8315" w14:textId="67ABA2F7" w:rsidR="00EF3B1F" w:rsidRPr="00173C33" w:rsidRDefault="00EF3B1F" w:rsidP="00C703FE">
      <w:pPr>
        <w:numPr>
          <w:ilvl w:val="0"/>
          <w:numId w:val="90"/>
        </w:numPr>
        <w:ind w:left="2160"/>
        <w:contextualSpacing/>
        <w:rPr>
          <w:sz w:val="28"/>
        </w:rPr>
      </w:pPr>
      <w:r w:rsidRPr="00490805">
        <w:rPr>
          <w:rFonts w:ascii="Calibri" w:hAnsi="Calibri" w:cs="Calibri"/>
          <w:szCs w:val="24"/>
        </w:rPr>
        <w:t>Increased situational awareness of solar systems and storage on both distribution and transmission grids</w:t>
      </w:r>
      <w:r w:rsidRPr="00490805">
        <w:rPr>
          <w:rFonts w:ascii="Calibri" w:hAnsi="Calibri" w:cs="Calibri"/>
          <w:szCs w:val="24"/>
          <w:vertAlign w:val="superscript"/>
        </w:rPr>
        <w:footnoteReference w:id="76"/>
      </w:r>
      <w:r w:rsidRPr="00490805">
        <w:rPr>
          <w:rFonts w:ascii="Calibri" w:hAnsi="Calibri" w:cs="Calibri"/>
          <w:szCs w:val="24"/>
        </w:rPr>
        <w:t xml:space="preserve">  </w:t>
      </w:r>
      <w:r w:rsidRPr="65366BD3">
        <w:rPr>
          <w:rFonts w:ascii="Calibri" w:hAnsi="Calibri" w:cs="Calibri"/>
        </w:rPr>
        <w:t>–</w:t>
      </w:r>
      <w:r w:rsidRPr="00490805">
        <w:rPr>
          <w:rFonts w:ascii="Calibri" w:hAnsi="Calibri" w:cs="Calibri"/>
          <w:szCs w:val="24"/>
        </w:rPr>
        <w:t xml:space="preserve">under this effort, projects were funded to advance technologies in areas such as dynamic modeling of utility-scale solar plants, control and coordination strategies, real-time system monitoring, robust communication structures, planning, and analytics. The new technologies developed under this funding aim to increase the cyber-physical resilience of the bulk power system, distribution grids, and microgrids to support critical infrastructure. </w:t>
      </w:r>
    </w:p>
    <w:p w14:paraId="6064AF2C" w14:textId="2AEF5476" w:rsidR="00CC74E5" w:rsidRPr="00CC74E5" w:rsidRDefault="00EF3B1F" w:rsidP="00C703FE">
      <w:pPr>
        <w:numPr>
          <w:ilvl w:val="0"/>
          <w:numId w:val="90"/>
        </w:numPr>
        <w:ind w:left="2160"/>
        <w:contextualSpacing/>
        <w:rPr>
          <w:sz w:val="28"/>
          <w:szCs w:val="28"/>
        </w:rPr>
      </w:pPr>
      <w:r w:rsidRPr="00490805">
        <w:rPr>
          <w:rFonts w:ascii="Calibri" w:hAnsi="Calibri" w:cs="Calibri"/>
          <w:szCs w:val="24"/>
        </w:rPr>
        <w:t>Improved protection in distribution systems</w:t>
      </w:r>
      <w:r w:rsidRPr="00490805">
        <w:rPr>
          <w:rFonts w:ascii="Calibri" w:hAnsi="Calibri"/>
          <w:szCs w:val="22"/>
          <w:vertAlign w:val="superscript"/>
        </w:rPr>
        <w:footnoteReference w:id="77"/>
      </w:r>
      <w:r w:rsidRPr="00490805">
        <w:rPr>
          <w:rFonts w:ascii="Calibri" w:hAnsi="Calibri"/>
          <w:szCs w:val="22"/>
        </w:rPr>
        <w:t xml:space="preserve"> </w:t>
      </w:r>
      <w:r w:rsidRPr="00490805">
        <w:rPr>
          <w:rFonts w:ascii="Calibri" w:hAnsi="Calibri" w:cs="Calibri"/>
          <w:szCs w:val="24"/>
        </w:rPr>
        <w:t xml:space="preserve"> – technical advancements in this area were funded to develop technologies to improve protection, enhance visibility and control of PV inverters and plants, improve cybersecurity, and demonstrate benefits of distributed PV to supplement grid services. Projects under this effort focused on </w:t>
      </w:r>
      <w:r w:rsidRPr="65366BD3">
        <w:rPr>
          <w:rFonts w:ascii="Calibri" w:hAnsi="Calibri" w:cs="Calibri"/>
        </w:rPr>
        <w:t>(</w:t>
      </w:r>
      <w:r w:rsidRPr="00490805">
        <w:rPr>
          <w:rFonts w:ascii="Calibri" w:hAnsi="Calibri" w:cs="Calibri"/>
          <w:szCs w:val="24"/>
        </w:rPr>
        <w:t xml:space="preserve">1) improved models to inform system design to enable power systems engineers to </w:t>
      </w:r>
      <w:r w:rsidR="008815F5" w:rsidRPr="00490805">
        <w:rPr>
          <w:rFonts w:ascii="Calibri" w:hAnsi="Calibri" w:cs="Calibri"/>
          <w:szCs w:val="24"/>
        </w:rPr>
        <w:t>plan, operate</w:t>
      </w:r>
      <w:r w:rsidRPr="00490805">
        <w:rPr>
          <w:rFonts w:ascii="Calibri" w:hAnsi="Calibri" w:cs="Calibri"/>
          <w:szCs w:val="24"/>
        </w:rPr>
        <w:t xml:space="preserve">, and protect transmission and distribution systems, </w:t>
      </w:r>
      <w:r w:rsidRPr="65366BD3">
        <w:rPr>
          <w:rFonts w:ascii="Calibri" w:hAnsi="Calibri" w:cs="Calibri"/>
        </w:rPr>
        <w:t>(</w:t>
      </w:r>
      <w:r w:rsidRPr="00490805">
        <w:rPr>
          <w:rFonts w:ascii="Calibri" w:hAnsi="Calibri" w:cs="Calibri"/>
          <w:szCs w:val="24"/>
        </w:rPr>
        <w:t xml:space="preserve">2) autonomous protection systems using dynamic models to determine grid state, and </w:t>
      </w:r>
      <w:r w:rsidRPr="65366BD3">
        <w:rPr>
          <w:rFonts w:ascii="Calibri" w:hAnsi="Calibri" w:cs="Calibri"/>
        </w:rPr>
        <w:t>(</w:t>
      </w:r>
      <w:r w:rsidRPr="00490805">
        <w:rPr>
          <w:rFonts w:ascii="Calibri" w:hAnsi="Calibri" w:cs="Calibri"/>
          <w:szCs w:val="24"/>
        </w:rPr>
        <w:t>3) design of scalable adaptive protection platforms for distribution systems and microgrids</w:t>
      </w:r>
      <w:r w:rsidR="00CC74E5" w:rsidRPr="00CC74E5">
        <w:rPr>
          <w:rFonts w:ascii="Calibri" w:hAnsi="Calibri" w:cs="Calibri"/>
          <w:szCs w:val="24"/>
        </w:rPr>
        <w:t>.</w:t>
      </w:r>
    </w:p>
    <w:p w14:paraId="29C1186A" w14:textId="77777777" w:rsidR="00CC74E5" w:rsidRDefault="00CC74E5" w:rsidP="00CC74E5">
      <w:pPr>
        <w:ind w:left="1440"/>
        <w:contextualSpacing/>
        <w:rPr>
          <w:rFonts w:ascii="Calibri" w:hAnsi="Calibri"/>
          <w:szCs w:val="22"/>
        </w:rPr>
      </w:pPr>
    </w:p>
    <w:p w14:paraId="772DF2DB" w14:textId="12A3032E" w:rsidR="00CC74E5" w:rsidRDefault="00CC74E5" w:rsidP="00CC74E5">
      <w:pPr>
        <w:ind w:left="1440"/>
        <w:contextualSpacing/>
        <w:rPr>
          <w:rFonts w:ascii="Calibri" w:hAnsi="Calibri"/>
          <w:b/>
          <w:bCs/>
          <w:szCs w:val="22"/>
        </w:rPr>
      </w:pPr>
      <w:r>
        <w:rPr>
          <w:rFonts w:ascii="Calibri" w:hAnsi="Calibri"/>
          <w:b/>
          <w:bCs/>
          <w:szCs w:val="22"/>
        </w:rPr>
        <w:t>Topic Objectives</w:t>
      </w:r>
    </w:p>
    <w:p w14:paraId="12BDC4EB" w14:textId="77777777" w:rsidR="00CC74E5" w:rsidRPr="00CC74E5" w:rsidRDefault="00CC74E5" w:rsidP="00CC74E5">
      <w:pPr>
        <w:ind w:left="1440"/>
        <w:contextualSpacing/>
        <w:rPr>
          <w:rFonts w:ascii="Calibri" w:hAnsi="Calibri"/>
          <w:b/>
          <w:bCs/>
          <w:szCs w:val="22"/>
        </w:rPr>
      </w:pPr>
    </w:p>
    <w:p w14:paraId="7DFC74CD" w14:textId="11554799" w:rsidR="00CC74E5" w:rsidRPr="00CC74E5" w:rsidRDefault="00EF3B1F" w:rsidP="00CC74E5">
      <w:pPr>
        <w:ind w:left="1440"/>
        <w:contextualSpacing/>
        <w:rPr>
          <w:sz w:val="28"/>
          <w:szCs w:val="28"/>
        </w:rPr>
      </w:pPr>
      <w:r w:rsidRPr="00490805">
        <w:rPr>
          <w:rFonts w:ascii="Calibri" w:hAnsi="Calibri"/>
          <w:szCs w:val="22"/>
        </w:rPr>
        <w:t>With this topic area, SETO seeks to expand its portfolio to include projects that investigate the impact of high penetrations of IBR, including up to 100% penetration, on bulk power grid’s transmission protection systems. The objectives of this topic are to further the industry’s understanding of the transmission grid’s behavior in response to faults in high-IBR scenarios and to develop technologies and system design strategies to maintain transmission grid reliability in high-IBR scenarios, such as new protection schemes, fault detection methods, or upgraded equipment and sensor deployments. The development and demonstration of new technologies that will generally improve reliability in high-IBR grids are strongly encouraged</w:t>
      </w:r>
      <w:r w:rsidR="00CC74E5" w:rsidRPr="00490805">
        <w:rPr>
          <w:rFonts w:ascii="Calibri" w:hAnsi="Calibri"/>
          <w:szCs w:val="22"/>
        </w:rPr>
        <w:t>.</w:t>
      </w:r>
    </w:p>
    <w:p w14:paraId="11F86E9A" w14:textId="1412C2FC" w:rsidR="00CC74E5" w:rsidRDefault="00CC74E5" w:rsidP="00CC74E5">
      <w:pPr>
        <w:ind w:left="1440"/>
        <w:rPr>
          <w:rFonts w:ascii="Calibri" w:hAnsi="Calibri"/>
          <w:szCs w:val="22"/>
        </w:rPr>
      </w:pPr>
    </w:p>
    <w:p w14:paraId="5665894E" w14:textId="5B0E2FF5" w:rsidR="00CC74E5" w:rsidRPr="00490805" w:rsidRDefault="00CC74E5" w:rsidP="00CC74E5">
      <w:pPr>
        <w:ind w:left="1440"/>
        <w:rPr>
          <w:rFonts w:ascii="Calibri" w:hAnsi="Calibri"/>
          <w:szCs w:val="24"/>
        </w:rPr>
      </w:pPr>
      <w:r w:rsidRPr="00490805">
        <w:rPr>
          <w:rFonts w:ascii="Calibri" w:hAnsi="Calibri"/>
          <w:szCs w:val="24"/>
        </w:rPr>
        <w:t xml:space="preserve">To this end, </w:t>
      </w:r>
      <w:r w:rsidR="006B2EC9">
        <w:rPr>
          <w:rFonts w:ascii="Calibri" w:hAnsi="Calibri"/>
          <w:szCs w:val="24"/>
        </w:rPr>
        <w:t xml:space="preserve">the highest scoring applications will include </w:t>
      </w:r>
      <w:proofErr w:type="gramStart"/>
      <w:r w:rsidR="006B2EC9">
        <w:rPr>
          <w:rFonts w:ascii="Calibri" w:hAnsi="Calibri"/>
          <w:szCs w:val="24"/>
        </w:rPr>
        <w:t>all of</w:t>
      </w:r>
      <w:proofErr w:type="gramEnd"/>
      <w:r w:rsidR="006B2EC9">
        <w:rPr>
          <w:rFonts w:ascii="Calibri" w:hAnsi="Calibri"/>
          <w:szCs w:val="24"/>
        </w:rPr>
        <w:t xml:space="preserve"> the following research focus areas</w:t>
      </w:r>
      <w:r w:rsidRPr="00490805">
        <w:rPr>
          <w:rFonts w:ascii="Calibri" w:hAnsi="Calibri"/>
          <w:szCs w:val="24"/>
        </w:rPr>
        <w:t xml:space="preserve">: </w:t>
      </w:r>
    </w:p>
    <w:p w14:paraId="1051534D" w14:textId="77777777" w:rsidR="00CC74E5" w:rsidRPr="00490805" w:rsidRDefault="00CC74E5" w:rsidP="00C703FE">
      <w:pPr>
        <w:numPr>
          <w:ilvl w:val="0"/>
          <w:numId w:val="91"/>
        </w:numPr>
        <w:ind w:left="2160"/>
        <w:contextualSpacing/>
        <w:rPr>
          <w:rFonts w:ascii="Calibri" w:hAnsi="Calibri"/>
          <w:szCs w:val="24"/>
        </w:rPr>
      </w:pPr>
      <w:r w:rsidRPr="00490805">
        <w:rPr>
          <w:rFonts w:ascii="Calibri" w:hAnsi="Calibri"/>
          <w:szCs w:val="24"/>
        </w:rPr>
        <w:t>Develop or improve upon methods and tools to better understand faults in high-IBR grids, such as improved simulation capabilities or validating modeling with field data.</w:t>
      </w:r>
    </w:p>
    <w:p w14:paraId="1AF55BE9" w14:textId="77777777" w:rsidR="00CC74E5" w:rsidRPr="00490805" w:rsidRDefault="00CC74E5" w:rsidP="00C703FE">
      <w:pPr>
        <w:numPr>
          <w:ilvl w:val="0"/>
          <w:numId w:val="91"/>
        </w:numPr>
        <w:ind w:left="2160"/>
        <w:contextualSpacing/>
        <w:rPr>
          <w:rFonts w:ascii="Calibri" w:hAnsi="Calibri"/>
          <w:szCs w:val="24"/>
        </w:rPr>
      </w:pPr>
      <w:r w:rsidRPr="00490805">
        <w:rPr>
          <w:rFonts w:ascii="Calibri" w:hAnsi="Calibri"/>
          <w:szCs w:val="24"/>
        </w:rPr>
        <w:t>Perform protection studies to identify any gaps in existing protection schemes to operate as expected in high-IBR grids, over various scenarios, including up to 100% IBR penetration.</w:t>
      </w:r>
    </w:p>
    <w:p w14:paraId="51D3B031" w14:textId="136BDB03" w:rsidR="00CC74E5" w:rsidRPr="00490805" w:rsidRDefault="00CC74E5" w:rsidP="00C703FE">
      <w:pPr>
        <w:numPr>
          <w:ilvl w:val="0"/>
          <w:numId w:val="91"/>
        </w:numPr>
        <w:ind w:left="2160"/>
        <w:contextualSpacing/>
        <w:rPr>
          <w:rFonts w:ascii="Calibri" w:hAnsi="Calibri"/>
          <w:szCs w:val="24"/>
        </w:rPr>
      </w:pPr>
      <w:r w:rsidRPr="00490805">
        <w:rPr>
          <w:rFonts w:ascii="Calibri" w:hAnsi="Calibri"/>
          <w:szCs w:val="24"/>
        </w:rPr>
        <w:t xml:space="preserve">Develop new protection schemes, control strategies, recommended modifications of IBR fault response, or propose updated configurations to existing protection schemes to address </w:t>
      </w:r>
      <w:r w:rsidR="006B2EC9">
        <w:rPr>
          <w:rFonts w:ascii="Calibri" w:hAnsi="Calibri"/>
          <w:szCs w:val="24"/>
        </w:rPr>
        <w:t>identified</w:t>
      </w:r>
      <w:r w:rsidRPr="00490805">
        <w:rPr>
          <w:rFonts w:ascii="Calibri" w:hAnsi="Calibri"/>
          <w:szCs w:val="24"/>
        </w:rPr>
        <w:t xml:space="preserve"> technical gaps </w:t>
      </w:r>
      <w:r w:rsidR="006B2EC9">
        <w:rPr>
          <w:rFonts w:ascii="Calibri" w:hAnsi="Calibri"/>
          <w:szCs w:val="24"/>
        </w:rPr>
        <w:t>in existing protection schemes</w:t>
      </w:r>
      <w:r w:rsidRPr="00490805">
        <w:rPr>
          <w:rFonts w:ascii="Calibri" w:hAnsi="Calibri"/>
          <w:szCs w:val="24"/>
        </w:rPr>
        <w:t xml:space="preserve">. </w:t>
      </w:r>
    </w:p>
    <w:p w14:paraId="411B2AA2" w14:textId="0F8D53F7" w:rsidR="00CC74E5" w:rsidRPr="00490805" w:rsidRDefault="00CC74E5" w:rsidP="00C703FE">
      <w:pPr>
        <w:numPr>
          <w:ilvl w:val="0"/>
          <w:numId w:val="91"/>
        </w:numPr>
        <w:ind w:left="2160"/>
        <w:contextualSpacing/>
        <w:rPr>
          <w:rFonts w:ascii="Calibri" w:hAnsi="Calibri"/>
          <w:szCs w:val="24"/>
        </w:rPr>
      </w:pPr>
      <w:r w:rsidRPr="00490805">
        <w:rPr>
          <w:rFonts w:ascii="Calibri" w:hAnsi="Calibri"/>
          <w:szCs w:val="24"/>
        </w:rPr>
        <w:t xml:space="preserve">Implement </w:t>
      </w:r>
      <w:r w:rsidR="006B2EC9">
        <w:rPr>
          <w:rFonts w:ascii="Calibri" w:hAnsi="Calibri"/>
          <w:szCs w:val="24"/>
        </w:rPr>
        <w:t xml:space="preserve">the </w:t>
      </w:r>
      <w:r w:rsidRPr="00490805">
        <w:rPr>
          <w:rFonts w:ascii="Calibri" w:hAnsi="Calibri"/>
          <w:szCs w:val="24"/>
        </w:rPr>
        <w:t>strategies developed in hardware and demonstrate in a hardware-in-the-loop (HIL) laboratory or field environment.</w:t>
      </w:r>
    </w:p>
    <w:p w14:paraId="4A3F52BB" w14:textId="34A7E6E3" w:rsidR="00CC74E5" w:rsidRDefault="00CC74E5" w:rsidP="00C703FE">
      <w:pPr>
        <w:numPr>
          <w:ilvl w:val="0"/>
          <w:numId w:val="91"/>
        </w:numPr>
        <w:ind w:left="2160"/>
        <w:contextualSpacing/>
        <w:rPr>
          <w:rFonts w:ascii="Calibri" w:hAnsi="Calibri"/>
          <w:szCs w:val="24"/>
        </w:rPr>
      </w:pPr>
      <w:r w:rsidRPr="00490805">
        <w:rPr>
          <w:rFonts w:ascii="Calibri" w:hAnsi="Calibri"/>
          <w:szCs w:val="24"/>
        </w:rPr>
        <w:t>Develop a commercialization and implementation roadmap for the new study tools and protection strategies.</w:t>
      </w:r>
    </w:p>
    <w:p w14:paraId="28517359" w14:textId="57C2F1DA" w:rsidR="00CC74E5" w:rsidRDefault="00CC74E5" w:rsidP="00CC74E5">
      <w:pPr>
        <w:contextualSpacing/>
        <w:rPr>
          <w:rFonts w:ascii="Calibri" w:hAnsi="Calibri"/>
          <w:szCs w:val="24"/>
        </w:rPr>
      </w:pPr>
    </w:p>
    <w:p w14:paraId="731BD840" w14:textId="6D4286A7" w:rsidR="00CC74E5" w:rsidRPr="00490805" w:rsidRDefault="00446D4A" w:rsidP="00CC74E5">
      <w:pPr>
        <w:ind w:left="1440"/>
        <w:rPr>
          <w:rFonts w:ascii="Calibri" w:hAnsi="Calibri"/>
          <w:szCs w:val="22"/>
        </w:rPr>
      </w:pPr>
      <w:r>
        <w:rPr>
          <w:rFonts w:ascii="Calibri" w:hAnsi="Calibri"/>
          <w:szCs w:val="22"/>
        </w:rPr>
        <w:t>P</w:t>
      </w:r>
      <w:r w:rsidR="00CC74E5" w:rsidRPr="00490805">
        <w:rPr>
          <w:rFonts w:ascii="Calibri" w:hAnsi="Calibri"/>
          <w:szCs w:val="22"/>
        </w:rPr>
        <w:t xml:space="preserve">rojects should </w:t>
      </w:r>
      <w:r>
        <w:rPr>
          <w:rFonts w:ascii="Calibri" w:hAnsi="Calibri"/>
          <w:szCs w:val="22"/>
        </w:rPr>
        <w:t xml:space="preserve">plan to include research tasks to </w:t>
      </w:r>
      <w:r w:rsidR="00CC74E5" w:rsidRPr="00490805">
        <w:rPr>
          <w:rFonts w:ascii="Calibri" w:hAnsi="Calibri"/>
          <w:szCs w:val="22"/>
        </w:rPr>
        <w:t xml:space="preserve">develop enhancements to modeling and simulation capabilities to perform protection studies on large-scale, high-resolution transmission grids with large amounts of IBR. These simulations should have the ability to accurately represent the potential for device operation, equipment damage, destabilizing effects, or safety risks in scenarios where most of the generation is inverter-based, including up to all inverter-based generation. Successful applications will identify and address technical gaps in state-of-the-art simulation software used to analyze protection-related quantities in high-IBR grids. </w:t>
      </w:r>
      <w:r w:rsidR="00CC74E5" w:rsidRPr="00490805">
        <w:rPr>
          <w:rFonts w:ascii="Calibri" w:hAnsi="Calibri" w:cs="Calibri"/>
          <w:szCs w:val="24"/>
        </w:rPr>
        <w:t xml:space="preserve">Simulation platforms improved in this project may be commercial software, software developed in other DOE projects, or novel applications, but applicants must clearly identify the improvements to be made through this funding. </w:t>
      </w:r>
      <w:r w:rsidR="00CC74E5" w:rsidRPr="00490805">
        <w:rPr>
          <w:rFonts w:ascii="Calibri" w:hAnsi="Calibri"/>
          <w:szCs w:val="22"/>
        </w:rPr>
        <w:t xml:space="preserve">Software development may include methods to provide more automation in protection studies or device settings recommendations to address the challenge of updating protection schemes more often in a rapidly changing grid. Software developed or improved in this </w:t>
      </w:r>
      <w:r w:rsidR="00840CB3">
        <w:rPr>
          <w:rFonts w:ascii="Calibri" w:hAnsi="Calibri"/>
          <w:szCs w:val="22"/>
        </w:rPr>
        <w:t>research focus area</w:t>
      </w:r>
      <w:r w:rsidR="00CC74E5" w:rsidRPr="00490805">
        <w:rPr>
          <w:rFonts w:ascii="Calibri" w:hAnsi="Calibri"/>
          <w:szCs w:val="22"/>
        </w:rPr>
        <w:t xml:space="preserve"> should provide quantities necessary to evaluate the effectiveness of existing protection schemes, as well as new protection schemes developed in this project, such as: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40"/>
      </w:tblGrid>
      <w:tr w:rsidR="00CC74E5" w:rsidRPr="00490805" w14:paraId="33B388BC" w14:textId="77777777" w:rsidTr="00525E44">
        <w:tc>
          <w:tcPr>
            <w:tcW w:w="5310" w:type="dxa"/>
          </w:tcPr>
          <w:p w14:paraId="57A4305A" w14:textId="0E346642" w:rsidR="00CC74E5" w:rsidRPr="00490805" w:rsidRDefault="00CC74E5" w:rsidP="00F836F4">
            <w:pPr>
              <w:numPr>
                <w:ilvl w:val="0"/>
                <w:numId w:val="92"/>
              </w:numPr>
              <w:ind w:left="1777"/>
              <w:contextualSpacing/>
              <w:rPr>
                <w:rFonts w:ascii="Calibri" w:hAnsi="Calibri"/>
                <w:szCs w:val="24"/>
              </w:rPr>
            </w:pPr>
            <w:r w:rsidRPr="00490805">
              <w:rPr>
                <w:rFonts w:ascii="Calibri" w:hAnsi="Calibri"/>
                <w:szCs w:val="24"/>
              </w:rPr>
              <w:t xml:space="preserve">short-circuit current response at various time scales (EMT, dynamic, </w:t>
            </w:r>
            <w:r w:rsidR="008815F5" w:rsidRPr="00490805">
              <w:rPr>
                <w:rFonts w:ascii="Calibri" w:hAnsi="Calibri"/>
                <w:szCs w:val="24"/>
              </w:rPr>
              <w:t>steady state</w:t>
            </w:r>
            <w:r w:rsidRPr="00490805">
              <w:rPr>
                <w:rFonts w:ascii="Calibri" w:hAnsi="Calibri"/>
                <w:szCs w:val="24"/>
              </w:rPr>
              <w:t>)</w:t>
            </w:r>
          </w:p>
        </w:tc>
        <w:tc>
          <w:tcPr>
            <w:tcW w:w="4040" w:type="dxa"/>
          </w:tcPr>
          <w:p w14:paraId="50DFC5C9" w14:textId="77777777" w:rsidR="00CC74E5" w:rsidRPr="00490805" w:rsidRDefault="00CC74E5" w:rsidP="00F836F4">
            <w:pPr>
              <w:numPr>
                <w:ilvl w:val="0"/>
                <w:numId w:val="92"/>
              </w:numPr>
              <w:contextualSpacing/>
              <w:rPr>
                <w:rFonts w:ascii="Calibri" w:hAnsi="Calibri"/>
                <w:szCs w:val="24"/>
              </w:rPr>
            </w:pPr>
            <w:r w:rsidRPr="00490805">
              <w:rPr>
                <w:rFonts w:ascii="Calibri" w:hAnsi="Calibri"/>
                <w:szCs w:val="24"/>
              </w:rPr>
              <w:t>time coordination between transmission protection and inverter protection</w:t>
            </w:r>
          </w:p>
        </w:tc>
      </w:tr>
      <w:tr w:rsidR="00CC74E5" w:rsidRPr="00490805" w14:paraId="5B3E19DB" w14:textId="77777777" w:rsidTr="00525E44">
        <w:tc>
          <w:tcPr>
            <w:tcW w:w="5310" w:type="dxa"/>
          </w:tcPr>
          <w:p w14:paraId="0991708A" w14:textId="77777777" w:rsidR="00CC74E5" w:rsidRPr="00490805" w:rsidRDefault="00CC74E5" w:rsidP="00F836F4">
            <w:pPr>
              <w:numPr>
                <w:ilvl w:val="0"/>
                <w:numId w:val="92"/>
              </w:numPr>
              <w:ind w:left="1777"/>
              <w:contextualSpacing/>
              <w:rPr>
                <w:rFonts w:ascii="Calibri" w:hAnsi="Calibri"/>
                <w:szCs w:val="24"/>
              </w:rPr>
            </w:pPr>
            <w:r w:rsidRPr="00490805">
              <w:rPr>
                <w:rFonts w:ascii="Calibri" w:hAnsi="Calibri"/>
                <w:szCs w:val="24"/>
              </w:rPr>
              <w:t xml:space="preserve">destabilizing system dynamics </w:t>
            </w:r>
          </w:p>
        </w:tc>
        <w:tc>
          <w:tcPr>
            <w:tcW w:w="4040" w:type="dxa"/>
          </w:tcPr>
          <w:p w14:paraId="2B970240" w14:textId="77777777" w:rsidR="00CC74E5" w:rsidRPr="00490805" w:rsidRDefault="00CC74E5" w:rsidP="00F836F4">
            <w:pPr>
              <w:numPr>
                <w:ilvl w:val="0"/>
                <w:numId w:val="92"/>
              </w:numPr>
              <w:contextualSpacing/>
              <w:rPr>
                <w:rFonts w:ascii="Calibri" w:hAnsi="Calibri"/>
                <w:szCs w:val="24"/>
              </w:rPr>
            </w:pPr>
            <w:r w:rsidRPr="00490805">
              <w:rPr>
                <w:rFonts w:ascii="Calibri" w:hAnsi="Calibri"/>
                <w:szCs w:val="24"/>
              </w:rPr>
              <w:t>critical fault clearing time</w:t>
            </w:r>
          </w:p>
        </w:tc>
      </w:tr>
      <w:tr w:rsidR="00CC74E5" w:rsidRPr="00490805" w14:paraId="5172FC7D" w14:textId="77777777" w:rsidTr="00525E44">
        <w:tc>
          <w:tcPr>
            <w:tcW w:w="5310" w:type="dxa"/>
          </w:tcPr>
          <w:p w14:paraId="7872C0C5" w14:textId="77777777" w:rsidR="00CC74E5" w:rsidRPr="00490805" w:rsidRDefault="00CC74E5" w:rsidP="00F836F4">
            <w:pPr>
              <w:numPr>
                <w:ilvl w:val="0"/>
                <w:numId w:val="92"/>
              </w:numPr>
              <w:ind w:left="1777"/>
              <w:contextualSpacing/>
              <w:rPr>
                <w:rFonts w:ascii="Calibri" w:hAnsi="Calibri"/>
                <w:szCs w:val="24"/>
              </w:rPr>
            </w:pPr>
            <w:r w:rsidRPr="00490805">
              <w:rPr>
                <w:rFonts w:ascii="Calibri" w:hAnsi="Calibri"/>
                <w:szCs w:val="24"/>
              </w:rPr>
              <w:t>time-varying system dynamics</w:t>
            </w:r>
          </w:p>
        </w:tc>
        <w:tc>
          <w:tcPr>
            <w:tcW w:w="4040" w:type="dxa"/>
          </w:tcPr>
          <w:p w14:paraId="655A3A14" w14:textId="77777777" w:rsidR="00CC74E5" w:rsidRPr="00490805" w:rsidRDefault="00CC74E5" w:rsidP="00F836F4">
            <w:pPr>
              <w:numPr>
                <w:ilvl w:val="0"/>
                <w:numId w:val="92"/>
              </w:numPr>
              <w:contextualSpacing/>
              <w:rPr>
                <w:rFonts w:ascii="Calibri" w:hAnsi="Calibri"/>
                <w:szCs w:val="24"/>
              </w:rPr>
            </w:pPr>
            <w:r w:rsidRPr="00490805">
              <w:rPr>
                <w:rFonts w:ascii="Calibri" w:hAnsi="Calibri"/>
                <w:szCs w:val="24"/>
              </w:rPr>
              <w:t>maintaining resource adequacy</w:t>
            </w:r>
          </w:p>
        </w:tc>
      </w:tr>
      <w:tr w:rsidR="00CC74E5" w:rsidRPr="00490805" w14:paraId="3D829A2B" w14:textId="77777777" w:rsidTr="00525E44">
        <w:tc>
          <w:tcPr>
            <w:tcW w:w="5310" w:type="dxa"/>
          </w:tcPr>
          <w:p w14:paraId="434D1E7A" w14:textId="77777777" w:rsidR="00CC74E5" w:rsidRPr="00490805" w:rsidRDefault="00CC74E5" w:rsidP="00F836F4">
            <w:pPr>
              <w:numPr>
                <w:ilvl w:val="0"/>
                <w:numId w:val="92"/>
              </w:numPr>
              <w:ind w:left="1777"/>
              <w:contextualSpacing/>
              <w:rPr>
                <w:rFonts w:ascii="Calibri" w:hAnsi="Calibri"/>
                <w:szCs w:val="24"/>
              </w:rPr>
            </w:pPr>
            <w:r w:rsidRPr="00490805">
              <w:rPr>
                <w:rFonts w:ascii="Calibri" w:hAnsi="Calibri"/>
                <w:szCs w:val="24"/>
              </w:rPr>
              <w:t xml:space="preserve">dangerous voltage or grounding conditions  </w:t>
            </w:r>
          </w:p>
        </w:tc>
        <w:tc>
          <w:tcPr>
            <w:tcW w:w="4040" w:type="dxa"/>
          </w:tcPr>
          <w:p w14:paraId="00970AB6" w14:textId="77777777" w:rsidR="00CC74E5" w:rsidRPr="00490805" w:rsidRDefault="00CC74E5" w:rsidP="00822FCC">
            <w:pPr>
              <w:ind w:left="720"/>
              <w:contextualSpacing/>
              <w:rPr>
                <w:rFonts w:ascii="Calibri" w:hAnsi="Calibri"/>
                <w:szCs w:val="24"/>
              </w:rPr>
            </w:pPr>
          </w:p>
        </w:tc>
      </w:tr>
    </w:tbl>
    <w:p w14:paraId="6CC50DD6" w14:textId="77777777" w:rsidR="00CC74E5" w:rsidRPr="00490805" w:rsidRDefault="00CC74E5" w:rsidP="00CC74E5">
      <w:pPr>
        <w:ind w:left="1440"/>
        <w:contextualSpacing/>
        <w:rPr>
          <w:rFonts w:ascii="Calibri" w:hAnsi="Calibri"/>
          <w:szCs w:val="24"/>
        </w:rPr>
      </w:pPr>
    </w:p>
    <w:p w14:paraId="45A259EB" w14:textId="24BB452F" w:rsidR="00525E44" w:rsidRPr="00041199" w:rsidRDefault="00525E44" w:rsidP="00525E44">
      <w:pPr>
        <w:ind w:left="1440"/>
        <w:rPr>
          <w:rFonts w:ascii="Calibri" w:hAnsi="Calibri"/>
          <w:szCs w:val="22"/>
        </w:rPr>
      </w:pPr>
      <w:r w:rsidRPr="00041199">
        <w:rPr>
          <w:rFonts w:ascii="Calibri" w:hAnsi="Calibri"/>
          <w:szCs w:val="22"/>
        </w:rPr>
        <w:t xml:space="preserve">Projects may also include a component to collect and analyze field data from existing sources, such as relays, PMUs, DFRs, or other line sensors, to help validate IBR modeling and simulation. If projects </w:t>
      </w:r>
      <w:proofErr w:type="gramStart"/>
      <w:r w:rsidRPr="00041199">
        <w:rPr>
          <w:rFonts w:ascii="Calibri" w:hAnsi="Calibri"/>
          <w:szCs w:val="22"/>
        </w:rPr>
        <w:t>are able to</w:t>
      </w:r>
      <w:proofErr w:type="gramEnd"/>
      <w:r w:rsidRPr="00041199">
        <w:rPr>
          <w:rFonts w:ascii="Calibri" w:hAnsi="Calibri"/>
          <w:szCs w:val="22"/>
        </w:rPr>
        <w:t xml:space="preserve"> collect large sets of field data, this </w:t>
      </w:r>
      <w:r w:rsidR="00840CB3">
        <w:rPr>
          <w:rFonts w:ascii="Calibri" w:hAnsi="Calibri"/>
          <w:szCs w:val="22"/>
        </w:rPr>
        <w:t>research focus area</w:t>
      </w:r>
      <w:r w:rsidRPr="00041199">
        <w:rPr>
          <w:rFonts w:ascii="Calibri" w:hAnsi="Calibri"/>
          <w:szCs w:val="22"/>
        </w:rPr>
        <w:t xml:space="preserve"> may also include analysis to identify and classify protection issues that may inform future protection schemes, such as through artificial intelligence or machine learning based methods.</w:t>
      </w:r>
    </w:p>
    <w:p w14:paraId="2ECF00FC" w14:textId="1D9C41D1" w:rsidR="00CC74E5" w:rsidRDefault="00CC74E5" w:rsidP="00CC74E5">
      <w:pPr>
        <w:ind w:left="1440"/>
        <w:rPr>
          <w:rFonts w:ascii="Calibri" w:hAnsi="Calibri"/>
          <w:szCs w:val="22"/>
        </w:rPr>
      </w:pPr>
    </w:p>
    <w:p w14:paraId="21808D2E" w14:textId="15CF4C69" w:rsidR="00525E44" w:rsidRPr="00041199" w:rsidRDefault="00446D4A" w:rsidP="00525E44">
      <w:pPr>
        <w:ind w:left="1440"/>
        <w:rPr>
          <w:rFonts w:ascii="Calibri" w:hAnsi="Calibri"/>
          <w:szCs w:val="22"/>
        </w:rPr>
      </w:pPr>
      <w:r>
        <w:rPr>
          <w:rFonts w:ascii="Calibri" w:hAnsi="Calibri"/>
          <w:szCs w:val="22"/>
        </w:rPr>
        <w:t>P</w:t>
      </w:r>
      <w:r w:rsidR="00525E44" w:rsidRPr="00041199">
        <w:rPr>
          <w:rFonts w:ascii="Calibri" w:hAnsi="Calibri"/>
          <w:szCs w:val="22"/>
        </w:rPr>
        <w:t xml:space="preserve">rojects should </w:t>
      </w:r>
      <w:r w:rsidR="00840CB3">
        <w:rPr>
          <w:rFonts w:ascii="Calibri" w:hAnsi="Calibri"/>
          <w:szCs w:val="22"/>
        </w:rPr>
        <w:t xml:space="preserve">include research tasks to </w:t>
      </w:r>
      <w:r w:rsidR="00525E44" w:rsidRPr="00041199">
        <w:rPr>
          <w:rFonts w:ascii="Calibri" w:hAnsi="Calibri"/>
          <w:szCs w:val="22"/>
        </w:rPr>
        <w:t xml:space="preserve">perform protection studies that identify potential technical gaps of existing protection schemes to not operate as expected in grids with high-IBR penetration. Studies should include various transitional levels of IBR penetration rates, up to 100%, and include scenarios where generation resources change dynamically from mostly synchronous to mostly IBR in short time frames, such as within hours. Studies should investigate </w:t>
      </w:r>
      <w:r w:rsidR="008815F5" w:rsidRPr="00041199">
        <w:rPr>
          <w:rFonts w:ascii="Calibri" w:hAnsi="Calibri"/>
          <w:szCs w:val="22"/>
        </w:rPr>
        <w:t>multiple protection</w:t>
      </w:r>
      <w:r w:rsidR="00525E44" w:rsidRPr="00041199">
        <w:rPr>
          <w:rFonts w:ascii="Calibri" w:hAnsi="Calibri"/>
          <w:szCs w:val="22"/>
        </w:rPr>
        <w:t xml:space="preserve"> schemes under various fault and generation scenarios. The transmission systems studied should include a significant number of both solar and wind generation plants. Studies should also consider the impact of IBR controls and protection, such as IBRs disconnecting during fault scenarios or potentially instabilities.  Studies should consider IBR both at the utility-scale plant level and the aggregate impact of distributed resources at the distribution level.</w:t>
      </w:r>
    </w:p>
    <w:p w14:paraId="0E95BD01" w14:textId="1F04C800" w:rsidR="00525E44" w:rsidRDefault="00525E44" w:rsidP="00CC74E5">
      <w:pPr>
        <w:ind w:left="1440"/>
        <w:rPr>
          <w:rFonts w:ascii="Calibri" w:hAnsi="Calibri"/>
          <w:szCs w:val="22"/>
        </w:rPr>
      </w:pPr>
    </w:p>
    <w:p w14:paraId="6EBC6633" w14:textId="3299E82E" w:rsidR="00525E44" w:rsidRPr="00041199" w:rsidRDefault="00840CB3" w:rsidP="00525E44">
      <w:pPr>
        <w:ind w:left="1440"/>
        <w:rPr>
          <w:rFonts w:ascii="Calibri" w:hAnsi="Calibri"/>
          <w:szCs w:val="22"/>
        </w:rPr>
      </w:pPr>
      <w:r>
        <w:rPr>
          <w:rFonts w:ascii="Calibri" w:hAnsi="Calibri"/>
          <w:szCs w:val="22"/>
        </w:rPr>
        <w:t>P</w:t>
      </w:r>
      <w:r w:rsidR="00525E44" w:rsidRPr="00041199">
        <w:rPr>
          <w:rFonts w:ascii="Calibri" w:hAnsi="Calibri"/>
          <w:szCs w:val="22"/>
        </w:rPr>
        <w:t xml:space="preserve">rojects should </w:t>
      </w:r>
      <w:r>
        <w:rPr>
          <w:rFonts w:ascii="Calibri" w:hAnsi="Calibri"/>
          <w:szCs w:val="22"/>
        </w:rPr>
        <w:t>include research tasks to develop</w:t>
      </w:r>
      <w:r w:rsidR="00525E44" w:rsidRPr="00041199">
        <w:rPr>
          <w:rFonts w:ascii="Calibri" w:hAnsi="Calibri"/>
          <w:szCs w:val="22"/>
        </w:rPr>
        <w:t xml:space="preserve"> new protection schemes, IBR controls, or other technologies to address the </w:t>
      </w:r>
      <w:r>
        <w:rPr>
          <w:rFonts w:ascii="Calibri" w:hAnsi="Calibri"/>
          <w:szCs w:val="22"/>
        </w:rPr>
        <w:t xml:space="preserve">technical </w:t>
      </w:r>
      <w:r w:rsidR="00525E44" w:rsidRPr="00041199">
        <w:rPr>
          <w:rFonts w:ascii="Calibri" w:hAnsi="Calibri"/>
          <w:szCs w:val="22"/>
        </w:rPr>
        <w:t>gaps identified</w:t>
      </w:r>
      <w:r>
        <w:rPr>
          <w:rFonts w:ascii="Calibri" w:hAnsi="Calibri"/>
          <w:szCs w:val="22"/>
        </w:rPr>
        <w:t xml:space="preserve"> in existing protection schemes</w:t>
      </w:r>
      <w:r w:rsidR="00525E44" w:rsidRPr="00041199">
        <w:rPr>
          <w:rFonts w:ascii="Calibri" w:hAnsi="Calibri"/>
          <w:szCs w:val="22"/>
        </w:rPr>
        <w:t>. Proposed protection schemes may be in the form of updating existing protection equipment, such as developing relay settings or fault detection algorithms that respond better to IBR-based fault currents or adaptive schemes that strategically change settings, such as in response to changes in generation mix or system inertia. Proposed protection schemes may also be completely novel or yet-to-be-deployed methods or strategic deployments of existing advanced schemes, such as travelling-wave, line-differential, or other communication-based schemes. Alternatively, projects may propose updates to inverter controls that would allow existing protection schemes to continue to work securely under various IBR penetration rates. Proposed solutions may also be in the form of new fault current interrupting hardware technologies for faster fault-clearing in low-inertia grids. Projects may include analysis of how their solutions generally improve grid reliability and resilience, such as detecting high-impedance faults or downed conductors or investigating reclosing or preventative switching. However, projects must include analysis of how their proposed strategies improve the transmission grid’s ability to maintain stability and security over existing approaches in high-IBR grids.</w:t>
      </w:r>
    </w:p>
    <w:p w14:paraId="4CA9B640" w14:textId="77777777" w:rsidR="00525E44" w:rsidRPr="00041199" w:rsidRDefault="00525E44" w:rsidP="00525E44">
      <w:pPr>
        <w:rPr>
          <w:rFonts w:ascii="Calibri" w:hAnsi="Calibri"/>
          <w:szCs w:val="22"/>
        </w:rPr>
      </w:pPr>
    </w:p>
    <w:p w14:paraId="25C19BAE" w14:textId="03B79156" w:rsidR="00525E44" w:rsidRPr="00041199" w:rsidRDefault="00840CB3" w:rsidP="00525E44">
      <w:pPr>
        <w:ind w:left="1440"/>
        <w:rPr>
          <w:rFonts w:ascii="Calibri" w:hAnsi="Calibri"/>
          <w:szCs w:val="22"/>
        </w:rPr>
      </w:pPr>
      <w:r>
        <w:rPr>
          <w:rFonts w:ascii="Calibri" w:hAnsi="Calibri"/>
          <w:szCs w:val="22"/>
        </w:rPr>
        <w:t>The</w:t>
      </w:r>
      <w:r w:rsidR="00525E44" w:rsidRPr="00041199">
        <w:rPr>
          <w:rFonts w:ascii="Calibri" w:hAnsi="Calibri"/>
          <w:szCs w:val="22"/>
        </w:rPr>
        <w:t xml:space="preserve"> proposed protection schemes, controls, and other new technology must be demonstrated in a HIL laboratory or in a field deployment, either with commercially available equipment or prototype hardware. Testing may be performed with simulated data sets representing transmission grid measurements, however, testing that uses real field-measured data is preferred. Projects that include the deployment of new, high-fidelity sensors to collect data that may further improve the industry’s understanding of fault behavior in high-IBR grids are also strongly encouraged. Projects may also collect fault signatures through actual faulted equipment testing with IBRs in a laboratory or test site. Projects that include near-commercial field deployments of new protection systems that respond in real-time to measured quantities, but not necessarily operate switching equipment, will be given further consideration.</w:t>
      </w:r>
    </w:p>
    <w:p w14:paraId="0F7E214E" w14:textId="77777777" w:rsidR="00525E44" w:rsidRPr="00041199" w:rsidRDefault="00525E44" w:rsidP="00525E44">
      <w:pPr>
        <w:rPr>
          <w:rFonts w:ascii="Calibri" w:hAnsi="Calibri"/>
          <w:szCs w:val="22"/>
        </w:rPr>
      </w:pPr>
    </w:p>
    <w:p w14:paraId="15796FA2" w14:textId="66BA2838" w:rsidR="00525E44" w:rsidRPr="00490805" w:rsidRDefault="00840CB3" w:rsidP="00525E44">
      <w:pPr>
        <w:ind w:left="1440"/>
        <w:rPr>
          <w:rFonts w:ascii="Calibri" w:hAnsi="Calibri"/>
          <w:szCs w:val="22"/>
        </w:rPr>
      </w:pPr>
      <w:r>
        <w:rPr>
          <w:rFonts w:ascii="Calibri" w:hAnsi="Calibri"/>
          <w:szCs w:val="22"/>
        </w:rPr>
        <w:t>P</w:t>
      </w:r>
      <w:r w:rsidR="00525E44" w:rsidRPr="00041199">
        <w:rPr>
          <w:rFonts w:ascii="Calibri" w:hAnsi="Calibri"/>
          <w:szCs w:val="22"/>
        </w:rPr>
        <w:t xml:space="preserve">rojects should </w:t>
      </w:r>
      <w:r>
        <w:rPr>
          <w:rFonts w:ascii="Calibri" w:hAnsi="Calibri"/>
          <w:szCs w:val="22"/>
        </w:rPr>
        <w:t xml:space="preserve">include a task to </w:t>
      </w:r>
      <w:r w:rsidR="00525E44" w:rsidRPr="00041199">
        <w:rPr>
          <w:rFonts w:ascii="Calibri" w:hAnsi="Calibri"/>
          <w:szCs w:val="22"/>
        </w:rPr>
        <w:t>develop a roadmap for introducing their proposed protection schemes, controls, or new technologies into the transmission grid. The roadmap should specify the required upgrades to sensor deployments, communication networks, and other equipment. This roadmap should include a technoeconomic analysis of the work required for a potential deployment and analysis of how the solution would scale. Projects are encouraged to engage with standards development working groups or other industry stakeholder consortia</w:t>
      </w:r>
      <w:r w:rsidR="001A652C">
        <w:rPr>
          <w:rFonts w:ascii="Calibri" w:hAnsi="Calibri"/>
          <w:szCs w:val="22"/>
        </w:rPr>
        <w:t xml:space="preserve"> as part of this research area</w:t>
      </w:r>
      <w:r w:rsidR="00525E44" w:rsidRPr="00041199">
        <w:rPr>
          <w:rFonts w:ascii="Calibri" w:hAnsi="Calibri"/>
          <w:szCs w:val="22"/>
        </w:rPr>
        <w:t>. Projects that propose new sensors or upgrades to sensor deployments must specify the data requirements of their application, including but not limited to:</w:t>
      </w:r>
    </w:p>
    <w:tbl>
      <w:tblPr>
        <w:tblStyle w:val="TableGrid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680"/>
      </w:tblGrid>
      <w:tr w:rsidR="00525E44" w:rsidRPr="00041199" w14:paraId="3B0F6955" w14:textId="77777777" w:rsidTr="00525E44">
        <w:tc>
          <w:tcPr>
            <w:tcW w:w="4860" w:type="dxa"/>
          </w:tcPr>
          <w:p w14:paraId="619A5EB9" w14:textId="77777777" w:rsidR="00525E44" w:rsidRPr="00041199" w:rsidRDefault="00525E44" w:rsidP="00F836F4">
            <w:pPr>
              <w:numPr>
                <w:ilvl w:val="0"/>
                <w:numId w:val="93"/>
              </w:numPr>
              <w:ind w:left="1777"/>
              <w:contextualSpacing/>
              <w:rPr>
                <w:rFonts w:ascii="Calibri" w:hAnsi="Calibri"/>
                <w:szCs w:val="24"/>
              </w:rPr>
            </w:pPr>
            <w:r w:rsidRPr="00041199">
              <w:rPr>
                <w:rFonts w:ascii="Calibri" w:hAnsi="Calibri"/>
                <w:szCs w:val="24"/>
              </w:rPr>
              <w:t>Sampling and reporting rates</w:t>
            </w:r>
          </w:p>
        </w:tc>
        <w:tc>
          <w:tcPr>
            <w:tcW w:w="4680" w:type="dxa"/>
          </w:tcPr>
          <w:p w14:paraId="7A30BEAA" w14:textId="77777777" w:rsidR="00525E44" w:rsidRPr="00041199" w:rsidRDefault="00525E44" w:rsidP="00F836F4">
            <w:pPr>
              <w:numPr>
                <w:ilvl w:val="0"/>
                <w:numId w:val="93"/>
              </w:numPr>
              <w:contextualSpacing/>
              <w:rPr>
                <w:rFonts w:ascii="Calibri" w:hAnsi="Calibri"/>
                <w:szCs w:val="24"/>
              </w:rPr>
            </w:pPr>
            <w:r w:rsidRPr="00041199">
              <w:rPr>
                <w:rFonts w:ascii="Calibri" w:hAnsi="Calibri"/>
                <w:szCs w:val="24"/>
              </w:rPr>
              <w:t>Communication network architecture</w:t>
            </w:r>
          </w:p>
        </w:tc>
      </w:tr>
      <w:tr w:rsidR="00525E44" w:rsidRPr="00041199" w14:paraId="2374B810" w14:textId="77777777" w:rsidTr="00525E44">
        <w:tc>
          <w:tcPr>
            <w:tcW w:w="4860" w:type="dxa"/>
          </w:tcPr>
          <w:p w14:paraId="5948B92B" w14:textId="77777777" w:rsidR="00525E44" w:rsidRPr="00041199" w:rsidRDefault="00525E44" w:rsidP="00F836F4">
            <w:pPr>
              <w:numPr>
                <w:ilvl w:val="0"/>
                <w:numId w:val="93"/>
              </w:numPr>
              <w:ind w:left="1777"/>
              <w:contextualSpacing/>
              <w:rPr>
                <w:rFonts w:ascii="Calibri" w:hAnsi="Calibri"/>
                <w:szCs w:val="24"/>
              </w:rPr>
            </w:pPr>
            <w:r w:rsidRPr="00041199">
              <w:rPr>
                <w:rFonts w:ascii="Calibri" w:hAnsi="Calibri"/>
                <w:szCs w:val="24"/>
              </w:rPr>
              <w:t>Data quality assurances</w:t>
            </w:r>
          </w:p>
        </w:tc>
        <w:tc>
          <w:tcPr>
            <w:tcW w:w="4680" w:type="dxa"/>
          </w:tcPr>
          <w:p w14:paraId="55F497E9" w14:textId="77777777" w:rsidR="00525E44" w:rsidRPr="00041199" w:rsidRDefault="00525E44" w:rsidP="00F836F4">
            <w:pPr>
              <w:numPr>
                <w:ilvl w:val="0"/>
                <w:numId w:val="93"/>
              </w:numPr>
              <w:contextualSpacing/>
              <w:rPr>
                <w:rFonts w:ascii="Calibri" w:hAnsi="Calibri"/>
                <w:szCs w:val="24"/>
              </w:rPr>
            </w:pPr>
            <w:r w:rsidRPr="00041199">
              <w:rPr>
                <w:rFonts w:ascii="Calibri" w:hAnsi="Calibri"/>
                <w:szCs w:val="24"/>
              </w:rPr>
              <w:t>Infrastructure upgrades</w:t>
            </w:r>
          </w:p>
        </w:tc>
      </w:tr>
      <w:tr w:rsidR="00525E44" w:rsidRPr="00041199" w14:paraId="2107FB88" w14:textId="77777777" w:rsidTr="00525E44">
        <w:tc>
          <w:tcPr>
            <w:tcW w:w="4860" w:type="dxa"/>
          </w:tcPr>
          <w:p w14:paraId="4FC5FF4D" w14:textId="77777777" w:rsidR="00525E44" w:rsidRPr="00041199" w:rsidRDefault="00525E44" w:rsidP="00F836F4">
            <w:pPr>
              <w:numPr>
                <w:ilvl w:val="0"/>
                <w:numId w:val="93"/>
              </w:numPr>
              <w:ind w:left="1777"/>
              <w:contextualSpacing/>
              <w:rPr>
                <w:rFonts w:ascii="Calibri" w:hAnsi="Calibri"/>
                <w:szCs w:val="24"/>
              </w:rPr>
            </w:pPr>
            <w:r w:rsidRPr="00041199">
              <w:rPr>
                <w:rFonts w:ascii="Calibri" w:hAnsi="Calibri"/>
                <w:szCs w:val="24"/>
              </w:rPr>
              <w:t>Cyber-physical security</w:t>
            </w:r>
          </w:p>
        </w:tc>
        <w:tc>
          <w:tcPr>
            <w:tcW w:w="4680" w:type="dxa"/>
          </w:tcPr>
          <w:p w14:paraId="79DFFD5E" w14:textId="77777777" w:rsidR="00525E44" w:rsidRPr="00041199" w:rsidRDefault="00525E44" w:rsidP="00F836F4">
            <w:pPr>
              <w:numPr>
                <w:ilvl w:val="0"/>
                <w:numId w:val="93"/>
              </w:numPr>
              <w:contextualSpacing/>
              <w:rPr>
                <w:rFonts w:ascii="Calibri" w:hAnsi="Calibri"/>
                <w:szCs w:val="24"/>
              </w:rPr>
            </w:pPr>
            <w:r w:rsidRPr="00041199">
              <w:rPr>
                <w:rFonts w:ascii="Calibri" w:hAnsi="Calibri"/>
                <w:szCs w:val="24"/>
              </w:rPr>
              <w:t>Data sharing/storing security</w:t>
            </w:r>
          </w:p>
        </w:tc>
      </w:tr>
      <w:tr w:rsidR="00525E44" w:rsidRPr="00041199" w14:paraId="41CD8E04" w14:textId="77777777" w:rsidTr="00525E44">
        <w:tc>
          <w:tcPr>
            <w:tcW w:w="4860" w:type="dxa"/>
          </w:tcPr>
          <w:p w14:paraId="4A4957F6" w14:textId="05C5A5C8" w:rsidR="00525E44" w:rsidRPr="00041199" w:rsidRDefault="00525E44" w:rsidP="00F836F4">
            <w:pPr>
              <w:numPr>
                <w:ilvl w:val="0"/>
                <w:numId w:val="93"/>
              </w:numPr>
              <w:ind w:left="1777"/>
              <w:contextualSpacing/>
              <w:rPr>
                <w:rFonts w:ascii="Calibri" w:hAnsi="Calibri"/>
                <w:szCs w:val="24"/>
              </w:rPr>
            </w:pPr>
            <w:r w:rsidRPr="00041199">
              <w:rPr>
                <w:rFonts w:ascii="Calibri" w:hAnsi="Calibri"/>
                <w:szCs w:val="24"/>
              </w:rPr>
              <w:t>Interoperability with existing equipment (</w:t>
            </w:r>
            <w:r w:rsidR="008815F5" w:rsidRPr="00041199">
              <w:rPr>
                <w:rFonts w:ascii="Calibri" w:hAnsi="Calibri"/>
                <w:szCs w:val="24"/>
              </w:rPr>
              <w:t>e.g.,</w:t>
            </w:r>
            <w:r w:rsidRPr="00041199">
              <w:rPr>
                <w:rFonts w:ascii="Calibri" w:hAnsi="Calibri"/>
                <w:szCs w:val="24"/>
              </w:rPr>
              <w:t xml:space="preserve"> SCADA, relays, merging units, etc.)</w:t>
            </w:r>
          </w:p>
        </w:tc>
        <w:tc>
          <w:tcPr>
            <w:tcW w:w="4680" w:type="dxa"/>
          </w:tcPr>
          <w:p w14:paraId="7AC0641C" w14:textId="77777777" w:rsidR="00525E44" w:rsidRPr="00041199" w:rsidRDefault="00525E44" w:rsidP="00F836F4">
            <w:pPr>
              <w:numPr>
                <w:ilvl w:val="0"/>
                <w:numId w:val="93"/>
              </w:numPr>
              <w:contextualSpacing/>
              <w:rPr>
                <w:rFonts w:ascii="Calibri" w:hAnsi="Calibri"/>
                <w:szCs w:val="24"/>
              </w:rPr>
            </w:pPr>
            <w:r w:rsidRPr="00041199">
              <w:rPr>
                <w:rFonts w:ascii="Calibri" w:hAnsi="Calibri"/>
                <w:szCs w:val="24"/>
              </w:rPr>
              <w:t>Gaps in communication protocols</w:t>
            </w:r>
          </w:p>
        </w:tc>
      </w:tr>
    </w:tbl>
    <w:p w14:paraId="18948115" w14:textId="77777777" w:rsidR="00CC74E5" w:rsidRPr="00490805" w:rsidRDefault="00CC74E5" w:rsidP="00CC74E5">
      <w:pPr>
        <w:ind w:left="1440"/>
        <w:rPr>
          <w:rFonts w:ascii="Calibri" w:hAnsi="Calibri"/>
          <w:szCs w:val="22"/>
        </w:rPr>
      </w:pPr>
    </w:p>
    <w:p w14:paraId="1D36F476" w14:textId="11DDC2F8" w:rsidR="00CC74E5" w:rsidRDefault="00525E44" w:rsidP="00EA1BBA">
      <w:pPr>
        <w:ind w:left="1440"/>
        <w:rPr>
          <w:rFonts w:ascii="Calibri" w:hAnsi="Calibri"/>
          <w:b/>
          <w:bCs/>
          <w:szCs w:val="24"/>
        </w:rPr>
      </w:pPr>
      <w:r>
        <w:rPr>
          <w:rFonts w:ascii="Calibri" w:hAnsi="Calibri"/>
          <w:b/>
          <w:bCs/>
          <w:szCs w:val="24"/>
        </w:rPr>
        <w:t>Project Requirements</w:t>
      </w:r>
    </w:p>
    <w:p w14:paraId="038D6343" w14:textId="384EC9AF" w:rsidR="00525E44" w:rsidRDefault="00525E44" w:rsidP="00EA1BBA">
      <w:pPr>
        <w:ind w:left="1440"/>
        <w:rPr>
          <w:rFonts w:ascii="Calibri" w:hAnsi="Calibri"/>
          <w:b/>
          <w:bCs/>
          <w:szCs w:val="24"/>
        </w:rPr>
      </w:pPr>
    </w:p>
    <w:p w14:paraId="19E43997" w14:textId="47F2150C" w:rsidR="00525E44" w:rsidRPr="005A5E00" w:rsidRDefault="00525E44" w:rsidP="00525E44">
      <w:pPr>
        <w:ind w:left="1440"/>
        <w:rPr>
          <w:rFonts w:ascii="Calibri" w:hAnsi="Calibri"/>
          <w:sz w:val="22"/>
        </w:rPr>
      </w:pPr>
      <w:r w:rsidRPr="00041199">
        <w:rPr>
          <w:rFonts w:ascii="Calibri" w:hAnsi="Calibri"/>
          <w:szCs w:val="22"/>
        </w:rPr>
        <w:t>Well-defined metrics are necessary for SETO to assess the success of a project. Table 3 lists the features of interest to be included and addressed by prospective projects in this topic area. Proposals should provide quantifiable metrics that satisfy the capabilities listed. Values provided in the requirements column indicate a minimum desired value, but applicants are encouraged to develop their own ambitious performance metrics for each of these features.</w:t>
      </w:r>
    </w:p>
    <w:p w14:paraId="419C1484" w14:textId="5D5510E7" w:rsidR="001B2232" w:rsidRDefault="001B2232">
      <w:pPr>
        <w:rPr>
          <w:rFonts w:ascii="Calibri" w:hAnsi="Calibri"/>
          <w:szCs w:val="24"/>
        </w:rPr>
      </w:pPr>
      <w:r>
        <w:rPr>
          <w:rFonts w:ascii="Calibri" w:hAnsi="Calibri"/>
          <w:szCs w:val="24"/>
        </w:rPr>
        <w:br w:type="page"/>
      </w:r>
    </w:p>
    <w:bookmarkEnd w:id="39"/>
    <w:p w14:paraId="181B7A79" w14:textId="77777777" w:rsidR="00525E44" w:rsidRPr="00C703FE" w:rsidRDefault="00525E44" w:rsidP="00525E44">
      <w:pPr>
        <w:pStyle w:val="Caption"/>
        <w:keepNext/>
        <w:jc w:val="center"/>
        <w:rPr>
          <w:color w:val="auto"/>
        </w:rPr>
      </w:pPr>
      <w:r w:rsidRPr="00C703FE">
        <w:rPr>
          <w:color w:val="auto"/>
        </w:rPr>
        <w:t xml:space="preserve">Table </w:t>
      </w:r>
      <w:r w:rsidRPr="00C703FE">
        <w:rPr>
          <w:color w:val="auto"/>
        </w:rPr>
        <w:fldChar w:fldCharType="begin"/>
      </w:r>
      <w:r w:rsidRPr="00C703FE">
        <w:rPr>
          <w:color w:val="auto"/>
        </w:rPr>
        <w:instrText>SEQ Table \* ARABIC</w:instrText>
      </w:r>
      <w:r w:rsidRPr="00C703FE">
        <w:rPr>
          <w:color w:val="auto"/>
        </w:rPr>
        <w:fldChar w:fldCharType="separate"/>
      </w:r>
      <w:r w:rsidRPr="00C703FE">
        <w:rPr>
          <w:noProof/>
          <w:color w:val="auto"/>
        </w:rPr>
        <w:t>3</w:t>
      </w:r>
      <w:r w:rsidRPr="00C703FE">
        <w:rPr>
          <w:color w:val="auto"/>
        </w:rPr>
        <w:fldChar w:fldCharType="end"/>
      </w:r>
      <w:r w:rsidRPr="00C703FE">
        <w:rPr>
          <w:color w:val="auto"/>
        </w:rPr>
        <w:t>. Description of project requirements under Topic 2.</w:t>
      </w:r>
    </w:p>
    <w:tbl>
      <w:tblPr>
        <w:tblStyle w:val="GridTable1Light1"/>
        <w:tblW w:w="9484" w:type="dxa"/>
        <w:tblInd w:w="265" w:type="dxa"/>
        <w:tblLayout w:type="fixed"/>
        <w:tblLook w:val="04A0" w:firstRow="1" w:lastRow="0" w:firstColumn="1" w:lastColumn="0" w:noHBand="0" w:noVBand="1"/>
      </w:tblPr>
      <w:tblGrid>
        <w:gridCol w:w="2273"/>
        <w:gridCol w:w="7211"/>
      </w:tblGrid>
      <w:tr w:rsidR="00525E44" w:rsidRPr="00C703FE" w14:paraId="2145D1F2" w14:textId="77777777" w:rsidTr="00B85459">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999999"/>
              <w:left w:val="single" w:sz="4" w:space="0" w:color="999999"/>
              <w:right w:val="single" w:sz="4" w:space="0" w:color="999999"/>
            </w:tcBorders>
            <w:shd w:val="clear" w:color="auto" w:fill="B8CCE4" w:themeFill="accent1" w:themeFillTint="66"/>
            <w:vAlign w:val="center"/>
            <w:hideMark/>
          </w:tcPr>
          <w:p w14:paraId="71364194" w14:textId="77777777" w:rsidR="00525E44" w:rsidRPr="00C703FE" w:rsidRDefault="00525E44" w:rsidP="00822FCC">
            <w:pPr>
              <w:rPr>
                <w:rFonts w:cstheme="minorHAnsi"/>
                <w:sz w:val="20"/>
              </w:rPr>
            </w:pPr>
            <w:r w:rsidRPr="00C703FE">
              <w:rPr>
                <w:rFonts w:cstheme="minorHAnsi"/>
                <w:sz w:val="20"/>
              </w:rPr>
              <w:t>Feature</w:t>
            </w:r>
          </w:p>
        </w:tc>
        <w:tc>
          <w:tcPr>
            <w:tcW w:w="7211" w:type="dxa"/>
            <w:tcBorders>
              <w:top w:val="single" w:sz="4" w:space="0" w:color="999999"/>
              <w:left w:val="single" w:sz="4" w:space="0" w:color="999999"/>
              <w:right w:val="single" w:sz="4" w:space="0" w:color="999999"/>
            </w:tcBorders>
            <w:shd w:val="clear" w:color="auto" w:fill="B8CCE4" w:themeFill="accent1" w:themeFillTint="66"/>
            <w:vAlign w:val="center"/>
            <w:hideMark/>
          </w:tcPr>
          <w:p w14:paraId="497ED1DC" w14:textId="77777777" w:rsidR="00525E44" w:rsidRPr="00C703FE" w:rsidRDefault="00525E44" w:rsidP="00822FCC">
            <w:pPr>
              <w:cnfStyle w:val="100000000000" w:firstRow="1"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xml:space="preserve">Requirements </w:t>
            </w:r>
          </w:p>
        </w:tc>
      </w:tr>
      <w:tr w:rsidR="00525E44" w:rsidRPr="00C703FE" w14:paraId="74D1AB94" w14:textId="77777777" w:rsidTr="00B85459">
        <w:trPr>
          <w:trHeight w:val="1284"/>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0E93EF68" w14:textId="77777777" w:rsidR="00525E44" w:rsidRPr="00C703FE" w:rsidRDefault="00525E44" w:rsidP="00822FCC">
            <w:pPr>
              <w:rPr>
                <w:rFonts w:cstheme="minorHAnsi"/>
                <w:b w:val="0"/>
                <w:bCs w:val="0"/>
                <w:sz w:val="20"/>
              </w:rPr>
            </w:pPr>
            <w:r w:rsidRPr="00C703FE">
              <w:rPr>
                <w:rFonts w:cstheme="minorHAnsi"/>
                <w:b w:val="0"/>
                <w:bCs w:val="0"/>
                <w:sz w:val="20"/>
              </w:rPr>
              <w:t>Protection Studies</w:t>
            </w:r>
          </w:p>
        </w:tc>
        <w:tc>
          <w:tcPr>
            <w:tcW w:w="721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5C542EFD" w14:textId="77777777" w:rsidR="00525E44" w:rsidRPr="00C703FE" w:rsidRDefault="00525E44" w:rsidP="00F836F4">
            <w:pPr>
              <w:numPr>
                <w:ilvl w:val="0"/>
                <w:numId w:val="94"/>
              </w:numPr>
              <w:ind w:left="0"/>
              <w:contextualSpacing/>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Time-domain simulations of the response of power system equipment, protection devices, and IBR controls to faults</w:t>
            </w:r>
          </w:p>
          <w:p w14:paraId="249B8152" w14:textId="4D66B9DD" w:rsidR="00525E44" w:rsidRPr="00C703FE" w:rsidRDefault="00525E44" w:rsidP="00F836F4">
            <w:pPr>
              <w:numPr>
                <w:ilvl w:val="0"/>
                <w:numId w:val="94"/>
              </w:numPr>
              <w:ind w:left="0"/>
              <w:contextualSpacing/>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xml:space="preserve">- </w:t>
            </w:r>
            <w:r w:rsidR="00DD0ADD" w:rsidRPr="00C703FE">
              <w:rPr>
                <w:rFonts w:cstheme="minorHAnsi"/>
                <w:sz w:val="20"/>
              </w:rPr>
              <w:t>Improved capability to study various generation mixes, up to, and including, 100% inverter-interfaced wind, solar, and battery sources</w:t>
            </w:r>
          </w:p>
          <w:p w14:paraId="7CBCDF5B" w14:textId="77777777" w:rsidR="00525E44" w:rsidRPr="00C703FE" w:rsidRDefault="00525E44" w:rsidP="00F836F4">
            <w:pPr>
              <w:numPr>
                <w:ilvl w:val="0"/>
                <w:numId w:val="94"/>
              </w:numPr>
              <w:ind w:left="0"/>
              <w:contextualSpacing/>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Identify methods to determine system stability throughout a fault considering both power system protection and IBR control logic</w:t>
            </w:r>
          </w:p>
        </w:tc>
      </w:tr>
      <w:tr w:rsidR="00525E44" w:rsidRPr="00C703FE" w14:paraId="2300A255" w14:textId="77777777" w:rsidTr="00B85459">
        <w:trPr>
          <w:trHeight w:val="104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2AB040FB" w14:textId="77777777" w:rsidR="00525E44" w:rsidRPr="00C703FE" w:rsidRDefault="00525E44" w:rsidP="00822FCC">
            <w:pPr>
              <w:rPr>
                <w:rFonts w:cstheme="minorHAnsi"/>
                <w:b w:val="0"/>
                <w:bCs w:val="0"/>
                <w:sz w:val="20"/>
              </w:rPr>
            </w:pPr>
            <w:r w:rsidRPr="00C703FE">
              <w:rPr>
                <w:rFonts w:cstheme="minorHAnsi"/>
                <w:b w:val="0"/>
                <w:bCs w:val="0"/>
                <w:sz w:val="20"/>
              </w:rPr>
              <w:t>Study System Specifications</w:t>
            </w:r>
          </w:p>
        </w:tc>
        <w:tc>
          <w:tcPr>
            <w:tcW w:w="721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46B9AC88" w14:textId="77777777" w:rsidR="00525E44" w:rsidRPr="00C703FE" w:rsidRDefault="00525E44" w:rsidP="00F836F4">
            <w:pPr>
              <w:numPr>
                <w:ilvl w:val="0"/>
                <w:numId w:val="94"/>
              </w:numPr>
              <w:ind w:left="0"/>
              <w:contextualSpacing/>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xml:space="preserve">- Bulk power system with generation mix capable of supplying load capacity of &gt; 400 MW </w:t>
            </w:r>
          </w:p>
          <w:p w14:paraId="5C1CC4F5" w14:textId="77777777" w:rsidR="00525E44" w:rsidRPr="00C703FE" w:rsidRDefault="00525E44" w:rsidP="00F836F4">
            <w:pPr>
              <w:numPr>
                <w:ilvl w:val="0"/>
                <w:numId w:val="94"/>
              </w:numPr>
              <w:ind w:left="0"/>
              <w:contextualSpacing/>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Based on a realistic section of the U.S. transmission system</w:t>
            </w:r>
          </w:p>
          <w:p w14:paraId="56BCC5E4" w14:textId="77777777" w:rsidR="00525E44" w:rsidRPr="00C703FE" w:rsidRDefault="00525E44" w:rsidP="00F836F4">
            <w:pPr>
              <w:numPr>
                <w:ilvl w:val="0"/>
                <w:numId w:val="94"/>
              </w:numPr>
              <w:ind w:left="0"/>
              <w:contextualSpacing/>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Protection system must protect lines at transmission or sub-transmission voltage levels (above 35 kV)</w:t>
            </w:r>
          </w:p>
        </w:tc>
      </w:tr>
      <w:tr w:rsidR="00525E44" w:rsidRPr="00C703FE" w14:paraId="076FB236" w14:textId="77777777" w:rsidTr="00B85459">
        <w:trPr>
          <w:trHeight w:val="857"/>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A605CEF" w14:textId="77777777" w:rsidR="00525E44" w:rsidRPr="00C703FE" w:rsidRDefault="00525E44" w:rsidP="00822FCC">
            <w:pPr>
              <w:rPr>
                <w:rFonts w:cstheme="minorHAnsi"/>
                <w:b w:val="0"/>
                <w:bCs w:val="0"/>
                <w:sz w:val="20"/>
              </w:rPr>
            </w:pPr>
            <w:r w:rsidRPr="00C703FE">
              <w:rPr>
                <w:rFonts w:cstheme="minorHAnsi"/>
                <w:b w:val="0"/>
                <w:bCs w:val="0"/>
                <w:sz w:val="20"/>
              </w:rPr>
              <w:t>Simulation Software Improvements</w:t>
            </w:r>
          </w:p>
        </w:tc>
        <w:tc>
          <w:tcPr>
            <w:tcW w:w="721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DA36A9" w14:textId="6F4A6F57" w:rsidR="00525E44" w:rsidRPr="00C703FE" w:rsidRDefault="00525E44" w:rsidP="00F836F4">
            <w:pPr>
              <w:numPr>
                <w:ilvl w:val="0"/>
                <w:numId w:val="94"/>
              </w:numPr>
              <w:ind w:left="0"/>
              <w:contextualSpacing/>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Identify improvements to simulation software capabilities to perform protection studies in high-IBR grids, such as features added, % faster computation time, or greater efficiency (</w:t>
            </w:r>
            <w:r w:rsidR="008815F5" w:rsidRPr="00C703FE">
              <w:rPr>
                <w:rFonts w:cstheme="minorHAnsi"/>
                <w:sz w:val="20"/>
              </w:rPr>
              <w:t>e.g.,</w:t>
            </w:r>
            <w:r w:rsidRPr="00C703FE">
              <w:rPr>
                <w:rFonts w:cstheme="minorHAnsi"/>
                <w:sz w:val="20"/>
              </w:rPr>
              <w:t xml:space="preserve"> % improvement of overall workflow time of studies)</w:t>
            </w:r>
          </w:p>
        </w:tc>
      </w:tr>
      <w:tr w:rsidR="00525E44" w:rsidRPr="00C703FE" w14:paraId="5706700C" w14:textId="77777777" w:rsidTr="00B85459">
        <w:trPr>
          <w:trHeight w:val="452"/>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1479A9" w14:textId="1E8AC4A5" w:rsidR="00525E44" w:rsidRPr="00C703FE" w:rsidRDefault="00CC588A" w:rsidP="00822FCC">
            <w:pPr>
              <w:rPr>
                <w:rFonts w:cstheme="minorHAnsi"/>
                <w:b w:val="0"/>
                <w:bCs w:val="0"/>
                <w:sz w:val="20"/>
              </w:rPr>
            </w:pPr>
            <w:r w:rsidRPr="00C703FE">
              <w:rPr>
                <w:rFonts w:cstheme="minorHAnsi"/>
                <w:b w:val="0"/>
                <w:bCs w:val="0"/>
                <w:sz w:val="20"/>
              </w:rPr>
              <w:t>Applicability</w:t>
            </w:r>
            <w:r w:rsidR="00525E44" w:rsidRPr="00C703FE">
              <w:rPr>
                <w:rFonts w:cstheme="minorHAnsi"/>
                <w:b w:val="0"/>
                <w:bCs w:val="0"/>
                <w:sz w:val="20"/>
              </w:rPr>
              <w:t xml:space="preserve"> of Proposed Protection Schemes</w:t>
            </w:r>
          </w:p>
        </w:tc>
        <w:tc>
          <w:tcPr>
            <w:tcW w:w="721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8C4381" w14:textId="17DC2C43" w:rsidR="00525E44" w:rsidRPr="00C703FE" w:rsidRDefault="00525E44" w:rsidP="00F836F4">
            <w:pPr>
              <w:numPr>
                <w:ilvl w:val="0"/>
                <w:numId w:val="94"/>
              </w:numPr>
              <w:ind w:left="0"/>
              <w:contextualSpacing/>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xml:space="preserve">- </w:t>
            </w:r>
            <w:r w:rsidR="00CC588A" w:rsidRPr="00C703FE">
              <w:rPr>
                <w:rFonts w:cstheme="minorHAnsi"/>
                <w:sz w:val="20"/>
              </w:rPr>
              <w:t>Identify scope of proposed</w:t>
            </w:r>
            <w:r w:rsidRPr="00C703FE">
              <w:rPr>
                <w:rFonts w:cstheme="minorHAnsi"/>
                <w:sz w:val="20"/>
              </w:rPr>
              <w:t xml:space="preserve"> protection scheme </w:t>
            </w:r>
            <w:r w:rsidR="00CC588A" w:rsidRPr="00C703FE">
              <w:rPr>
                <w:rFonts w:cstheme="minorHAnsi"/>
                <w:sz w:val="20"/>
              </w:rPr>
              <w:t>area of applicability,</w:t>
            </w:r>
            <w:r w:rsidRPr="00C703FE">
              <w:rPr>
                <w:rFonts w:cstheme="minorHAnsi"/>
                <w:sz w:val="20"/>
              </w:rPr>
              <w:t xml:space="preserve"> </w:t>
            </w:r>
            <w:r w:rsidR="008815F5" w:rsidRPr="00C703FE">
              <w:rPr>
                <w:rFonts w:cstheme="minorHAnsi"/>
                <w:sz w:val="20"/>
              </w:rPr>
              <w:t>e.g.,</w:t>
            </w:r>
            <w:r w:rsidRPr="00C703FE">
              <w:rPr>
                <w:rFonts w:cstheme="minorHAnsi"/>
                <w:sz w:val="20"/>
              </w:rPr>
              <w:t xml:space="preserve"> </w:t>
            </w:r>
            <w:proofErr w:type="gramStart"/>
            <w:r w:rsidR="00CC588A" w:rsidRPr="00C703FE">
              <w:rPr>
                <w:rFonts w:cstheme="minorHAnsi"/>
                <w:sz w:val="20"/>
              </w:rPr>
              <w:t>balanced</w:t>
            </w:r>
            <w:proofErr w:type="gramEnd"/>
            <w:r w:rsidR="00CC588A" w:rsidRPr="00C703FE">
              <w:rPr>
                <w:rFonts w:cstheme="minorHAnsi"/>
                <w:sz w:val="20"/>
              </w:rPr>
              <w:t xml:space="preserve"> or unbalanced faults, neutral connection, substation protection, HVDC</w:t>
            </w:r>
          </w:p>
        </w:tc>
      </w:tr>
      <w:tr w:rsidR="00525E44" w:rsidRPr="00C703FE" w14:paraId="0BF7ED85" w14:textId="77777777" w:rsidTr="00B85459">
        <w:trPr>
          <w:trHeight w:val="452"/>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056170" w14:textId="77777777" w:rsidR="00525E44" w:rsidRPr="00C703FE" w:rsidRDefault="00525E44" w:rsidP="00822FCC">
            <w:pPr>
              <w:rPr>
                <w:rFonts w:cstheme="minorHAnsi"/>
                <w:b w:val="0"/>
                <w:bCs w:val="0"/>
                <w:sz w:val="20"/>
              </w:rPr>
            </w:pPr>
            <w:r w:rsidRPr="00C703FE">
              <w:rPr>
                <w:rFonts w:cstheme="minorHAnsi"/>
                <w:b w:val="0"/>
                <w:bCs w:val="0"/>
                <w:sz w:val="20"/>
              </w:rPr>
              <w:t>Fault Detection Speed of Proposed Protection Schemes</w:t>
            </w:r>
          </w:p>
        </w:tc>
        <w:tc>
          <w:tcPr>
            <w:tcW w:w="721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77E0CD" w14:textId="52453BE3" w:rsidR="00525E44" w:rsidRPr="00C703FE" w:rsidRDefault="00525E44" w:rsidP="00822FCC">
            <w:pPr>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Provide estimate of developed protection scheme’s speed in detecting faults (</w:t>
            </w:r>
            <w:r w:rsidR="008815F5" w:rsidRPr="00C703FE">
              <w:rPr>
                <w:rFonts w:cstheme="minorHAnsi"/>
                <w:sz w:val="20"/>
              </w:rPr>
              <w:t>e.g.,</w:t>
            </w:r>
            <w:r w:rsidRPr="00C703FE">
              <w:rPr>
                <w:rFonts w:cstheme="minorHAnsi"/>
                <w:sz w:val="20"/>
              </w:rPr>
              <w:t xml:space="preserve"> less than 2 cycles)</w:t>
            </w:r>
          </w:p>
        </w:tc>
      </w:tr>
      <w:tr w:rsidR="00525E44" w:rsidRPr="00C703FE" w14:paraId="6C2F6A2F" w14:textId="77777777" w:rsidTr="00B85459">
        <w:trPr>
          <w:trHeight w:val="70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15FC103" w14:textId="77777777" w:rsidR="00525E44" w:rsidRPr="00C703FE" w:rsidRDefault="00525E44" w:rsidP="00822FCC">
            <w:pPr>
              <w:rPr>
                <w:rFonts w:cstheme="minorHAnsi"/>
                <w:b w:val="0"/>
                <w:bCs w:val="0"/>
                <w:sz w:val="20"/>
              </w:rPr>
            </w:pPr>
            <w:r w:rsidRPr="00C703FE">
              <w:rPr>
                <w:rFonts w:cstheme="minorHAnsi"/>
                <w:b w:val="0"/>
                <w:bCs w:val="0"/>
                <w:sz w:val="20"/>
              </w:rPr>
              <w:t xml:space="preserve">Hardware Testing </w:t>
            </w:r>
          </w:p>
        </w:tc>
        <w:tc>
          <w:tcPr>
            <w:tcW w:w="721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17C64B0" w14:textId="77777777" w:rsidR="00525E44" w:rsidRPr="00C703FE" w:rsidRDefault="00525E44" w:rsidP="00822FCC">
            <w:pPr>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Demonstration of newly developed protection schemes in a laboratory or field setting with fault detection devices, such as commercial relays or new near-commercial prototypes</w:t>
            </w:r>
          </w:p>
        </w:tc>
      </w:tr>
      <w:tr w:rsidR="00525E44" w:rsidRPr="00C703FE" w14:paraId="7199CFA3" w14:textId="77777777" w:rsidTr="00B85459">
        <w:trPr>
          <w:trHeight w:val="1472"/>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097A64" w14:textId="77777777" w:rsidR="00525E44" w:rsidRPr="00C703FE" w:rsidRDefault="00525E44" w:rsidP="00822FCC">
            <w:pPr>
              <w:rPr>
                <w:rFonts w:cstheme="minorHAnsi"/>
                <w:b w:val="0"/>
                <w:bCs w:val="0"/>
                <w:sz w:val="20"/>
              </w:rPr>
            </w:pPr>
            <w:r w:rsidRPr="00C703FE">
              <w:rPr>
                <w:rFonts w:cstheme="minorHAnsi"/>
                <w:b w:val="0"/>
                <w:bCs w:val="0"/>
                <w:sz w:val="20"/>
              </w:rPr>
              <w:t>Sensing and Communication Requirements</w:t>
            </w:r>
          </w:p>
        </w:tc>
        <w:tc>
          <w:tcPr>
            <w:tcW w:w="721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A94F21" w14:textId="77777777" w:rsidR="00525E44" w:rsidRPr="00C703FE" w:rsidRDefault="00525E44" w:rsidP="00822FCC">
            <w:pPr>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List of sensor and measurement type including data fidelity and resolution requirements</w:t>
            </w:r>
          </w:p>
          <w:p w14:paraId="2A4D881F" w14:textId="64E97F2A" w:rsidR="00525E44" w:rsidRPr="00C703FE" w:rsidRDefault="00525E44" w:rsidP="00822FCC">
            <w:pPr>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xml:space="preserve">- List of communication requirements of any proposed solutions, such as communication and data architectures, latency, data storage, etc.   </w:t>
            </w:r>
          </w:p>
          <w:p w14:paraId="7B6BCCB9" w14:textId="77777777" w:rsidR="00525E44" w:rsidRPr="00C703FE" w:rsidRDefault="00525E44" w:rsidP="00822FCC">
            <w:pPr>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List of data collection and analytics requirements, such as efforts to determine sampling rates/cycles for actuation and operations, data buffer sizes, offline forensics analysis, etc.</w:t>
            </w:r>
          </w:p>
        </w:tc>
      </w:tr>
      <w:tr w:rsidR="00525E44" w:rsidRPr="00C703FE" w14:paraId="6D0F02B0" w14:textId="77777777" w:rsidTr="00B85459">
        <w:trPr>
          <w:trHeight w:val="493"/>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BF98ED" w14:textId="77777777" w:rsidR="00525E44" w:rsidRPr="00C703FE" w:rsidRDefault="00525E44" w:rsidP="00822FCC">
            <w:pPr>
              <w:rPr>
                <w:rFonts w:cstheme="minorHAnsi"/>
                <w:b w:val="0"/>
                <w:bCs w:val="0"/>
                <w:sz w:val="20"/>
              </w:rPr>
            </w:pPr>
            <w:r w:rsidRPr="00C703FE">
              <w:rPr>
                <w:rFonts w:cstheme="minorHAnsi"/>
                <w:b w:val="0"/>
                <w:bCs w:val="0"/>
                <w:sz w:val="20"/>
              </w:rPr>
              <w:t>Data Availability</w:t>
            </w:r>
          </w:p>
        </w:tc>
        <w:tc>
          <w:tcPr>
            <w:tcW w:w="721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5A878D" w14:textId="77777777" w:rsidR="00525E44" w:rsidRPr="00C703FE" w:rsidRDefault="00525E44" w:rsidP="00822FCC">
            <w:pPr>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Describe methods of making data collected or produced through this project secure and publicly available</w:t>
            </w:r>
          </w:p>
        </w:tc>
      </w:tr>
      <w:tr w:rsidR="00525E44" w:rsidRPr="00C703FE" w14:paraId="43315496" w14:textId="77777777" w:rsidTr="00B85459">
        <w:trPr>
          <w:trHeight w:val="654"/>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E70B4D" w14:textId="77777777" w:rsidR="00525E44" w:rsidRPr="00C703FE" w:rsidRDefault="00525E44" w:rsidP="00822FCC">
            <w:pPr>
              <w:rPr>
                <w:rFonts w:cstheme="minorHAnsi"/>
                <w:b w:val="0"/>
                <w:bCs w:val="0"/>
                <w:sz w:val="20"/>
              </w:rPr>
            </w:pPr>
            <w:r w:rsidRPr="00C703FE">
              <w:rPr>
                <w:rFonts w:cstheme="minorHAnsi"/>
                <w:b w:val="0"/>
                <w:bCs w:val="0"/>
                <w:sz w:val="20"/>
              </w:rPr>
              <w:t>Cybersecurity Assessment</w:t>
            </w:r>
          </w:p>
        </w:tc>
        <w:tc>
          <w:tcPr>
            <w:tcW w:w="721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FDA0BB" w14:textId="66A34273" w:rsidR="00525E44" w:rsidRPr="00C703FE" w:rsidRDefault="00525E44" w:rsidP="00822FCC">
            <w:pPr>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xml:space="preserve">- </w:t>
            </w:r>
            <w:r w:rsidR="002D7998" w:rsidRPr="00C703FE">
              <w:rPr>
                <w:rFonts w:cstheme="minorHAnsi"/>
                <w:sz w:val="20"/>
              </w:rPr>
              <w:t>D</w:t>
            </w:r>
            <w:r w:rsidRPr="00C703FE">
              <w:rPr>
                <w:rFonts w:cstheme="minorHAnsi"/>
                <w:sz w:val="20"/>
              </w:rPr>
              <w:t>escrib</w:t>
            </w:r>
            <w:r w:rsidR="00A71062" w:rsidRPr="00C703FE">
              <w:rPr>
                <w:rFonts w:cstheme="minorHAnsi"/>
                <w:sz w:val="20"/>
              </w:rPr>
              <w:t>e</w:t>
            </w:r>
            <w:r w:rsidRPr="00C703FE">
              <w:rPr>
                <w:rFonts w:cstheme="minorHAnsi"/>
                <w:sz w:val="20"/>
              </w:rPr>
              <w:t xml:space="preserve"> potential cybersecurity risks associated with the proposed solution</w:t>
            </w:r>
          </w:p>
          <w:p w14:paraId="430C1FEB" w14:textId="4B4F0D15" w:rsidR="00525E44" w:rsidRPr="00C703FE" w:rsidRDefault="00525E44" w:rsidP="00822FCC">
            <w:pPr>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xml:space="preserve">- </w:t>
            </w:r>
            <w:r w:rsidR="002D7998" w:rsidRPr="00C703FE">
              <w:rPr>
                <w:rFonts w:cstheme="minorHAnsi"/>
                <w:sz w:val="20"/>
              </w:rPr>
              <w:t>D</w:t>
            </w:r>
            <w:r w:rsidR="006F324C" w:rsidRPr="00C703FE">
              <w:rPr>
                <w:rFonts w:cstheme="minorHAnsi"/>
                <w:sz w:val="20"/>
              </w:rPr>
              <w:t xml:space="preserve">escribe in detail </w:t>
            </w:r>
            <w:r w:rsidRPr="00C703FE">
              <w:rPr>
                <w:rFonts w:cstheme="minorHAnsi"/>
                <w:sz w:val="20"/>
              </w:rPr>
              <w:t>whether proposed solutions will require additional cybersecurity measures for field deployment</w:t>
            </w:r>
          </w:p>
        </w:tc>
      </w:tr>
      <w:tr w:rsidR="00525E44" w:rsidRPr="00C703FE" w14:paraId="2891E188" w14:textId="77777777" w:rsidTr="00B85459">
        <w:trPr>
          <w:trHeight w:val="906"/>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686CCA4" w14:textId="77777777" w:rsidR="00525E44" w:rsidRPr="00C703FE" w:rsidRDefault="00525E44" w:rsidP="00822FCC">
            <w:pPr>
              <w:rPr>
                <w:rFonts w:cstheme="minorHAnsi"/>
                <w:b w:val="0"/>
                <w:bCs w:val="0"/>
                <w:sz w:val="20"/>
              </w:rPr>
            </w:pPr>
            <w:r w:rsidRPr="00C703FE">
              <w:rPr>
                <w:rFonts w:cstheme="minorHAnsi"/>
                <w:b w:val="0"/>
                <w:bCs w:val="0"/>
                <w:sz w:val="20"/>
              </w:rPr>
              <w:t>Technoeconomic Analysis</w:t>
            </w:r>
          </w:p>
        </w:tc>
        <w:tc>
          <w:tcPr>
            <w:tcW w:w="721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659ABB" w14:textId="1548BF7A" w:rsidR="00525E44" w:rsidRPr="00C703FE" w:rsidRDefault="00525E44" w:rsidP="00822FCC">
            <w:pPr>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xml:space="preserve">- </w:t>
            </w:r>
            <w:r w:rsidR="004700BE" w:rsidRPr="00C703FE">
              <w:rPr>
                <w:rFonts w:cstheme="minorHAnsi"/>
                <w:sz w:val="20"/>
              </w:rPr>
              <w:t>Plan for</w:t>
            </w:r>
            <w:r w:rsidRPr="00C703FE">
              <w:rPr>
                <w:rFonts w:cstheme="minorHAnsi"/>
                <w:sz w:val="20"/>
              </w:rPr>
              <w:t xml:space="preserve"> develop</w:t>
            </w:r>
            <w:r w:rsidR="004700BE" w:rsidRPr="00C703FE">
              <w:rPr>
                <w:rFonts w:cstheme="minorHAnsi"/>
                <w:sz w:val="20"/>
              </w:rPr>
              <w:t>ing a</w:t>
            </w:r>
            <w:r w:rsidRPr="00C703FE">
              <w:rPr>
                <w:rFonts w:cstheme="minorHAnsi"/>
                <w:sz w:val="20"/>
              </w:rPr>
              <w:t xml:space="preserve"> commercialization and deployment roadmap</w:t>
            </w:r>
          </w:p>
          <w:p w14:paraId="30EDA1AB" w14:textId="77777777" w:rsidR="00525E44" w:rsidRPr="00C703FE" w:rsidRDefault="00525E44" w:rsidP="00822FCC">
            <w:pPr>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Additional equipment deployment (sensors, communications, controls) or system upgrade specifications and driving factors</w:t>
            </w:r>
          </w:p>
          <w:p w14:paraId="275FFDA1" w14:textId="77777777" w:rsidR="00525E44" w:rsidRPr="00C703FE" w:rsidRDefault="00525E44" w:rsidP="00822FCC">
            <w:pPr>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Projected cost of technology rollout at various IBR generation levels</w:t>
            </w:r>
          </w:p>
        </w:tc>
      </w:tr>
      <w:tr w:rsidR="00525E44" w:rsidRPr="00C703FE" w14:paraId="4754614A" w14:textId="77777777" w:rsidTr="00B85459">
        <w:trPr>
          <w:trHeight w:val="1748"/>
        </w:trPr>
        <w:tc>
          <w:tcPr>
            <w:cnfStyle w:val="001000000000" w:firstRow="0" w:lastRow="0" w:firstColumn="1" w:lastColumn="0" w:oddVBand="0" w:evenVBand="0" w:oddHBand="0" w:evenHBand="0" w:firstRowFirstColumn="0" w:firstRowLastColumn="0" w:lastRowFirstColumn="0" w:lastRowLastColumn="0"/>
            <w:tcW w:w="227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85E24A" w14:textId="77777777" w:rsidR="00525E44" w:rsidRPr="00C703FE" w:rsidRDefault="00525E44" w:rsidP="00822FCC">
            <w:pPr>
              <w:rPr>
                <w:rFonts w:cstheme="minorHAnsi"/>
                <w:b w:val="0"/>
                <w:bCs w:val="0"/>
                <w:sz w:val="20"/>
              </w:rPr>
            </w:pPr>
            <w:r w:rsidRPr="00C703FE">
              <w:rPr>
                <w:rFonts w:cstheme="minorHAnsi"/>
                <w:b w:val="0"/>
                <w:bCs w:val="0"/>
                <w:sz w:val="20"/>
              </w:rPr>
              <w:t>Team Partners</w:t>
            </w:r>
          </w:p>
        </w:tc>
        <w:tc>
          <w:tcPr>
            <w:tcW w:w="721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472073" w14:textId="77777777" w:rsidR="00525E44" w:rsidRPr="00C703FE" w:rsidRDefault="00525E44" w:rsidP="00822FCC">
            <w:pPr>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At least one utility, regional transmission operator, or other entity responsible for establishing and operating transmission protection schemes</w:t>
            </w:r>
          </w:p>
          <w:p w14:paraId="1C0993AF" w14:textId="679CADCA" w:rsidR="00525E44" w:rsidRPr="00C703FE" w:rsidRDefault="00525E44" w:rsidP="00822FCC">
            <w:pPr>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At least one equipment manufacturer</w:t>
            </w:r>
            <w:r w:rsidR="001B2232" w:rsidRPr="00C703FE">
              <w:rPr>
                <w:rFonts w:cstheme="minorHAnsi"/>
                <w:sz w:val="20"/>
              </w:rPr>
              <w:t>,</w:t>
            </w:r>
            <w:r w:rsidRPr="00C703FE">
              <w:rPr>
                <w:rFonts w:cstheme="minorHAnsi"/>
                <w:sz w:val="20"/>
              </w:rPr>
              <w:t xml:space="preserve"> software vendor</w:t>
            </w:r>
            <w:r w:rsidR="001B2232" w:rsidRPr="00C703FE">
              <w:rPr>
                <w:rFonts w:cstheme="minorHAnsi"/>
                <w:sz w:val="20"/>
              </w:rPr>
              <w:t>, or engineering firm</w:t>
            </w:r>
            <w:r w:rsidRPr="00C703FE">
              <w:rPr>
                <w:rFonts w:cstheme="minorHAnsi"/>
                <w:sz w:val="20"/>
              </w:rPr>
              <w:t xml:space="preserve"> that supplies transmission protection solutions</w:t>
            </w:r>
          </w:p>
          <w:p w14:paraId="19B4C774" w14:textId="23BE1B99" w:rsidR="00525E44" w:rsidRPr="00C703FE" w:rsidRDefault="00F77049" w:rsidP="00822FCC">
            <w:pPr>
              <w:cnfStyle w:val="000000000000" w:firstRow="0" w:lastRow="0" w:firstColumn="0" w:lastColumn="0" w:oddVBand="0" w:evenVBand="0" w:oddHBand="0" w:evenHBand="0" w:firstRowFirstColumn="0" w:firstRowLastColumn="0" w:lastRowFirstColumn="0" w:lastRowLastColumn="0"/>
              <w:rPr>
                <w:rFonts w:cstheme="minorHAnsi"/>
                <w:sz w:val="20"/>
              </w:rPr>
            </w:pPr>
            <w:r w:rsidRPr="00C703FE">
              <w:rPr>
                <w:rFonts w:cstheme="minorHAnsi"/>
                <w:sz w:val="20"/>
              </w:rPr>
              <w:t xml:space="preserve">- Teams are strongly encouraged to include community colleges, </w:t>
            </w:r>
            <w:r w:rsidR="00004CC7" w:rsidRPr="00C703FE">
              <w:rPr>
                <w:rFonts w:cstheme="minorHAnsi"/>
                <w:sz w:val="20"/>
              </w:rPr>
              <w:t>T</w:t>
            </w:r>
            <w:r w:rsidRPr="00C703FE">
              <w:rPr>
                <w:rFonts w:cstheme="minorHAnsi"/>
                <w:sz w:val="20"/>
              </w:rPr>
              <w:t xml:space="preserve">ribal colleges, MSIs, or other institutes that do not typically engage in power systems research as project partners or to be engaged in project activities, </w:t>
            </w:r>
            <w:proofErr w:type="gramStart"/>
            <w:r w:rsidRPr="00C703FE">
              <w:rPr>
                <w:rFonts w:cstheme="minorHAnsi"/>
                <w:sz w:val="20"/>
              </w:rPr>
              <w:t>in an effort to</w:t>
            </w:r>
            <w:proofErr w:type="gramEnd"/>
            <w:r w:rsidRPr="00C703FE">
              <w:rPr>
                <w:rFonts w:cstheme="minorHAnsi"/>
                <w:sz w:val="20"/>
              </w:rPr>
              <w:t xml:space="preserve"> increase the diversity of people exposed to this field of study</w:t>
            </w:r>
          </w:p>
        </w:tc>
      </w:tr>
    </w:tbl>
    <w:p w14:paraId="5727E485" w14:textId="3269C970" w:rsidR="001816B5" w:rsidRDefault="001816B5" w:rsidP="001816B5">
      <w:pPr>
        <w:pStyle w:val="FOAHeading4"/>
        <w:numPr>
          <w:ilvl w:val="0"/>
          <w:numId w:val="0"/>
        </w:numPr>
        <w:ind w:left="1440"/>
        <w:rPr>
          <w:b w:val="0"/>
          <w:bCs/>
        </w:rPr>
      </w:pPr>
    </w:p>
    <w:p w14:paraId="1F619911" w14:textId="7DA6A4C6" w:rsidR="00525E44" w:rsidRDefault="00525E44" w:rsidP="001816B5">
      <w:pPr>
        <w:pStyle w:val="FOAHeading4"/>
        <w:numPr>
          <w:ilvl w:val="0"/>
          <w:numId w:val="0"/>
        </w:numPr>
        <w:ind w:left="1440"/>
      </w:pPr>
      <w:r>
        <w:t>Applications Not of Interest</w:t>
      </w:r>
      <w:r w:rsidR="00335F47">
        <w:t xml:space="preserve"> for Topic 2</w:t>
      </w:r>
    </w:p>
    <w:p w14:paraId="128DA8D9" w14:textId="77777777" w:rsidR="00525E44" w:rsidRPr="00041199" w:rsidRDefault="00525E44" w:rsidP="00F836F4">
      <w:pPr>
        <w:numPr>
          <w:ilvl w:val="0"/>
          <w:numId w:val="95"/>
        </w:numPr>
        <w:contextualSpacing/>
        <w:rPr>
          <w:rFonts w:ascii="Calibri" w:hAnsi="Calibri"/>
          <w:szCs w:val="24"/>
        </w:rPr>
      </w:pPr>
      <w:r w:rsidRPr="00041199">
        <w:rPr>
          <w:rFonts w:ascii="Calibri" w:hAnsi="Calibri"/>
          <w:szCs w:val="24"/>
        </w:rPr>
        <w:t>Applications that do not include the assessment of solar generation.</w:t>
      </w:r>
    </w:p>
    <w:p w14:paraId="5F935716" w14:textId="77777777" w:rsidR="00525E44" w:rsidRPr="00041199" w:rsidRDefault="00525E44" w:rsidP="00F836F4">
      <w:pPr>
        <w:numPr>
          <w:ilvl w:val="0"/>
          <w:numId w:val="95"/>
        </w:numPr>
        <w:contextualSpacing/>
        <w:rPr>
          <w:rFonts w:ascii="Calibri" w:hAnsi="Calibri"/>
          <w:szCs w:val="24"/>
        </w:rPr>
      </w:pPr>
      <w:r w:rsidRPr="00041199">
        <w:rPr>
          <w:rFonts w:ascii="Calibri" w:hAnsi="Calibri"/>
          <w:szCs w:val="24"/>
        </w:rPr>
        <w:t xml:space="preserve">Applications for which </w:t>
      </w:r>
      <w:proofErr w:type="gramStart"/>
      <w:r w:rsidRPr="00041199">
        <w:rPr>
          <w:rFonts w:ascii="Calibri" w:hAnsi="Calibri"/>
          <w:szCs w:val="24"/>
        </w:rPr>
        <w:t>the majority of</w:t>
      </w:r>
      <w:proofErr w:type="gramEnd"/>
      <w:r w:rsidRPr="00041199">
        <w:rPr>
          <w:rFonts w:ascii="Calibri" w:hAnsi="Calibri"/>
          <w:szCs w:val="24"/>
        </w:rPr>
        <w:t xml:space="preserve"> federal funding would be used for topics that are not the primary interest of this topic area, including:</w:t>
      </w:r>
    </w:p>
    <w:p w14:paraId="3280C10F" w14:textId="77777777" w:rsidR="00525E44" w:rsidRPr="00041199" w:rsidRDefault="00525E44" w:rsidP="00F836F4">
      <w:pPr>
        <w:numPr>
          <w:ilvl w:val="1"/>
          <w:numId w:val="95"/>
        </w:numPr>
        <w:ind w:left="2160"/>
        <w:contextualSpacing/>
        <w:rPr>
          <w:rFonts w:ascii="Calibri" w:hAnsi="Calibri"/>
          <w:szCs w:val="24"/>
        </w:rPr>
      </w:pPr>
      <w:r w:rsidRPr="00041199">
        <w:rPr>
          <w:rFonts w:ascii="Calibri" w:hAnsi="Calibri"/>
          <w:szCs w:val="24"/>
        </w:rPr>
        <w:t xml:space="preserve">Fault detection techniques that are not related to high penetration of IBRs. </w:t>
      </w:r>
    </w:p>
    <w:p w14:paraId="107B1CAA" w14:textId="77777777" w:rsidR="00525E44" w:rsidRPr="00041199" w:rsidRDefault="00525E44" w:rsidP="00F836F4">
      <w:pPr>
        <w:numPr>
          <w:ilvl w:val="1"/>
          <w:numId w:val="95"/>
        </w:numPr>
        <w:ind w:left="2160"/>
        <w:contextualSpacing/>
        <w:rPr>
          <w:rFonts w:ascii="Calibri" w:hAnsi="Calibri"/>
          <w:szCs w:val="24"/>
        </w:rPr>
      </w:pPr>
      <w:r w:rsidRPr="00041199">
        <w:rPr>
          <w:rFonts w:ascii="Calibri" w:hAnsi="Calibri"/>
          <w:szCs w:val="24"/>
        </w:rPr>
        <w:t>Work that generally does not apply to the bulk power transmission grid, such as DC networks or microgrids.</w:t>
      </w:r>
    </w:p>
    <w:p w14:paraId="5E0772C8" w14:textId="77777777" w:rsidR="00525E44" w:rsidRPr="00041199" w:rsidRDefault="00525E44" w:rsidP="00F836F4">
      <w:pPr>
        <w:numPr>
          <w:ilvl w:val="1"/>
          <w:numId w:val="95"/>
        </w:numPr>
        <w:ind w:left="2160"/>
        <w:contextualSpacing/>
        <w:rPr>
          <w:rFonts w:ascii="Calibri" w:hAnsi="Calibri"/>
          <w:szCs w:val="24"/>
        </w:rPr>
      </w:pPr>
      <w:r w:rsidRPr="00041199">
        <w:rPr>
          <w:rFonts w:ascii="Calibri" w:hAnsi="Calibri"/>
          <w:szCs w:val="24"/>
        </w:rPr>
        <w:t>Development of novel sensor hardware.</w:t>
      </w:r>
    </w:p>
    <w:p w14:paraId="5ECB585E" w14:textId="77777777" w:rsidR="00525E44" w:rsidRPr="00041199" w:rsidRDefault="00525E44" w:rsidP="00F836F4">
      <w:pPr>
        <w:numPr>
          <w:ilvl w:val="1"/>
          <w:numId w:val="95"/>
        </w:numPr>
        <w:ind w:left="2160"/>
        <w:contextualSpacing/>
        <w:rPr>
          <w:rFonts w:ascii="Calibri" w:hAnsi="Calibri"/>
          <w:szCs w:val="24"/>
        </w:rPr>
      </w:pPr>
      <w:r w:rsidRPr="00041199">
        <w:rPr>
          <w:rFonts w:ascii="Calibri" w:hAnsi="Calibri"/>
          <w:szCs w:val="24"/>
        </w:rPr>
        <w:t>Methods or algorithms for data processing and analytics.</w:t>
      </w:r>
    </w:p>
    <w:p w14:paraId="3A09F5B3" w14:textId="77777777" w:rsidR="00525E44" w:rsidRPr="00041199" w:rsidRDefault="00525E44" w:rsidP="00F836F4">
      <w:pPr>
        <w:numPr>
          <w:ilvl w:val="1"/>
          <w:numId w:val="95"/>
        </w:numPr>
        <w:ind w:left="2160"/>
        <w:contextualSpacing/>
        <w:rPr>
          <w:rFonts w:ascii="Calibri" w:hAnsi="Calibri"/>
          <w:szCs w:val="24"/>
        </w:rPr>
      </w:pPr>
      <w:r w:rsidRPr="00041199">
        <w:rPr>
          <w:rFonts w:ascii="Calibri" w:hAnsi="Calibri"/>
          <w:szCs w:val="24"/>
        </w:rPr>
        <w:t>Incremental improvements or cost-reductions to existing commercial products, or seeking to demonstrate a singular product, device, or component.</w:t>
      </w:r>
    </w:p>
    <w:p w14:paraId="2B23AEEB" w14:textId="77777777" w:rsidR="00525E44" w:rsidRPr="00041199" w:rsidRDefault="00525E44" w:rsidP="00F836F4">
      <w:pPr>
        <w:numPr>
          <w:ilvl w:val="1"/>
          <w:numId w:val="95"/>
        </w:numPr>
        <w:ind w:left="2160"/>
        <w:contextualSpacing/>
        <w:rPr>
          <w:rFonts w:ascii="Calibri" w:hAnsi="Calibri"/>
          <w:szCs w:val="24"/>
        </w:rPr>
      </w:pPr>
      <w:r w:rsidRPr="00041199">
        <w:rPr>
          <w:rFonts w:ascii="Calibri" w:hAnsi="Calibri"/>
          <w:szCs w:val="24"/>
        </w:rPr>
        <w:t>Development of power electronics hardware.</w:t>
      </w:r>
    </w:p>
    <w:p w14:paraId="12FA2D83" w14:textId="77777777" w:rsidR="00525E44" w:rsidRPr="005A5E00" w:rsidRDefault="00525E44" w:rsidP="00F836F4">
      <w:pPr>
        <w:numPr>
          <w:ilvl w:val="1"/>
          <w:numId w:val="95"/>
        </w:numPr>
        <w:ind w:left="2160"/>
        <w:contextualSpacing/>
        <w:rPr>
          <w:rFonts w:ascii="Calibri" w:hAnsi="Calibri"/>
          <w:sz w:val="22"/>
          <w:szCs w:val="22"/>
        </w:rPr>
      </w:pPr>
      <w:r w:rsidRPr="00041199">
        <w:rPr>
          <w:rFonts w:ascii="Calibri" w:hAnsi="Calibri"/>
          <w:szCs w:val="24"/>
        </w:rPr>
        <w:t>Cybersecurity, including policy and network monitoring technologies for threat detection and mitigation.</w:t>
      </w:r>
      <w:r>
        <w:rPr>
          <w:rFonts w:ascii="Calibri" w:hAnsi="Calibri"/>
          <w:sz w:val="22"/>
          <w:szCs w:val="22"/>
        </w:rPr>
        <w:t xml:space="preserve"> </w:t>
      </w:r>
    </w:p>
    <w:p w14:paraId="2240A674" w14:textId="77777777" w:rsidR="00253AB8" w:rsidRDefault="00253AB8" w:rsidP="00CC74E5">
      <w:pPr>
        <w:rPr>
          <w:highlight w:val="lightGray"/>
        </w:rPr>
      </w:pPr>
    </w:p>
    <w:p w14:paraId="049A20E4" w14:textId="073419B3" w:rsidR="009A690C" w:rsidRPr="009A690C" w:rsidRDefault="004E672B" w:rsidP="006578DF">
      <w:pPr>
        <w:ind w:left="1296"/>
        <w:rPr>
          <w:szCs w:val="24"/>
        </w:rPr>
      </w:pPr>
      <w:r>
        <w:rPr>
          <w:szCs w:val="24"/>
        </w:rPr>
        <w:t xml:space="preserve">All work under EERE funding agreements must be performed in the United States. See </w:t>
      </w:r>
      <w:r w:rsidRPr="0031434D">
        <w:rPr>
          <w:szCs w:val="24"/>
        </w:rPr>
        <w:t xml:space="preserve">Section </w:t>
      </w:r>
      <w:proofErr w:type="spellStart"/>
      <w:r w:rsidRPr="0031434D">
        <w:rPr>
          <w:szCs w:val="24"/>
        </w:rPr>
        <w:t>IV.</w:t>
      </w:r>
      <w:r w:rsidR="0031434D" w:rsidRPr="0031434D">
        <w:rPr>
          <w:szCs w:val="24"/>
        </w:rPr>
        <w:t>J</w:t>
      </w:r>
      <w:r w:rsidRPr="0031434D">
        <w:rPr>
          <w:szCs w:val="24"/>
        </w:rPr>
        <w:t>.iii</w:t>
      </w:r>
      <w:proofErr w:type="spellEnd"/>
      <w:r w:rsidRPr="0031434D">
        <w:rPr>
          <w:szCs w:val="24"/>
        </w:rPr>
        <w:t>.</w:t>
      </w:r>
      <w:r>
        <w:rPr>
          <w:szCs w:val="24"/>
        </w:rPr>
        <w:t xml:space="preserve"> </w:t>
      </w:r>
      <w:r w:rsidRPr="0031434D">
        <w:rPr>
          <w:szCs w:val="24"/>
        </w:rPr>
        <w:t>and Appendix C.</w:t>
      </w:r>
    </w:p>
    <w:p w14:paraId="031BAEBC" w14:textId="77777777" w:rsidR="009A690C" w:rsidRPr="00A53BBC" w:rsidRDefault="009A690C" w:rsidP="00D07031">
      <w:pPr>
        <w:rPr>
          <w:b/>
          <w:szCs w:val="24"/>
        </w:rPr>
      </w:pPr>
    </w:p>
    <w:p w14:paraId="1F02C3C9" w14:textId="075F4C5E" w:rsidR="00D07031" w:rsidRPr="00872882" w:rsidRDefault="00335F47" w:rsidP="0017595D">
      <w:pPr>
        <w:pStyle w:val="FOAHeading2"/>
      </w:pPr>
      <w:bookmarkStart w:id="46" w:name="_Toc517798892"/>
      <w:bookmarkStart w:id="47" w:name="_Toc519602224"/>
      <w:bookmarkStart w:id="48" w:name="_Toc519602305"/>
      <w:bookmarkStart w:id="49" w:name="_Toc109921651"/>
      <w:r>
        <w:t xml:space="preserve">Additional </w:t>
      </w:r>
      <w:r w:rsidR="004E672B" w:rsidRPr="003B7075">
        <w:t>Applications Specifically Not of Interest</w:t>
      </w:r>
      <w:bookmarkEnd w:id="46"/>
      <w:bookmarkEnd w:id="47"/>
      <w:bookmarkEnd w:id="48"/>
      <w:r>
        <w:t xml:space="preserve"> for Both Topic 1 and Topic 2</w:t>
      </w:r>
      <w:bookmarkEnd w:id="49"/>
    </w:p>
    <w:p w14:paraId="481DAEF7" w14:textId="77777777" w:rsidR="00D07031" w:rsidRPr="008858B4" w:rsidRDefault="004E672B" w:rsidP="00180260">
      <w:pPr>
        <w:ind w:left="1296"/>
      </w:pPr>
      <w:r w:rsidRPr="008858B4">
        <w:t xml:space="preserve">The following types of applications will be deemed nonresponsive and will not be reviewed or considered (See </w:t>
      </w:r>
      <w:r w:rsidRPr="0031434D">
        <w:t>Section III.D.</w:t>
      </w:r>
      <w:r w:rsidRPr="008858B4">
        <w:t xml:space="preserve"> of the FOA): </w:t>
      </w:r>
    </w:p>
    <w:p w14:paraId="35CE155E" w14:textId="77777777" w:rsidR="00D07031" w:rsidRDefault="00D07031" w:rsidP="00D07031">
      <w:pPr>
        <w:rPr>
          <w:rStyle w:val="ListParagraphChar"/>
        </w:rPr>
      </w:pPr>
    </w:p>
    <w:p w14:paraId="3E16969C" w14:textId="6036FECB" w:rsidR="00D07031" w:rsidRDefault="004E672B" w:rsidP="007C5187">
      <w:pPr>
        <w:pStyle w:val="ListParagraph"/>
        <w:numPr>
          <w:ilvl w:val="0"/>
          <w:numId w:val="3"/>
        </w:numPr>
        <w:ind w:left="2160"/>
      </w:pPr>
      <w:r w:rsidRPr="008858B4">
        <w:t xml:space="preserve">Applications that fall outside the technical parameters specified in </w:t>
      </w:r>
      <w:r w:rsidRPr="0031434D">
        <w:t xml:space="preserve">Section I.A. </w:t>
      </w:r>
      <w:r w:rsidRPr="00B062DE">
        <w:t>and I.B.</w:t>
      </w:r>
      <w:r>
        <w:t xml:space="preserve"> of the</w:t>
      </w:r>
      <w:r w:rsidRPr="008858B4">
        <w:t xml:space="preserve"> </w:t>
      </w:r>
      <w:r>
        <w:t>FOA</w:t>
      </w:r>
      <w:r w:rsidRPr="008858B4">
        <w:t>.</w:t>
      </w:r>
    </w:p>
    <w:p w14:paraId="2AFB3252" w14:textId="74CAAADC" w:rsidR="00D07031" w:rsidRDefault="004E672B" w:rsidP="007C5187">
      <w:pPr>
        <w:pStyle w:val="ListParagraph"/>
        <w:numPr>
          <w:ilvl w:val="0"/>
          <w:numId w:val="3"/>
        </w:numPr>
        <w:ind w:left="2160"/>
      </w:pPr>
      <w:r w:rsidRPr="008858B4">
        <w:t>Applications for proposed technologies that are not based on sound scientific principles (e.g., violates the laws of thermodynamics).</w:t>
      </w:r>
    </w:p>
    <w:p w14:paraId="1E09BB07" w14:textId="1305945F" w:rsidR="0031434D" w:rsidRPr="00B03180" w:rsidRDefault="0031434D" w:rsidP="007C5187">
      <w:pPr>
        <w:pStyle w:val="ListParagraph"/>
        <w:numPr>
          <w:ilvl w:val="0"/>
          <w:numId w:val="3"/>
        </w:numPr>
        <w:ind w:left="2160"/>
      </w:pPr>
      <w:r>
        <w:t xml:space="preserve">Applications that are described as not of interest in the topic area description </w:t>
      </w:r>
      <w:r w:rsidR="00B062DE">
        <w:t xml:space="preserve">in Section I.B. </w:t>
      </w:r>
      <w:r>
        <w:t>of the topic area to which they are applying.</w:t>
      </w:r>
    </w:p>
    <w:p w14:paraId="01C637C1" w14:textId="77777777" w:rsidR="00D07031" w:rsidRPr="008858B4" w:rsidRDefault="00D07031" w:rsidP="00D07031">
      <w:pPr>
        <w:pStyle w:val="ListParagraph"/>
        <w:ind w:left="1080" w:hanging="360"/>
      </w:pPr>
    </w:p>
    <w:p w14:paraId="2C5590ED" w14:textId="092690C0" w:rsidR="00D07031" w:rsidRPr="00872882" w:rsidRDefault="004E672B" w:rsidP="0017595D">
      <w:pPr>
        <w:pStyle w:val="FOAHeading2"/>
      </w:pPr>
      <w:bookmarkStart w:id="50" w:name="_Toc517798893"/>
      <w:bookmarkStart w:id="51" w:name="_Toc519602225"/>
      <w:bookmarkStart w:id="52" w:name="_Toc519602306"/>
      <w:bookmarkStart w:id="53" w:name="_Toc109921652"/>
      <w:r w:rsidRPr="003B7075">
        <w:t>Authorizing Statutes</w:t>
      </w:r>
      <w:bookmarkEnd w:id="50"/>
      <w:bookmarkEnd w:id="51"/>
      <w:bookmarkEnd w:id="52"/>
      <w:bookmarkEnd w:id="53"/>
    </w:p>
    <w:p w14:paraId="764FC57E" w14:textId="2BD60431" w:rsidR="00070114" w:rsidRDefault="00070114" w:rsidP="00070114">
      <w:pPr>
        <w:pStyle w:val="ListParagraph"/>
        <w:ind w:left="1260"/>
      </w:pPr>
      <w:bookmarkStart w:id="54" w:name="_Toc425399575"/>
      <w:r>
        <w:t>The programmatic authorizing statute</w:t>
      </w:r>
      <w:r w:rsidR="0017595D">
        <w:t>s</w:t>
      </w:r>
      <w:r>
        <w:t xml:space="preserve"> </w:t>
      </w:r>
      <w:r w:rsidR="0017595D">
        <w:t xml:space="preserve">are </w:t>
      </w:r>
      <w:r w:rsidR="00A6302F">
        <w:t xml:space="preserve">42 U.S.C. 16238(b)(2) and </w:t>
      </w:r>
      <w:r w:rsidR="0017595D">
        <w:t>42 U.S.C. 16237(b)(2)</w:t>
      </w:r>
      <w:r w:rsidR="00A6302F">
        <w:t>, as referenced</w:t>
      </w:r>
      <w:r w:rsidR="0017595D">
        <w:t xml:space="preserve"> in</w:t>
      </w:r>
      <w:r>
        <w:t xml:space="preserve"> the Infrastructure Investment and Jobs Act of 2021, Division D, Section 41007</w:t>
      </w:r>
      <w:r w:rsidR="00DB4407">
        <w:t>(c)(</w:t>
      </w:r>
      <w:r w:rsidR="00223518">
        <w:t>1</w:t>
      </w:r>
      <w:r w:rsidR="00DB4407">
        <w:t>)</w:t>
      </w:r>
      <w:r>
        <w:t>, which states that the Secretary is authorized “to carry out activities under section 3004(b)(</w:t>
      </w:r>
      <w:r w:rsidR="00223518">
        <w:t>2</w:t>
      </w:r>
      <w:r>
        <w:t>) of the Energy Act of 2020 (42 U.S.C. 16238(b)(</w:t>
      </w:r>
      <w:r w:rsidR="00223518">
        <w:t>2</w:t>
      </w:r>
      <w:r>
        <w:t>)), $</w:t>
      </w:r>
      <w:r w:rsidR="00223518">
        <w:t>4</w:t>
      </w:r>
      <w:r>
        <w:t xml:space="preserve">0,000,000 for the period of fiscal years 2022 through 2025” and </w:t>
      </w:r>
      <w:r w:rsidR="00F9375F">
        <w:t xml:space="preserve">under Section 41007(b)(1) </w:t>
      </w:r>
      <w:r>
        <w:t>“to carry out activities under section 3003(b)(2) of the Energy Act of 2020 (42 U.S.C. 16237(b)(2)), $60,000,000 for the period of fiscal years 2022 through 2025.”</w:t>
      </w:r>
    </w:p>
    <w:p w14:paraId="7892D053" w14:textId="77777777" w:rsidR="00D5240A" w:rsidRPr="008858B4" w:rsidRDefault="00D5240A" w:rsidP="00D5240A">
      <w:pPr>
        <w:ind w:left="1296"/>
      </w:pPr>
    </w:p>
    <w:p w14:paraId="6D1246B0" w14:textId="1274DD04" w:rsidR="00D07031" w:rsidRDefault="004E672B" w:rsidP="00180260">
      <w:pPr>
        <w:ind w:left="1296"/>
      </w:pPr>
      <w:r w:rsidRPr="008858B4">
        <w:t xml:space="preserve">Awards made under this announcement will fall under the purview of 2 </w:t>
      </w:r>
      <w:r>
        <w:t>Code of Federal Regulation (</w:t>
      </w:r>
      <w:r w:rsidRPr="008858B4">
        <w:t>CFR</w:t>
      </w:r>
      <w:r>
        <w:t>)</w:t>
      </w:r>
      <w:r w:rsidRPr="008858B4">
        <w:t xml:space="preserve"> Part 200 as amended by 2 CFR Part 910.</w:t>
      </w:r>
      <w:bookmarkEnd w:id="54"/>
    </w:p>
    <w:p w14:paraId="284F90FC" w14:textId="0F79E5AC" w:rsidR="00236DF8" w:rsidRDefault="00236DF8" w:rsidP="00180260">
      <w:pPr>
        <w:ind w:left="1296"/>
      </w:pPr>
    </w:p>
    <w:p w14:paraId="2E5A6BDE" w14:textId="77777777" w:rsidR="00236DF8" w:rsidRPr="00236DF8" w:rsidRDefault="00236DF8" w:rsidP="00F836F4">
      <w:pPr>
        <w:pStyle w:val="FOAHeading2"/>
        <w:numPr>
          <w:ilvl w:val="1"/>
          <w:numId w:val="114"/>
        </w:numPr>
      </w:pPr>
      <w:bookmarkStart w:id="55" w:name="_Toc103174783"/>
      <w:bookmarkStart w:id="56" w:name="_Toc109921653"/>
      <w:r w:rsidRPr="00236DF8">
        <w:t>Notice of Bipartisan Infrastructure Law-Specific Requirements</w:t>
      </w:r>
      <w:bookmarkEnd w:id="55"/>
      <w:bookmarkEnd w:id="56"/>
    </w:p>
    <w:p w14:paraId="5DE8F1A6" w14:textId="77777777" w:rsidR="00236DF8" w:rsidRPr="00236DF8" w:rsidRDefault="00236DF8" w:rsidP="00236DF8">
      <w:pPr>
        <w:ind w:left="1440"/>
      </w:pPr>
      <w:r w:rsidRPr="00236DF8">
        <w:t xml:space="preserve">Be advised that special terms and conditions apply to projects funded by the </w:t>
      </w:r>
      <w:proofErr w:type="gramStart"/>
      <w:r w:rsidRPr="00236DF8">
        <w:t>BIL  relating</w:t>
      </w:r>
      <w:proofErr w:type="gramEnd"/>
      <w:r w:rsidRPr="00236DF8">
        <w:t xml:space="preserve"> to: </w:t>
      </w:r>
    </w:p>
    <w:p w14:paraId="4C8B4A84" w14:textId="77777777" w:rsidR="00236DF8" w:rsidRPr="00236DF8" w:rsidRDefault="00236DF8" w:rsidP="00F836F4">
      <w:pPr>
        <w:pStyle w:val="FOATemplateBody"/>
        <w:numPr>
          <w:ilvl w:val="0"/>
          <w:numId w:val="81"/>
        </w:numPr>
        <w:ind w:left="2160"/>
      </w:pPr>
      <w:r w:rsidRPr="00236DF8">
        <w:t xml:space="preserve">Reporting, tracking and segregation of incurred </w:t>
      </w:r>
      <w:proofErr w:type="gramStart"/>
      <w:r w:rsidRPr="00236DF8">
        <w:t>costs;</w:t>
      </w:r>
      <w:proofErr w:type="gramEnd"/>
      <w:r w:rsidRPr="00236DF8">
        <w:t xml:space="preserve">  </w:t>
      </w:r>
    </w:p>
    <w:p w14:paraId="16B6824C" w14:textId="77777777" w:rsidR="00236DF8" w:rsidRPr="00236DF8" w:rsidRDefault="00236DF8" w:rsidP="00F836F4">
      <w:pPr>
        <w:pStyle w:val="FOATemplateBody"/>
        <w:numPr>
          <w:ilvl w:val="0"/>
          <w:numId w:val="81"/>
        </w:numPr>
        <w:ind w:left="2160"/>
      </w:pPr>
      <w:r w:rsidRPr="00236DF8">
        <w:t xml:space="preserve">Reporting on job creation and </w:t>
      </w:r>
      <w:proofErr w:type="gramStart"/>
      <w:r w:rsidRPr="00236DF8">
        <w:t>preservation;</w:t>
      </w:r>
      <w:proofErr w:type="gramEnd"/>
      <w:r w:rsidRPr="00236DF8">
        <w:t xml:space="preserve">  </w:t>
      </w:r>
    </w:p>
    <w:p w14:paraId="72B15700" w14:textId="77777777" w:rsidR="00236DF8" w:rsidRPr="00236DF8" w:rsidRDefault="00236DF8" w:rsidP="00F836F4">
      <w:pPr>
        <w:pStyle w:val="FOATemplateBody"/>
        <w:numPr>
          <w:ilvl w:val="0"/>
          <w:numId w:val="81"/>
        </w:numPr>
        <w:ind w:left="2160"/>
      </w:pPr>
      <w:r w:rsidRPr="00236DF8">
        <w:t xml:space="preserve">Publication of information on the </w:t>
      </w:r>
      <w:proofErr w:type="gramStart"/>
      <w:r w:rsidRPr="00236DF8">
        <w:t>Internet;</w:t>
      </w:r>
      <w:proofErr w:type="gramEnd"/>
    </w:p>
    <w:p w14:paraId="1863A073" w14:textId="77777777" w:rsidR="00236DF8" w:rsidRPr="00236DF8" w:rsidRDefault="00236DF8" w:rsidP="00F836F4">
      <w:pPr>
        <w:pStyle w:val="FOATemplateBody"/>
        <w:numPr>
          <w:ilvl w:val="0"/>
          <w:numId w:val="81"/>
        </w:numPr>
        <w:ind w:left="2160"/>
      </w:pPr>
      <w:r w:rsidRPr="00236DF8">
        <w:t xml:space="preserve">Access to records by Inspectors General and the Government Accountability </w:t>
      </w:r>
      <w:proofErr w:type="gramStart"/>
      <w:r w:rsidRPr="00236DF8">
        <w:t>Office;</w:t>
      </w:r>
      <w:proofErr w:type="gramEnd"/>
      <w:r w:rsidRPr="00236DF8">
        <w:t xml:space="preserve">  </w:t>
      </w:r>
    </w:p>
    <w:p w14:paraId="410F2296" w14:textId="77777777" w:rsidR="00236DF8" w:rsidRPr="00236DF8" w:rsidRDefault="00236DF8" w:rsidP="00F836F4">
      <w:pPr>
        <w:pStyle w:val="FOATemplateBody"/>
        <w:numPr>
          <w:ilvl w:val="0"/>
          <w:numId w:val="81"/>
        </w:numPr>
        <w:ind w:left="2160"/>
      </w:pPr>
      <w:r w:rsidRPr="00236DF8">
        <w:t xml:space="preserve">Requiring all of the iron, steel, manufactured goods, and construction materials used in the infrastructure activities of applicable projects are produced in the United </w:t>
      </w:r>
      <w:proofErr w:type="gramStart"/>
      <w:r w:rsidRPr="00236DF8">
        <w:t>States;</w:t>
      </w:r>
      <w:proofErr w:type="gramEnd"/>
      <w:r w:rsidRPr="00236DF8">
        <w:t xml:space="preserve">  </w:t>
      </w:r>
    </w:p>
    <w:p w14:paraId="7CAEA0EA" w14:textId="77777777" w:rsidR="00236DF8" w:rsidRPr="00236DF8" w:rsidRDefault="00236DF8" w:rsidP="00F836F4">
      <w:pPr>
        <w:pStyle w:val="FOATemplateBody"/>
        <w:numPr>
          <w:ilvl w:val="0"/>
          <w:numId w:val="81"/>
        </w:numPr>
        <w:ind w:left="2160"/>
      </w:pPr>
      <w:r w:rsidRPr="00236DF8">
        <w:t xml:space="preserve">Ensuring laborers and mechanics employed by contractors or subcontractors on BIL-funded projects are paid wages equivalent to prevailing wages on similar projects in the </w:t>
      </w:r>
      <w:proofErr w:type="gramStart"/>
      <w:r w:rsidRPr="00236DF8">
        <w:t>area;</w:t>
      </w:r>
      <w:proofErr w:type="gramEnd"/>
      <w:r w:rsidRPr="00236DF8">
        <w:t xml:space="preserve"> </w:t>
      </w:r>
    </w:p>
    <w:p w14:paraId="52603BB3" w14:textId="77777777" w:rsidR="00236DF8" w:rsidRPr="00236DF8" w:rsidRDefault="00236DF8" w:rsidP="00F836F4">
      <w:pPr>
        <w:pStyle w:val="FOATemplateBody"/>
        <w:numPr>
          <w:ilvl w:val="0"/>
          <w:numId w:val="81"/>
        </w:numPr>
        <w:ind w:left="2160"/>
      </w:pPr>
      <w:r w:rsidRPr="00236DF8">
        <w:t xml:space="preserve">Protecting whistleblowers and requiring prompt referral of evidence of a false claim to an appropriate inspector general; and </w:t>
      </w:r>
    </w:p>
    <w:p w14:paraId="50DF2442" w14:textId="77777777" w:rsidR="00236DF8" w:rsidRPr="00236DF8" w:rsidRDefault="00236DF8" w:rsidP="00F836F4">
      <w:pPr>
        <w:pStyle w:val="FOATemplateBody"/>
        <w:numPr>
          <w:ilvl w:val="0"/>
          <w:numId w:val="81"/>
        </w:numPr>
        <w:ind w:left="2160"/>
      </w:pPr>
      <w:r w:rsidRPr="00236DF8">
        <w:t xml:space="preserve">Certification and Registration.  </w:t>
      </w:r>
    </w:p>
    <w:p w14:paraId="1B7ED6D7" w14:textId="77777777" w:rsidR="00236DF8" w:rsidRPr="00236DF8" w:rsidRDefault="00236DF8" w:rsidP="00236DF8">
      <w:pPr>
        <w:ind w:left="1080"/>
      </w:pPr>
    </w:p>
    <w:p w14:paraId="6C04A7EE" w14:textId="5C389D03" w:rsidR="00236DF8" w:rsidRPr="00236DF8" w:rsidRDefault="00236DF8" w:rsidP="00236DF8">
      <w:pPr>
        <w:ind w:left="1440"/>
      </w:pPr>
      <w:r w:rsidRPr="00236DF8">
        <w:t>Recipients of funding appropriated by the BIL must comply with requirements of all applicable Federal, State, and local laws, regulations, DOE policy and guidance, and instructions in this FOA.  Recipients must flow down the requirements to subrecipients to ensure the recipient’s compliance with the requirements.</w:t>
      </w:r>
    </w:p>
    <w:p w14:paraId="09AB4DA6" w14:textId="77777777" w:rsidR="00236DF8" w:rsidRPr="00236DF8" w:rsidRDefault="00236DF8" w:rsidP="00236DF8">
      <w:pPr>
        <w:ind w:left="1440"/>
      </w:pPr>
      <w:r w:rsidRPr="00236DF8">
        <w:t xml:space="preserve"> </w:t>
      </w:r>
    </w:p>
    <w:p w14:paraId="526CADF5" w14:textId="0BCE9A45" w:rsidR="00236DF8" w:rsidRDefault="00236DF8" w:rsidP="007330C5">
      <w:pPr>
        <w:ind w:left="1440"/>
      </w:pPr>
      <w:r w:rsidRPr="00236DF8">
        <w:t xml:space="preserve">Be advised that BIL funds can be used in conjunction with other funding, as necessary to complete projects, but tracking and reporting must be separate to meet the reporting requirements of the BIL and related Office of Management and Budget (OMB) Guidance.  Applicants for projects funded by sources other than the BIL should plan to keep separate records for </w:t>
      </w:r>
      <w:proofErr w:type="gramStart"/>
      <w:r w:rsidRPr="00236DF8">
        <w:t>BIL  funds</w:t>
      </w:r>
      <w:proofErr w:type="gramEnd"/>
      <w:r w:rsidRPr="00236DF8">
        <w:t xml:space="preserve"> and to ensure those records comply with the requirements of the BIL.</w:t>
      </w:r>
    </w:p>
    <w:p w14:paraId="2DC950DC" w14:textId="77777777" w:rsidR="00D07031" w:rsidRPr="008858B4" w:rsidRDefault="00D07031" w:rsidP="00D07031">
      <w:pPr>
        <w:ind w:left="1080"/>
      </w:pPr>
    </w:p>
    <w:p w14:paraId="69FA3DB9" w14:textId="77777777" w:rsidR="00AC4722" w:rsidRDefault="004E672B" w:rsidP="0017729B">
      <w:pPr>
        <w:pStyle w:val="FOAHeading1"/>
      </w:pPr>
      <w:bookmarkStart w:id="57" w:name="_Toc109921654"/>
      <w:bookmarkEnd w:id="0"/>
      <w:bookmarkEnd w:id="1"/>
      <w:bookmarkEnd w:id="2"/>
      <w:r>
        <w:t>Award Information</w:t>
      </w:r>
      <w:bookmarkEnd w:id="57"/>
    </w:p>
    <w:p w14:paraId="401ED5E6" w14:textId="77777777" w:rsidR="00AC4722" w:rsidRDefault="00AC4722" w:rsidP="00AC4722"/>
    <w:p w14:paraId="7A009D69" w14:textId="37EE3FE7" w:rsidR="00AC4722" w:rsidRDefault="004E672B" w:rsidP="0017595D">
      <w:pPr>
        <w:pStyle w:val="FOAHeading2"/>
      </w:pPr>
      <w:bookmarkStart w:id="58" w:name="_Toc519602308"/>
      <w:bookmarkStart w:id="59" w:name="_Toc519602227"/>
      <w:bookmarkStart w:id="60" w:name="_Toc517798895"/>
      <w:bookmarkStart w:id="61" w:name="_Toc427134127"/>
      <w:bookmarkStart w:id="62" w:name="_Toc109921655"/>
      <w:r>
        <w:t>Award Overview</w:t>
      </w:r>
      <w:bookmarkEnd w:id="58"/>
      <w:bookmarkEnd w:id="59"/>
      <w:bookmarkEnd w:id="60"/>
      <w:bookmarkEnd w:id="61"/>
      <w:bookmarkEnd w:id="62"/>
    </w:p>
    <w:p w14:paraId="04A3C294" w14:textId="77777777" w:rsidR="00AC4722" w:rsidRDefault="00AC4722" w:rsidP="00AC4722">
      <w:pPr>
        <w:pStyle w:val="FOATemplateBody"/>
      </w:pPr>
    </w:p>
    <w:p w14:paraId="196C5DF1" w14:textId="77777777" w:rsidR="00AC4722" w:rsidRDefault="004E672B" w:rsidP="007C5187">
      <w:pPr>
        <w:pStyle w:val="FOAHeading3"/>
        <w:numPr>
          <w:ilvl w:val="0"/>
          <w:numId w:val="125"/>
        </w:numPr>
        <w:ind w:left="1440"/>
        <w:outlineLvl w:val="2"/>
      </w:pPr>
      <w:bookmarkStart w:id="63" w:name="_Toc519602309"/>
      <w:bookmarkStart w:id="64" w:name="_Toc109921656"/>
      <w:r>
        <w:t>Estimated Funding</w:t>
      </w:r>
      <w:bookmarkEnd w:id="63"/>
      <w:bookmarkEnd w:id="64"/>
      <w:r>
        <w:t xml:space="preserve"> </w:t>
      </w:r>
    </w:p>
    <w:p w14:paraId="6D5CA689" w14:textId="36D518EC" w:rsidR="00AC4722" w:rsidRDefault="004E672B" w:rsidP="00AC4722">
      <w:pPr>
        <w:ind w:left="1440"/>
        <w:rPr>
          <w:color w:val="000000" w:themeColor="text1"/>
        </w:rPr>
      </w:pPr>
      <w:r>
        <w:rPr>
          <w:color w:val="000000" w:themeColor="text1"/>
        </w:rPr>
        <w:t xml:space="preserve">EERE expects to make a total of approximately </w:t>
      </w:r>
      <w:r w:rsidR="00EA11BD">
        <w:rPr>
          <w:color w:val="000000" w:themeColor="text1"/>
        </w:rPr>
        <w:t>$</w:t>
      </w:r>
      <w:r w:rsidR="00CA2E80">
        <w:rPr>
          <w:color w:val="000000" w:themeColor="text1"/>
        </w:rPr>
        <w:t>26,000,000</w:t>
      </w:r>
      <w:r>
        <w:rPr>
          <w:color w:val="000000" w:themeColor="text1"/>
        </w:rPr>
        <w:t xml:space="preserve"> of federal funding available for new awards under this FOA, subject to the availability of appropriated funds. EERE anticipates making approximately </w:t>
      </w:r>
      <w:r w:rsidR="00CA2E80">
        <w:rPr>
          <w:rStyle w:val="Style1"/>
          <w:color w:val="000000" w:themeColor="text1"/>
        </w:rPr>
        <w:t>6 to 9</w:t>
      </w:r>
      <w:r>
        <w:rPr>
          <w:color w:val="000000" w:themeColor="text1"/>
        </w:rPr>
        <w:t xml:space="preserve"> awards under this FOA. EERE may issue one, multiple, or no awards. Individual awards may vary between </w:t>
      </w:r>
      <w:r w:rsidR="00596BDB">
        <w:rPr>
          <w:color w:val="000000" w:themeColor="text1"/>
        </w:rPr>
        <w:t>$</w:t>
      </w:r>
      <w:r w:rsidR="00CA2E80">
        <w:rPr>
          <w:rStyle w:val="Style1"/>
          <w:color w:val="000000" w:themeColor="text1"/>
        </w:rPr>
        <w:t>2,</w:t>
      </w:r>
      <w:r w:rsidR="00483F9D">
        <w:rPr>
          <w:rStyle w:val="Style1"/>
          <w:color w:val="000000" w:themeColor="text1"/>
        </w:rPr>
        <w:t>2</w:t>
      </w:r>
      <w:r w:rsidR="00CA2E80">
        <w:rPr>
          <w:rStyle w:val="Style1"/>
          <w:color w:val="000000" w:themeColor="text1"/>
        </w:rPr>
        <w:t>50,000</w:t>
      </w:r>
      <w:r w:rsidR="000377A5">
        <w:rPr>
          <w:color w:val="000000" w:themeColor="text1"/>
        </w:rPr>
        <w:t xml:space="preserve"> and $</w:t>
      </w:r>
      <w:r w:rsidR="00483F9D">
        <w:rPr>
          <w:rStyle w:val="Style1"/>
          <w:color w:val="000000" w:themeColor="text1"/>
        </w:rPr>
        <w:t>5,600,000</w:t>
      </w:r>
      <w:r w:rsidR="005257A6">
        <w:rPr>
          <w:color w:val="000000" w:themeColor="text1"/>
        </w:rPr>
        <w:t>.</w:t>
      </w:r>
    </w:p>
    <w:p w14:paraId="2B5D30AB" w14:textId="7F092E07" w:rsidR="006167A5" w:rsidRDefault="006167A5" w:rsidP="00AC4722">
      <w:pPr>
        <w:ind w:left="1440"/>
        <w:rPr>
          <w:color w:val="000000" w:themeColor="text1"/>
        </w:rPr>
      </w:pPr>
    </w:p>
    <w:p w14:paraId="46352E20" w14:textId="1DA84807" w:rsidR="006167A5" w:rsidRDefault="004E672B" w:rsidP="00AC4722">
      <w:pPr>
        <w:ind w:left="1440"/>
        <w:rPr>
          <w:color w:val="000000" w:themeColor="text1"/>
        </w:rPr>
      </w:pPr>
      <w:r>
        <w:t>EERE may issue awards in one, multiple, or none of the following topic areas:</w:t>
      </w:r>
    </w:p>
    <w:p w14:paraId="3F995FD8" w14:textId="77777777" w:rsidR="004D6FFC" w:rsidRDefault="004D6FFC" w:rsidP="004D6FFC">
      <w:pPr>
        <w:ind w:left="1440"/>
      </w:pPr>
    </w:p>
    <w:tbl>
      <w:tblPr>
        <w:tblStyle w:val="TableGrid"/>
        <w:tblW w:w="9720" w:type="dxa"/>
        <w:tblInd w:w="535" w:type="dxa"/>
        <w:tblLook w:val="04A0" w:firstRow="1" w:lastRow="0" w:firstColumn="1" w:lastColumn="0" w:noHBand="0" w:noVBand="1"/>
        <w:tblCaption w:val="Period of Performance"/>
        <w:tblDescription w:val="Period of Performance Topic Areas"/>
      </w:tblPr>
      <w:tblGrid>
        <w:gridCol w:w="959"/>
        <w:gridCol w:w="2095"/>
        <w:gridCol w:w="1228"/>
        <w:gridCol w:w="1298"/>
        <w:gridCol w:w="1439"/>
        <w:gridCol w:w="1358"/>
        <w:gridCol w:w="1343"/>
      </w:tblGrid>
      <w:tr w:rsidR="00BF65D1" w14:paraId="2CE936F6" w14:textId="77777777" w:rsidTr="00E67EF3">
        <w:trPr>
          <w:trHeight w:val="503"/>
        </w:trPr>
        <w:tc>
          <w:tcPr>
            <w:tcW w:w="9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FEB277" w14:textId="77777777" w:rsidR="004D6FFC" w:rsidRPr="002D1DC8" w:rsidRDefault="004E672B" w:rsidP="00E67EF3">
            <w:pPr>
              <w:pStyle w:val="CommentText"/>
              <w:jc w:val="center"/>
              <w:rPr>
                <w:b/>
                <w:sz w:val="21"/>
                <w:szCs w:val="21"/>
              </w:rPr>
            </w:pPr>
            <w:r w:rsidRPr="002D1DC8">
              <w:rPr>
                <w:b/>
                <w:sz w:val="21"/>
                <w:szCs w:val="21"/>
              </w:rPr>
              <w:t>Topic Area Number</w:t>
            </w:r>
          </w:p>
        </w:tc>
        <w:tc>
          <w:tcPr>
            <w:tcW w:w="2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1166A2" w14:textId="77777777" w:rsidR="004D6FFC" w:rsidRPr="002D1DC8" w:rsidRDefault="004E672B" w:rsidP="00E67EF3">
            <w:pPr>
              <w:spacing w:before="120" w:after="120"/>
              <w:jc w:val="center"/>
              <w:rPr>
                <w:b/>
                <w:sz w:val="21"/>
                <w:szCs w:val="21"/>
              </w:rPr>
            </w:pPr>
            <w:r w:rsidRPr="002D1DC8">
              <w:rPr>
                <w:b/>
                <w:sz w:val="21"/>
                <w:szCs w:val="21"/>
              </w:rPr>
              <w:t>Topic Area Title</w:t>
            </w:r>
          </w:p>
        </w:tc>
        <w:tc>
          <w:tcPr>
            <w:tcW w:w="12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9B21CE" w14:textId="77777777" w:rsidR="004D6FFC" w:rsidRPr="002D1DC8" w:rsidRDefault="004E672B" w:rsidP="00E67EF3">
            <w:pPr>
              <w:spacing w:before="120" w:after="120"/>
              <w:jc w:val="center"/>
              <w:rPr>
                <w:b/>
                <w:sz w:val="21"/>
                <w:szCs w:val="21"/>
              </w:rPr>
            </w:pPr>
            <w:r>
              <w:rPr>
                <w:b/>
                <w:sz w:val="21"/>
                <w:szCs w:val="21"/>
              </w:rPr>
              <w:t>Anticipated Number of Awards</w:t>
            </w:r>
          </w:p>
        </w:tc>
        <w:tc>
          <w:tcPr>
            <w:tcW w:w="12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6CA437" w14:textId="77777777" w:rsidR="004D6FFC" w:rsidRDefault="004E672B" w:rsidP="00E67EF3">
            <w:pPr>
              <w:spacing w:before="120" w:after="120"/>
              <w:jc w:val="center"/>
              <w:rPr>
                <w:b/>
                <w:sz w:val="21"/>
                <w:szCs w:val="21"/>
              </w:rPr>
            </w:pPr>
            <w:r>
              <w:rPr>
                <w:b/>
                <w:sz w:val="21"/>
                <w:szCs w:val="21"/>
              </w:rPr>
              <w:t>Anticipated Minimum Award Size for Any One Individual Award (Fed Share)</w:t>
            </w: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E4BDA8" w14:textId="77777777" w:rsidR="004D6FFC" w:rsidRDefault="004E672B" w:rsidP="00E67EF3">
            <w:pPr>
              <w:spacing w:before="120" w:after="120"/>
              <w:jc w:val="center"/>
              <w:rPr>
                <w:b/>
                <w:sz w:val="21"/>
                <w:szCs w:val="21"/>
              </w:rPr>
            </w:pPr>
            <w:r>
              <w:rPr>
                <w:b/>
                <w:sz w:val="21"/>
                <w:szCs w:val="21"/>
              </w:rPr>
              <w:t>Anticipated Maximum Award Size for Any One Individual Award (Fed Share)</w:t>
            </w:r>
          </w:p>
        </w:tc>
        <w:tc>
          <w:tcPr>
            <w:tcW w:w="13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4C8A2E" w14:textId="77777777" w:rsidR="004D6FFC" w:rsidRDefault="004E672B" w:rsidP="00E67EF3">
            <w:pPr>
              <w:spacing w:before="120" w:after="120"/>
              <w:jc w:val="center"/>
              <w:rPr>
                <w:b/>
                <w:sz w:val="21"/>
                <w:szCs w:val="21"/>
              </w:rPr>
            </w:pPr>
            <w:r>
              <w:rPr>
                <w:b/>
                <w:sz w:val="21"/>
                <w:szCs w:val="21"/>
              </w:rPr>
              <w:t>Approximate Total Federal Funding Available for All Awards</w:t>
            </w:r>
          </w:p>
        </w:tc>
        <w:tc>
          <w:tcPr>
            <w:tcW w:w="13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5DF0BD" w14:textId="77777777" w:rsidR="004D6FFC" w:rsidRDefault="004E672B" w:rsidP="00E67EF3">
            <w:pPr>
              <w:spacing w:before="120" w:after="120"/>
              <w:jc w:val="center"/>
              <w:rPr>
                <w:b/>
                <w:sz w:val="21"/>
                <w:szCs w:val="21"/>
              </w:rPr>
            </w:pPr>
            <w:r>
              <w:rPr>
                <w:b/>
                <w:sz w:val="21"/>
                <w:szCs w:val="21"/>
              </w:rPr>
              <w:t>Anticipated Period of Performance (months)</w:t>
            </w:r>
          </w:p>
        </w:tc>
      </w:tr>
      <w:tr w:rsidR="00BF65D1" w14:paraId="0D8C469A" w14:textId="77777777" w:rsidTr="00E67EF3">
        <w:tc>
          <w:tcPr>
            <w:tcW w:w="959" w:type="dxa"/>
            <w:tcBorders>
              <w:top w:val="single" w:sz="4" w:space="0" w:color="auto"/>
              <w:left w:val="single" w:sz="4" w:space="0" w:color="auto"/>
              <w:bottom w:val="single" w:sz="4" w:space="0" w:color="auto"/>
              <w:right w:val="single" w:sz="4" w:space="0" w:color="auto"/>
            </w:tcBorders>
          </w:tcPr>
          <w:p w14:paraId="09EE4CF8" w14:textId="2829EDA1" w:rsidR="004D6FFC" w:rsidRPr="002D1DC8" w:rsidRDefault="00483F9D" w:rsidP="00E67EF3">
            <w:pPr>
              <w:pStyle w:val="CommentText"/>
              <w:rPr>
                <w:sz w:val="21"/>
                <w:szCs w:val="21"/>
              </w:rPr>
            </w:pPr>
            <w:r>
              <w:rPr>
                <w:sz w:val="21"/>
                <w:szCs w:val="21"/>
              </w:rPr>
              <w:t>1</w:t>
            </w:r>
          </w:p>
        </w:tc>
        <w:tc>
          <w:tcPr>
            <w:tcW w:w="2095" w:type="dxa"/>
            <w:tcBorders>
              <w:top w:val="single" w:sz="4" w:space="0" w:color="auto"/>
              <w:left w:val="single" w:sz="4" w:space="0" w:color="auto"/>
              <w:bottom w:val="single" w:sz="4" w:space="0" w:color="auto"/>
              <w:right w:val="single" w:sz="4" w:space="0" w:color="auto"/>
            </w:tcBorders>
          </w:tcPr>
          <w:p w14:paraId="160B7228" w14:textId="64B69B1B" w:rsidR="004D6FFC" w:rsidRPr="002D1DC8" w:rsidRDefault="00483F9D" w:rsidP="00E67EF3">
            <w:pPr>
              <w:rPr>
                <w:sz w:val="21"/>
                <w:szCs w:val="21"/>
              </w:rPr>
            </w:pPr>
            <w:r>
              <w:rPr>
                <w:sz w:val="21"/>
                <w:szCs w:val="21"/>
              </w:rPr>
              <w:t>Wind and Solar Grid Services Design, Implementation, and Demonstration</w:t>
            </w:r>
          </w:p>
        </w:tc>
        <w:tc>
          <w:tcPr>
            <w:tcW w:w="1228" w:type="dxa"/>
            <w:tcBorders>
              <w:top w:val="single" w:sz="4" w:space="0" w:color="auto"/>
              <w:left w:val="single" w:sz="4" w:space="0" w:color="auto"/>
              <w:bottom w:val="single" w:sz="4" w:space="0" w:color="auto"/>
              <w:right w:val="single" w:sz="4" w:space="0" w:color="auto"/>
            </w:tcBorders>
          </w:tcPr>
          <w:p w14:paraId="50271483" w14:textId="15BBE90B" w:rsidR="004D6FFC" w:rsidRPr="002D1DC8" w:rsidRDefault="00483F9D" w:rsidP="00E67EF3">
            <w:pPr>
              <w:rPr>
                <w:rFonts w:eastAsia="Times New Roman" w:cs="Times New Roman"/>
                <w:sz w:val="21"/>
                <w:szCs w:val="21"/>
              </w:rPr>
            </w:pPr>
            <w:r>
              <w:rPr>
                <w:rFonts w:eastAsia="Times New Roman" w:cs="Times New Roman"/>
                <w:sz w:val="21"/>
                <w:szCs w:val="21"/>
              </w:rPr>
              <w:t>3</w:t>
            </w:r>
            <w:r>
              <w:rPr>
                <w:sz w:val="21"/>
                <w:szCs w:val="21"/>
              </w:rPr>
              <w:t>-5</w:t>
            </w:r>
          </w:p>
        </w:tc>
        <w:tc>
          <w:tcPr>
            <w:tcW w:w="1298" w:type="dxa"/>
            <w:tcBorders>
              <w:top w:val="single" w:sz="4" w:space="0" w:color="auto"/>
              <w:left w:val="single" w:sz="4" w:space="0" w:color="auto"/>
              <w:bottom w:val="single" w:sz="4" w:space="0" w:color="auto"/>
              <w:right w:val="single" w:sz="4" w:space="0" w:color="auto"/>
            </w:tcBorders>
          </w:tcPr>
          <w:p w14:paraId="064AD756" w14:textId="406F19DF" w:rsidR="004D6FFC" w:rsidRDefault="00483F9D" w:rsidP="00E67EF3">
            <w:pPr>
              <w:rPr>
                <w:sz w:val="21"/>
                <w:szCs w:val="21"/>
              </w:rPr>
            </w:pPr>
            <w:r>
              <w:rPr>
                <w:sz w:val="21"/>
                <w:szCs w:val="21"/>
              </w:rPr>
              <w:t>$3,</w:t>
            </w:r>
            <w:r w:rsidR="008F41CE">
              <w:rPr>
                <w:sz w:val="21"/>
                <w:szCs w:val="21"/>
              </w:rPr>
              <w:t>0</w:t>
            </w:r>
            <w:r>
              <w:rPr>
                <w:sz w:val="21"/>
                <w:szCs w:val="21"/>
              </w:rPr>
              <w:t>00,000</w:t>
            </w:r>
          </w:p>
        </w:tc>
        <w:tc>
          <w:tcPr>
            <w:tcW w:w="1439" w:type="dxa"/>
            <w:tcBorders>
              <w:top w:val="single" w:sz="4" w:space="0" w:color="auto"/>
              <w:left w:val="single" w:sz="4" w:space="0" w:color="auto"/>
              <w:bottom w:val="single" w:sz="4" w:space="0" w:color="auto"/>
              <w:right w:val="single" w:sz="4" w:space="0" w:color="auto"/>
            </w:tcBorders>
          </w:tcPr>
          <w:p w14:paraId="0033A762" w14:textId="1BDAFC58" w:rsidR="004D6FFC" w:rsidRDefault="00483F9D" w:rsidP="00E67EF3">
            <w:pPr>
              <w:rPr>
                <w:sz w:val="21"/>
                <w:szCs w:val="21"/>
              </w:rPr>
            </w:pPr>
            <w:r>
              <w:rPr>
                <w:sz w:val="21"/>
                <w:szCs w:val="21"/>
              </w:rPr>
              <w:t>$</w:t>
            </w:r>
            <w:r w:rsidR="008F41CE">
              <w:rPr>
                <w:sz w:val="21"/>
                <w:szCs w:val="21"/>
              </w:rPr>
              <w:t>6</w:t>
            </w:r>
            <w:r>
              <w:rPr>
                <w:sz w:val="21"/>
                <w:szCs w:val="21"/>
              </w:rPr>
              <w:t>,</w:t>
            </w:r>
            <w:r w:rsidR="008F41CE">
              <w:rPr>
                <w:sz w:val="21"/>
                <w:szCs w:val="21"/>
              </w:rPr>
              <w:t>0</w:t>
            </w:r>
            <w:r>
              <w:rPr>
                <w:sz w:val="21"/>
                <w:szCs w:val="21"/>
              </w:rPr>
              <w:t>00,000</w:t>
            </w:r>
          </w:p>
        </w:tc>
        <w:tc>
          <w:tcPr>
            <w:tcW w:w="1358" w:type="dxa"/>
            <w:tcBorders>
              <w:top w:val="single" w:sz="4" w:space="0" w:color="auto"/>
              <w:left w:val="single" w:sz="4" w:space="0" w:color="auto"/>
              <w:bottom w:val="single" w:sz="4" w:space="0" w:color="auto"/>
              <w:right w:val="single" w:sz="4" w:space="0" w:color="auto"/>
            </w:tcBorders>
          </w:tcPr>
          <w:p w14:paraId="58A9035D" w14:textId="477F981C" w:rsidR="004D6FFC" w:rsidRDefault="00483F9D" w:rsidP="00E67EF3">
            <w:pPr>
              <w:rPr>
                <w:sz w:val="21"/>
                <w:szCs w:val="21"/>
              </w:rPr>
            </w:pPr>
            <w:r>
              <w:rPr>
                <w:sz w:val="21"/>
                <w:szCs w:val="21"/>
              </w:rPr>
              <w:t>$17,000,000</w:t>
            </w:r>
          </w:p>
        </w:tc>
        <w:tc>
          <w:tcPr>
            <w:tcW w:w="1343" w:type="dxa"/>
            <w:tcBorders>
              <w:top w:val="single" w:sz="4" w:space="0" w:color="auto"/>
              <w:left w:val="single" w:sz="4" w:space="0" w:color="auto"/>
              <w:bottom w:val="single" w:sz="4" w:space="0" w:color="auto"/>
              <w:right w:val="single" w:sz="4" w:space="0" w:color="auto"/>
            </w:tcBorders>
          </w:tcPr>
          <w:p w14:paraId="66F2D96E" w14:textId="3702720A" w:rsidR="004D6FFC" w:rsidRDefault="00483F9D" w:rsidP="00E67EF3">
            <w:pPr>
              <w:rPr>
                <w:sz w:val="21"/>
                <w:szCs w:val="21"/>
              </w:rPr>
            </w:pPr>
            <w:r>
              <w:rPr>
                <w:sz w:val="21"/>
                <w:szCs w:val="21"/>
              </w:rPr>
              <w:t>36</w:t>
            </w:r>
          </w:p>
        </w:tc>
      </w:tr>
      <w:tr w:rsidR="00483F9D" w14:paraId="0230EBDE" w14:textId="77777777" w:rsidTr="00E67EF3">
        <w:tc>
          <w:tcPr>
            <w:tcW w:w="959" w:type="dxa"/>
            <w:tcBorders>
              <w:top w:val="single" w:sz="4" w:space="0" w:color="auto"/>
              <w:left w:val="single" w:sz="4" w:space="0" w:color="auto"/>
              <w:bottom w:val="single" w:sz="4" w:space="0" w:color="auto"/>
              <w:right w:val="single" w:sz="4" w:space="0" w:color="auto"/>
            </w:tcBorders>
          </w:tcPr>
          <w:p w14:paraId="35CF7B45" w14:textId="29D5558D" w:rsidR="00483F9D" w:rsidRDefault="00483F9D" w:rsidP="00E67EF3">
            <w:pPr>
              <w:pStyle w:val="CommentText"/>
              <w:rPr>
                <w:sz w:val="21"/>
                <w:szCs w:val="21"/>
              </w:rPr>
            </w:pPr>
            <w:r>
              <w:rPr>
                <w:sz w:val="21"/>
                <w:szCs w:val="21"/>
              </w:rPr>
              <w:t>2</w:t>
            </w:r>
          </w:p>
        </w:tc>
        <w:tc>
          <w:tcPr>
            <w:tcW w:w="2095" w:type="dxa"/>
            <w:tcBorders>
              <w:top w:val="single" w:sz="4" w:space="0" w:color="auto"/>
              <w:left w:val="single" w:sz="4" w:space="0" w:color="auto"/>
              <w:bottom w:val="single" w:sz="4" w:space="0" w:color="auto"/>
              <w:right w:val="single" w:sz="4" w:space="0" w:color="auto"/>
            </w:tcBorders>
          </w:tcPr>
          <w:p w14:paraId="73B8CC1F" w14:textId="070E8CEC" w:rsidR="00483F9D" w:rsidRDefault="00483F9D" w:rsidP="00E67EF3">
            <w:pPr>
              <w:rPr>
                <w:sz w:val="21"/>
                <w:szCs w:val="21"/>
              </w:rPr>
            </w:pPr>
            <w:r>
              <w:rPr>
                <w:sz w:val="21"/>
                <w:szCs w:val="21"/>
              </w:rPr>
              <w:t>Protection of Bulk Power Systems with High Contribution from Inverter-Based Resources</w:t>
            </w:r>
          </w:p>
        </w:tc>
        <w:tc>
          <w:tcPr>
            <w:tcW w:w="1228" w:type="dxa"/>
            <w:tcBorders>
              <w:top w:val="single" w:sz="4" w:space="0" w:color="auto"/>
              <w:left w:val="single" w:sz="4" w:space="0" w:color="auto"/>
              <w:bottom w:val="single" w:sz="4" w:space="0" w:color="auto"/>
              <w:right w:val="single" w:sz="4" w:space="0" w:color="auto"/>
            </w:tcBorders>
          </w:tcPr>
          <w:p w14:paraId="137BBB19" w14:textId="77FBAA20" w:rsidR="00483F9D" w:rsidRDefault="00483F9D" w:rsidP="00E67EF3">
            <w:pPr>
              <w:rPr>
                <w:sz w:val="21"/>
                <w:szCs w:val="21"/>
              </w:rPr>
            </w:pPr>
            <w:r>
              <w:rPr>
                <w:sz w:val="21"/>
                <w:szCs w:val="21"/>
              </w:rPr>
              <w:t>3-4</w:t>
            </w:r>
          </w:p>
        </w:tc>
        <w:tc>
          <w:tcPr>
            <w:tcW w:w="1298" w:type="dxa"/>
            <w:tcBorders>
              <w:top w:val="single" w:sz="4" w:space="0" w:color="auto"/>
              <w:left w:val="single" w:sz="4" w:space="0" w:color="auto"/>
              <w:bottom w:val="single" w:sz="4" w:space="0" w:color="auto"/>
              <w:right w:val="single" w:sz="4" w:space="0" w:color="auto"/>
            </w:tcBorders>
          </w:tcPr>
          <w:p w14:paraId="0CC56F0C" w14:textId="74B49CB4" w:rsidR="00483F9D" w:rsidRDefault="00483F9D" w:rsidP="00E67EF3">
            <w:pPr>
              <w:rPr>
                <w:sz w:val="21"/>
                <w:szCs w:val="21"/>
              </w:rPr>
            </w:pPr>
            <w:r>
              <w:rPr>
                <w:sz w:val="21"/>
                <w:szCs w:val="21"/>
              </w:rPr>
              <w:t>$2,</w:t>
            </w:r>
            <w:r w:rsidR="008F41CE">
              <w:rPr>
                <w:sz w:val="21"/>
                <w:szCs w:val="21"/>
              </w:rPr>
              <w:t>00</w:t>
            </w:r>
            <w:r>
              <w:rPr>
                <w:sz w:val="21"/>
                <w:szCs w:val="21"/>
              </w:rPr>
              <w:t>0,000</w:t>
            </w:r>
          </w:p>
        </w:tc>
        <w:tc>
          <w:tcPr>
            <w:tcW w:w="1439" w:type="dxa"/>
            <w:tcBorders>
              <w:top w:val="single" w:sz="4" w:space="0" w:color="auto"/>
              <w:left w:val="single" w:sz="4" w:space="0" w:color="auto"/>
              <w:bottom w:val="single" w:sz="4" w:space="0" w:color="auto"/>
              <w:right w:val="single" w:sz="4" w:space="0" w:color="auto"/>
            </w:tcBorders>
          </w:tcPr>
          <w:p w14:paraId="0D41E559" w14:textId="1912432C" w:rsidR="00483F9D" w:rsidRDefault="00483F9D" w:rsidP="00E67EF3">
            <w:pPr>
              <w:rPr>
                <w:sz w:val="21"/>
                <w:szCs w:val="21"/>
              </w:rPr>
            </w:pPr>
            <w:r>
              <w:rPr>
                <w:sz w:val="21"/>
                <w:szCs w:val="21"/>
              </w:rPr>
              <w:t>$3,000,000</w:t>
            </w:r>
          </w:p>
        </w:tc>
        <w:tc>
          <w:tcPr>
            <w:tcW w:w="1358" w:type="dxa"/>
            <w:tcBorders>
              <w:top w:val="single" w:sz="4" w:space="0" w:color="auto"/>
              <w:left w:val="single" w:sz="4" w:space="0" w:color="auto"/>
              <w:bottom w:val="single" w:sz="4" w:space="0" w:color="auto"/>
              <w:right w:val="single" w:sz="4" w:space="0" w:color="auto"/>
            </w:tcBorders>
          </w:tcPr>
          <w:p w14:paraId="34082D79" w14:textId="128FCCF6" w:rsidR="00483F9D" w:rsidRDefault="00483F9D" w:rsidP="00E67EF3">
            <w:pPr>
              <w:rPr>
                <w:sz w:val="21"/>
                <w:szCs w:val="21"/>
              </w:rPr>
            </w:pPr>
            <w:r>
              <w:rPr>
                <w:sz w:val="21"/>
                <w:szCs w:val="21"/>
              </w:rPr>
              <w:t>$9,000,000</w:t>
            </w:r>
          </w:p>
        </w:tc>
        <w:tc>
          <w:tcPr>
            <w:tcW w:w="1343" w:type="dxa"/>
            <w:tcBorders>
              <w:top w:val="single" w:sz="4" w:space="0" w:color="auto"/>
              <w:left w:val="single" w:sz="4" w:space="0" w:color="auto"/>
              <w:bottom w:val="single" w:sz="4" w:space="0" w:color="auto"/>
              <w:right w:val="single" w:sz="4" w:space="0" w:color="auto"/>
            </w:tcBorders>
          </w:tcPr>
          <w:p w14:paraId="38C53FE4" w14:textId="46B5DBCA" w:rsidR="00483F9D" w:rsidRDefault="00483F9D" w:rsidP="00E67EF3">
            <w:pPr>
              <w:rPr>
                <w:sz w:val="21"/>
                <w:szCs w:val="21"/>
              </w:rPr>
            </w:pPr>
            <w:r>
              <w:rPr>
                <w:sz w:val="21"/>
                <w:szCs w:val="21"/>
              </w:rPr>
              <w:t>36</w:t>
            </w:r>
          </w:p>
        </w:tc>
      </w:tr>
    </w:tbl>
    <w:p w14:paraId="7E6CFA7B" w14:textId="77777777" w:rsidR="00153549" w:rsidRDefault="00153549" w:rsidP="007A26FB">
      <w:pPr>
        <w:ind w:left="1440"/>
      </w:pPr>
    </w:p>
    <w:p w14:paraId="48310A0B" w14:textId="0232BEB5" w:rsidR="00AC4722" w:rsidRDefault="004E672B" w:rsidP="007A26FB">
      <w:pPr>
        <w:ind w:left="1440"/>
      </w:pPr>
      <w:r>
        <w:t>EERE may establish more than one budget period for each award and fund only the initial budget period(s). Funding for all budget periods, including the initial budget period, is not guaranteed. Before the expiration of the initial budget period(s), EERE may perform a down-select among different recipients and provide additional funding only to a subset of recipients.</w:t>
      </w:r>
    </w:p>
    <w:p w14:paraId="1C5B3339" w14:textId="77777777" w:rsidR="00AC4722" w:rsidRDefault="00AC4722" w:rsidP="00AC4722"/>
    <w:p w14:paraId="71C8D969" w14:textId="3BAA62D1" w:rsidR="00AC4722" w:rsidRDefault="004E672B" w:rsidP="00F836F4">
      <w:pPr>
        <w:pStyle w:val="FOAHeading3"/>
        <w:numPr>
          <w:ilvl w:val="0"/>
          <w:numId w:val="40"/>
        </w:numPr>
        <w:ind w:left="1440"/>
        <w:outlineLvl w:val="2"/>
      </w:pPr>
      <w:bookmarkStart w:id="65" w:name="_Toc519602310"/>
      <w:bookmarkStart w:id="66" w:name="_Toc109921657"/>
      <w:r>
        <w:t>Period of Performance</w:t>
      </w:r>
      <w:bookmarkEnd w:id="65"/>
      <w:bookmarkEnd w:id="66"/>
    </w:p>
    <w:p w14:paraId="41498AD4" w14:textId="45B0A635" w:rsidR="00AC4722" w:rsidRDefault="004E672B" w:rsidP="00AC4722">
      <w:pPr>
        <w:ind w:left="1440"/>
      </w:pPr>
      <w:r>
        <w:t>EERE anticipates making awards that will run</w:t>
      </w:r>
      <w:r w:rsidR="0060384B">
        <w:t xml:space="preserve"> </w:t>
      </w:r>
      <w:r w:rsidR="00AD6422">
        <w:t>for</w:t>
      </w:r>
      <w:r w:rsidRPr="009A097E">
        <w:t xml:space="preserve"> </w:t>
      </w:r>
      <w:r w:rsidR="009F3815">
        <w:t>36</w:t>
      </w:r>
      <w:r>
        <w:t xml:space="preserve"> </w:t>
      </w:r>
      <w:r w:rsidR="004B660F">
        <w:t xml:space="preserve">months </w:t>
      </w:r>
      <w:r>
        <w:t xml:space="preserve">in length, comprised of one or more budget periods. Project continuation will be contingent </w:t>
      </w:r>
      <w:r w:rsidR="001E08A5">
        <w:t>upon</w:t>
      </w:r>
      <w:r w:rsidR="001225BD" w:rsidRPr="001225BD">
        <w:t xml:space="preserve"> </w:t>
      </w:r>
      <w:r w:rsidR="001225BD">
        <w:t>several elements, including</w:t>
      </w:r>
      <w:r w:rsidR="001E08A5">
        <w:t xml:space="preserve"> </w:t>
      </w:r>
      <w:r>
        <w:t xml:space="preserve">satisfactory performance and Go/No-Go decision review. For a complete list, see </w:t>
      </w:r>
      <w:r w:rsidRPr="009F3815">
        <w:t xml:space="preserve">Section </w:t>
      </w:r>
      <w:proofErr w:type="spellStart"/>
      <w:r w:rsidRPr="009F3815">
        <w:t>VI.</w:t>
      </w:r>
      <w:proofErr w:type="gramStart"/>
      <w:r w:rsidRPr="009F3815">
        <w:t>B.xi</w:t>
      </w:r>
      <w:r w:rsidR="009F3815" w:rsidRPr="009F3815">
        <w:t>ii</w:t>
      </w:r>
      <w:proofErr w:type="spellEnd"/>
      <w:r>
        <w:t>.</w:t>
      </w:r>
      <w:proofErr w:type="gramEnd"/>
      <w:r>
        <w:t xml:space="preserve"> At the Go/No-Go decision points, EERE will evaluate project performance, project schedule adherence, the extent milestone objectives are met, compliance with reporting requirements, and overall contribution to the program goals and objectives. As a result of this evaluation, EERE may, at its discretion, authorize the following actions: (1) continue to fund the project, contingent upon the availability of funds appropriated by Congress for the purpose of this program and the availability of future-year budget authority; (2) recommend redirection of work under the project; (3) place a hold on federal funding for the project, pending further supporting data or funding; or (4) discontinue funding the project because of insufficient progress, change in strategic direction, or lack of funding.</w:t>
      </w:r>
    </w:p>
    <w:p w14:paraId="7944285B" w14:textId="77777777" w:rsidR="00AC4722" w:rsidRDefault="00AC4722" w:rsidP="00AC4722">
      <w:pPr>
        <w:ind w:left="1440"/>
      </w:pPr>
    </w:p>
    <w:p w14:paraId="46CD171B" w14:textId="0E101339" w:rsidR="00AC4722" w:rsidRDefault="004E672B" w:rsidP="00F836F4">
      <w:pPr>
        <w:pStyle w:val="FOAHeading3"/>
        <w:numPr>
          <w:ilvl w:val="0"/>
          <w:numId w:val="40"/>
        </w:numPr>
        <w:ind w:left="1440"/>
        <w:outlineLvl w:val="2"/>
      </w:pPr>
      <w:bookmarkStart w:id="67" w:name="_Toc519602311"/>
      <w:bookmarkStart w:id="68" w:name="_Toc109921658"/>
      <w:r>
        <w:t>New Applications Only</w:t>
      </w:r>
      <w:bookmarkEnd w:id="67"/>
      <w:bookmarkEnd w:id="68"/>
    </w:p>
    <w:p w14:paraId="44FC3DF3" w14:textId="77777777" w:rsidR="00AC4722" w:rsidRDefault="004E672B" w:rsidP="00AC4722">
      <w:pPr>
        <w:ind w:left="1440"/>
      </w:pPr>
      <w:r>
        <w:t>EERE will accept only new applications under this FOA. EERE will not consider applications for renewals of existing EERE-funded awards through this FOA.</w:t>
      </w:r>
    </w:p>
    <w:p w14:paraId="1BE176A3" w14:textId="77777777" w:rsidR="00AC4722" w:rsidRDefault="00AC4722" w:rsidP="00AC4722">
      <w:pPr>
        <w:ind w:left="1440"/>
      </w:pPr>
    </w:p>
    <w:p w14:paraId="3390F926" w14:textId="127CA4F3" w:rsidR="00AC4722" w:rsidRDefault="004E672B" w:rsidP="0017595D">
      <w:pPr>
        <w:pStyle w:val="FOAHeading2"/>
      </w:pPr>
      <w:bookmarkStart w:id="69" w:name="_Toc519602312"/>
      <w:bookmarkStart w:id="70" w:name="_Toc519602228"/>
      <w:bookmarkStart w:id="71" w:name="_Toc517798896"/>
      <w:bookmarkStart w:id="72" w:name="_Toc109921659"/>
      <w:r>
        <w:t>EERE Funding Agreements</w:t>
      </w:r>
      <w:bookmarkEnd w:id="69"/>
      <w:bookmarkEnd w:id="70"/>
      <w:bookmarkEnd w:id="71"/>
      <w:bookmarkEnd w:id="72"/>
    </w:p>
    <w:p w14:paraId="5BB2E78B" w14:textId="6F2F53A4" w:rsidR="00AC4722" w:rsidRDefault="004E672B" w:rsidP="004D63BF">
      <w:pPr>
        <w:ind w:left="1440"/>
      </w:pPr>
      <w:r>
        <w:t xml:space="preserve">Through cooperative agreements and other similar agreements, EERE provides financial and other support to projects that have the potential to realize the FOA objectives. EERE does not use such agreements to acquire property or services for the direct benefit or use of the United States </w:t>
      </w:r>
      <w:r w:rsidR="00D70512">
        <w:t>g</w:t>
      </w:r>
      <w:r>
        <w:t>overnment.</w:t>
      </w:r>
    </w:p>
    <w:p w14:paraId="796996EF" w14:textId="12F8DB7C" w:rsidR="00AC4722" w:rsidRDefault="00AC4722" w:rsidP="00AC4722"/>
    <w:p w14:paraId="62D04E0D" w14:textId="169BC0A6" w:rsidR="00AC4722" w:rsidRDefault="004E672B" w:rsidP="00F836F4">
      <w:pPr>
        <w:pStyle w:val="FOAHeading3"/>
        <w:numPr>
          <w:ilvl w:val="0"/>
          <w:numId w:val="41"/>
        </w:numPr>
        <w:ind w:left="1440"/>
        <w:outlineLvl w:val="2"/>
      </w:pPr>
      <w:bookmarkStart w:id="73" w:name="_Toc427134132"/>
      <w:bookmarkStart w:id="74" w:name="_Toc517798897"/>
      <w:bookmarkStart w:id="75" w:name="_Toc519602313"/>
      <w:bookmarkStart w:id="76" w:name="_Toc109921660"/>
      <w:r>
        <w:t>Cooperative Agreements</w:t>
      </w:r>
      <w:bookmarkEnd w:id="73"/>
      <w:bookmarkEnd w:id="74"/>
      <w:bookmarkEnd w:id="75"/>
      <w:bookmarkEnd w:id="76"/>
    </w:p>
    <w:p w14:paraId="6F56F04D" w14:textId="77777777" w:rsidR="004E2150" w:rsidRDefault="004E672B" w:rsidP="004E2150">
      <w:pPr>
        <w:ind w:left="1440"/>
      </w:pPr>
      <w:r>
        <w:t>EERE generally uses cooperative agreements to provide financial and other support to prime recipients.</w:t>
      </w:r>
    </w:p>
    <w:p w14:paraId="754DA365" w14:textId="77777777" w:rsidR="004E2150" w:rsidRDefault="004E2150" w:rsidP="004E2150">
      <w:pPr>
        <w:ind w:left="1440"/>
      </w:pPr>
    </w:p>
    <w:p w14:paraId="3E824969" w14:textId="77777777" w:rsidR="004E2150" w:rsidRDefault="004E672B" w:rsidP="004E2150">
      <w:pPr>
        <w:ind w:left="1440"/>
      </w:pPr>
      <w:r>
        <w:t>Through cooperative agreements, EERE provides financial or other support to accomplish a public purpose of support or stimulation authorized by federal statute. Under cooperative agreements, the government and prime recipients share responsibility for the direction of projects.</w:t>
      </w:r>
    </w:p>
    <w:p w14:paraId="27471464" w14:textId="77777777" w:rsidR="004E2150" w:rsidRDefault="004E2150" w:rsidP="004E2150">
      <w:pPr>
        <w:ind w:left="1440"/>
      </w:pPr>
    </w:p>
    <w:p w14:paraId="0C9D5F39" w14:textId="07779E19" w:rsidR="00AC4722" w:rsidRDefault="004E672B" w:rsidP="004E2150">
      <w:pPr>
        <w:ind w:left="1440"/>
      </w:pPr>
      <w:r>
        <w:t xml:space="preserve">EERE has substantial involvement in all projects funded via cooperative agreement. See </w:t>
      </w:r>
      <w:r w:rsidRPr="009F3815">
        <w:t xml:space="preserve">Section </w:t>
      </w:r>
      <w:proofErr w:type="spellStart"/>
      <w:r w:rsidRPr="009F3815">
        <w:t>VI.B.ix</w:t>
      </w:r>
      <w:proofErr w:type="spellEnd"/>
      <w:r>
        <w:t xml:space="preserve"> of the FOA for more information on what substantial involvement may involve.</w:t>
      </w:r>
    </w:p>
    <w:p w14:paraId="0C5AD425" w14:textId="77777777" w:rsidR="00AC4722" w:rsidRDefault="00AC4722" w:rsidP="00EE3DC7">
      <w:pPr>
        <w:ind w:left="360"/>
      </w:pPr>
    </w:p>
    <w:p w14:paraId="13893908" w14:textId="0B33A8EB" w:rsidR="00AC4722" w:rsidRDefault="004E672B" w:rsidP="00F836F4">
      <w:pPr>
        <w:pStyle w:val="FOAHeading3"/>
        <w:numPr>
          <w:ilvl w:val="0"/>
          <w:numId w:val="41"/>
        </w:numPr>
        <w:ind w:left="1440"/>
        <w:outlineLvl w:val="2"/>
      </w:pPr>
      <w:bookmarkStart w:id="77" w:name="_Toc519602314"/>
      <w:bookmarkStart w:id="78" w:name="_Toc517798898"/>
      <w:bookmarkStart w:id="79" w:name="_Toc109921661"/>
      <w:r>
        <w:t>Funding Agreements with Federally Funded Research and Development Center (FFRDCs</w:t>
      </w:r>
      <w:bookmarkEnd w:id="77"/>
      <w:bookmarkEnd w:id="78"/>
      <w:r>
        <w:t>)</w:t>
      </w:r>
      <w:bookmarkEnd w:id="79"/>
      <w:r>
        <w:t xml:space="preserve"> </w:t>
      </w:r>
    </w:p>
    <w:p w14:paraId="2B07FCD2" w14:textId="0F11A6EB" w:rsidR="00AC4722" w:rsidRDefault="004E672B" w:rsidP="00E5699E">
      <w:pPr>
        <w:ind w:left="1440"/>
      </w:pPr>
      <w:r>
        <w:t>In most cases, FFRDCs are funded indepen</w:t>
      </w:r>
      <w:r w:rsidR="00591983">
        <w:t>dently of the remainder of the project t</w:t>
      </w:r>
      <w:r>
        <w:t>eam. The FFRDC then executes a</w:t>
      </w:r>
      <w:r w:rsidR="00591983">
        <w:t>n agreement with any non-FFRDC p</w:t>
      </w:r>
      <w:r>
        <w:t xml:space="preserve">roject </w:t>
      </w:r>
      <w:r w:rsidR="00591983">
        <w:t>t</w:t>
      </w:r>
      <w:r>
        <w:t>eam members to arrange work structure, project execution, and any other matters. Regardless of these arrangements, the entity that applied as the prime recipient for the project will remain the prime recipient for the project.</w:t>
      </w:r>
    </w:p>
    <w:p w14:paraId="7F8562EF" w14:textId="1D160108" w:rsidR="00282ECC" w:rsidRDefault="00282ECC" w:rsidP="00E5699E">
      <w:pPr>
        <w:ind w:left="1440"/>
      </w:pPr>
    </w:p>
    <w:p w14:paraId="70324879" w14:textId="77777777" w:rsidR="007C5187" w:rsidRDefault="007C5187" w:rsidP="00E5699E">
      <w:pPr>
        <w:ind w:left="1440"/>
      </w:pPr>
    </w:p>
    <w:p w14:paraId="72B0CBD4" w14:textId="711E5579" w:rsidR="006A24B8" w:rsidRPr="00126FBB" w:rsidRDefault="004E672B" w:rsidP="0017729B">
      <w:pPr>
        <w:pStyle w:val="FOAHeading1"/>
      </w:pPr>
      <w:bookmarkStart w:id="80" w:name="_Toc109921662"/>
      <w:r w:rsidRPr="00126FBB">
        <w:t>Eligibility Information</w:t>
      </w:r>
      <w:bookmarkEnd w:id="80"/>
    </w:p>
    <w:p w14:paraId="28F56A6C" w14:textId="77777777" w:rsidR="00FC5DC4" w:rsidRDefault="00FC5DC4" w:rsidP="00FC5DC4">
      <w:pPr>
        <w:pStyle w:val="FOATemplateBody"/>
        <w:ind w:left="1440"/>
        <w:rPr>
          <w:rFonts w:asciiTheme="minorHAnsi" w:hAnsiTheme="minorHAnsi"/>
        </w:rPr>
      </w:pPr>
    </w:p>
    <w:p w14:paraId="038883C6" w14:textId="58C8C333" w:rsidR="006A24B8" w:rsidRPr="009061D6" w:rsidRDefault="004E672B" w:rsidP="00FC5DC4">
      <w:pPr>
        <w:pStyle w:val="FOATemplateBody"/>
        <w:ind w:left="1440"/>
        <w:rPr>
          <w:rFonts w:asciiTheme="minorHAnsi" w:hAnsiTheme="minorHAnsi"/>
        </w:rPr>
      </w:pPr>
      <w:r w:rsidRPr="009061D6">
        <w:rPr>
          <w:rFonts w:asciiTheme="minorHAnsi" w:hAnsiTheme="minorHAnsi"/>
        </w:rPr>
        <w:t xml:space="preserve">To be considered for substantive evaluation, an </w:t>
      </w:r>
      <w:proofErr w:type="gramStart"/>
      <w:r w:rsidRPr="009061D6">
        <w:rPr>
          <w:rFonts w:asciiTheme="minorHAnsi" w:hAnsiTheme="minorHAnsi"/>
        </w:rPr>
        <w:t>applicant‘</w:t>
      </w:r>
      <w:proofErr w:type="gramEnd"/>
      <w:r w:rsidRPr="009061D6">
        <w:rPr>
          <w:rFonts w:asciiTheme="minorHAnsi" w:hAnsiTheme="minorHAnsi"/>
        </w:rPr>
        <w:t xml:space="preserve">s submission must meet the criteria set forth below. If the application does not meet these </w:t>
      </w:r>
      <w:r w:rsidR="003466A8" w:rsidRPr="009061D6">
        <w:rPr>
          <w:rFonts w:asciiTheme="minorHAnsi" w:hAnsiTheme="minorHAnsi"/>
        </w:rPr>
        <w:t xml:space="preserve">eligibility </w:t>
      </w:r>
      <w:r w:rsidRPr="009061D6">
        <w:rPr>
          <w:rFonts w:asciiTheme="minorHAnsi" w:hAnsiTheme="minorHAnsi"/>
        </w:rPr>
        <w:t xml:space="preserve">requirements, it will be considered </w:t>
      </w:r>
      <w:r w:rsidR="003466A8" w:rsidRPr="009061D6">
        <w:rPr>
          <w:rFonts w:asciiTheme="minorHAnsi" w:hAnsiTheme="minorHAnsi"/>
        </w:rPr>
        <w:t>ineligible and</w:t>
      </w:r>
      <w:r w:rsidRPr="009061D6">
        <w:rPr>
          <w:rFonts w:asciiTheme="minorHAnsi" w:hAnsiTheme="minorHAnsi"/>
        </w:rPr>
        <w:t xml:space="preserve"> removed from further evaluation.</w:t>
      </w:r>
      <w:r w:rsidR="001A3502">
        <w:rPr>
          <w:rFonts w:asciiTheme="minorHAnsi" w:hAnsiTheme="minorHAnsi"/>
        </w:rPr>
        <w:t xml:space="preserve"> </w:t>
      </w:r>
    </w:p>
    <w:p w14:paraId="2733EADE" w14:textId="77777777" w:rsidR="006A24B8" w:rsidRDefault="006A24B8" w:rsidP="008858B4">
      <w:pPr>
        <w:pStyle w:val="FOATemplateBody"/>
        <w:rPr>
          <w:rFonts w:asciiTheme="minorHAnsi" w:hAnsiTheme="minorHAnsi"/>
        </w:rPr>
      </w:pPr>
    </w:p>
    <w:p w14:paraId="269733B2" w14:textId="5396FDB4" w:rsidR="006A24B8" w:rsidRDefault="004E672B" w:rsidP="00FC5DC4">
      <w:pPr>
        <w:pStyle w:val="FOAHeading2"/>
      </w:pPr>
      <w:bookmarkStart w:id="81" w:name="_Toc517191916"/>
      <w:bookmarkStart w:id="82" w:name="_Toc517350964"/>
      <w:bookmarkStart w:id="83" w:name="_Toc517771544"/>
      <w:bookmarkStart w:id="84" w:name="_Toc517797763"/>
      <w:bookmarkStart w:id="85" w:name="_Toc517797843"/>
      <w:bookmarkStart w:id="86" w:name="_Toc517797921"/>
      <w:bookmarkStart w:id="87" w:name="_Toc517798036"/>
      <w:bookmarkStart w:id="88" w:name="_Toc517798261"/>
      <w:bookmarkStart w:id="89" w:name="_Toc517798337"/>
      <w:bookmarkStart w:id="90" w:name="_Toc517798902"/>
      <w:bookmarkStart w:id="91" w:name="_Toc517799152"/>
      <w:bookmarkStart w:id="92" w:name="_Toc519602158"/>
      <w:bookmarkStart w:id="93" w:name="_Toc519602230"/>
      <w:bookmarkStart w:id="94" w:name="_Toc519602318"/>
      <w:bookmarkStart w:id="95" w:name="_Toc519602484"/>
      <w:bookmarkStart w:id="96" w:name="_Toc520382593"/>
      <w:bookmarkStart w:id="97" w:name="_Toc520455591"/>
      <w:bookmarkStart w:id="98" w:name="_Toc520455761"/>
      <w:bookmarkStart w:id="99" w:name="Section_III_A"/>
      <w:bookmarkStart w:id="100" w:name="_Toc517798903"/>
      <w:bookmarkStart w:id="101" w:name="_Toc519602231"/>
      <w:bookmarkStart w:id="102" w:name="_Toc519602319"/>
      <w:bookmarkStart w:id="103" w:name="_Toc109921663"/>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A3912">
        <w:t>Eligible Applicants</w:t>
      </w:r>
      <w:bookmarkEnd w:id="100"/>
      <w:bookmarkEnd w:id="101"/>
      <w:bookmarkEnd w:id="102"/>
      <w:bookmarkEnd w:id="103"/>
      <w:r w:rsidR="00853350">
        <w:br/>
      </w:r>
    </w:p>
    <w:p w14:paraId="66A2672A" w14:textId="39F86F4D" w:rsidR="006A24B8" w:rsidRDefault="00FC5DC4" w:rsidP="00F836F4">
      <w:pPr>
        <w:pStyle w:val="FOAHeading3"/>
        <w:numPr>
          <w:ilvl w:val="0"/>
          <w:numId w:val="27"/>
        </w:numPr>
        <w:ind w:left="1440"/>
        <w:outlineLvl w:val="2"/>
      </w:pPr>
      <w:bookmarkStart w:id="104" w:name="_Toc519602322"/>
      <w:bookmarkStart w:id="105" w:name="_Toc109921664"/>
      <w:r>
        <w:t>Domestic</w:t>
      </w:r>
      <w:r w:rsidR="004E672B" w:rsidRPr="00C72CE2">
        <w:t xml:space="preserve"> Entities</w:t>
      </w:r>
      <w:bookmarkEnd w:id="104"/>
      <w:bookmarkEnd w:id="105"/>
    </w:p>
    <w:p w14:paraId="4E0A3A46" w14:textId="77777777" w:rsidR="00FC5DC4" w:rsidRDefault="00FC5DC4" w:rsidP="00FC5DC4">
      <w:pPr>
        <w:ind w:left="1440"/>
        <w:rPr>
          <w:rFonts w:eastAsia="Segoe UI" w:cs="Segoe UI"/>
        </w:rPr>
      </w:pPr>
      <w:r>
        <w:rPr>
          <w:color w:val="000000" w:themeColor="text1"/>
        </w:rPr>
        <w:t xml:space="preserve">The proposed prime recipient and subrecipient(s) must be domestic entities. </w:t>
      </w:r>
      <w:r w:rsidRPr="00A34895">
        <w:rPr>
          <w:rFonts w:eastAsia="Segoe UI" w:cs="Segoe UI"/>
        </w:rPr>
        <w:t>The following types of domestic entities are eligible to participate as a prime recipient or subrecipient of this FOA:</w:t>
      </w:r>
    </w:p>
    <w:p w14:paraId="796A606D" w14:textId="77777777" w:rsidR="00FC5DC4" w:rsidRPr="00A34895" w:rsidRDefault="00FC5DC4" w:rsidP="00FC5DC4">
      <w:pPr>
        <w:ind w:left="1440"/>
        <w:rPr>
          <w:rFonts w:eastAsia="Segoe UI" w:cs="Segoe UI"/>
        </w:rPr>
      </w:pPr>
    </w:p>
    <w:p w14:paraId="01021D01" w14:textId="77777777" w:rsidR="00FC5DC4" w:rsidRPr="00A34895" w:rsidRDefault="00FC5DC4" w:rsidP="00F836F4">
      <w:pPr>
        <w:numPr>
          <w:ilvl w:val="0"/>
          <w:numId w:val="104"/>
        </w:numPr>
        <w:contextualSpacing/>
        <w:rPr>
          <w:rFonts w:eastAsia="Segoe UI" w:cs="Segoe UI"/>
        </w:rPr>
      </w:pPr>
      <w:r w:rsidRPr="00A34895">
        <w:rPr>
          <w:rFonts w:eastAsia="Segoe UI" w:cs="Segoe UI"/>
        </w:rPr>
        <w:t xml:space="preserve">Institutions of higher </w:t>
      </w:r>
      <w:proofErr w:type="gramStart"/>
      <w:r w:rsidRPr="00A34895">
        <w:rPr>
          <w:rFonts w:eastAsia="Segoe UI" w:cs="Segoe UI"/>
        </w:rPr>
        <w:t>education;</w:t>
      </w:r>
      <w:proofErr w:type="gramEnd"/>
      <w:r w:rsidRPr="00A34895">
        <w:rPr>
          <w:rFonts w:eastAsia="Segoe UI" w:cs="Segoe UI"/>
        </w:rPr>
        <w:t xml:space="preserve"> </w:t>
      </w:r>
    </w:p>
    <w:p w14:paraId="491F55F3" w14:textId="77777777" w:rsidR="00FC5DC4" w:rsidRPr="00A34895" w:rsidRDefault="00FC5DC4" w:rsidP="00F836F4">
      <w:pPr>
        <w:numPr>
          <w:ilvl w:val="0"/>
          <w:numId w:val="104"/>
        </w:numPr>
        <w:contextualSpacing/>
        <w:rPr>
          <w:rFonts w:eastAsia="Segoe UI" w:cs="Segoe UI"/>
        </w:rPr>
      </w:pPr>
      <w:r w:rsidRPr="00A34895">
        <w:rPr>
          <w:rFonts w:eastAsia="Segoe UI" w:cs="Segoe UI"/>
        </w:rPr>
        <w:t xml:space="preserve">For-profit </w:t>
      </w:r>
      <w:proofErr w:type="gramStart"/>
      <w:r w:rsidRPr="00A34895">
        <w:rPr>
          <w:rFonts w:eastAsia="Segoe UI" w:cs="Segoe UI"/>
        </w:rPr>
        <w:t>entities;</w:t>
      </w:r>
      <w:proofErr w:type="gramEnd"/>
    </w:p>
    <w:p w14:paraId="52313A06" w14:textId="77777777" w:rsidR="00FC5DC4" w:rsidRPr="00A34895" w:rsidRDefault="00FC5DC4" w:rsidP="00F836F4">
      <w:pPr>
        <w:numPr>
          <w:ilvl w:val="0"/>
          <w:numId w:val="104"/>
        </w:numPr>
        <w:contextualSpacing/>
        <w:rPr>
          <w:rFonts w:eastAsia="Segoe UI" w:cs="Segoe UI"/>
        </w:rPr>
      </w:pPr>
      <w:r w:rsidRPr="00A34895">
        <w:rPr>
          <w:rFonts w:eastAsia="Segoe UI" w:cs="Segoe UI"/>
        </w:rPr>
        <w:t>Non-profit entities; and</w:t>
      </w:r>
    </w:p>
    <w:p w14:paraId="458BC8F4" w14:textId="77777777" w:rsidR="00FC5DC4" w:rsidRPr="00A34895" w:rsidRDefault="00FC5DC4" w:rsidP="00F836F4">
      <w:pPr>
        <w:numPr>
          <w:ilvl w:val="0"/>
          <w:numId w:val="104"/>
        </w:numPr>
        <w:contextualSpacing/>
        <w:rPr>
          <w:rFonts w:eastAsia="Segoe UI" w:cs="Segoe UI"/>
        </w:rPr>
      </w:pPr>
      <w:r w:rsidRPr="00A34895">
        <w:rPr>
          <w:rFonts w:eastAsia="Segoe UI" w:cs="Segoe UI"/>
        </w:rPr>
        <w:t xml:space="preserve">State </w:t>
      </w:r>
      <w:r>
        <w:rPr>
          <w:rFonts w:eastAsia="Segoe UI" w:cs="Segoe UI"/>
        </w:rPr>
        <w:t xml:space="preserve">and </w:t>
      </w:r>
      <w:r w:rsidRPr="00A34895">
        <w:rPr>
          <w:rFonts w:eastAsia="Segoe UI" w:cs="Segoe UI"/>
        </w:rPr>
        <w:t>local</w:t>
      </w:r>
      <w:r>
        <w:rPr>
          <w:rFonts w:eastAsia="Segoe UI" w:cs="Segoe UI"/>
        </w:rPr>
        <w:t xml:space="preserve"> governmental entities</w:t>
      </w:r>
      <w:r w:rsidRPr="00A34895">
        <w:rPr>
          <w:rFonts w:eastAsia="Segoe UI" w:cs="Segoe UI"/>
        </w:rPr>
        <w:t>, and Tribal Nations.</w:t>
      </w:r>
    </w:p>
    <w:p w14:paraId="1EA90B24" w14:textId="77777777" w:rsidR="00FC5DC4" w:rsidRPr="00A34895" w:rsidRDefault="00FC5DC4" w:rsidP="00FC5DC4">
      <w:pPr>
        <w:ind w:left="1440"/>
        <w:rPr>
          <w:rFonts w:eastAsia="Segoe UI" w:cs="Segoe UI"/>
        </w:rPr>
      </w:pPr>
    </w:p>
    <w:p w14:paraId="561D1707" w14:textId="77777777" w:rsidR="00FC5DC4" w:rsidRPr="00A34895" w:rsidRDefault="00FC5DC4" w:rsidP="00FC5DC4">
      <w:pPr>
        <w:ind w:left="1440"/>
        <w:rPr>
          <w:rFonts w:eastAsia="Segoe UI" w:cs="Segoe UI"/>
        </w:rPr>
      </w:pPr>
      <w:r w:rsidRPr="00A34895">
        <w:rPr>
          <w:rFonts w:eastAsia="Segoe UI" w:cs="Segoe UI"/>
        </w:rPr>
        <w:t xml:space="preserve">To qualify as a domestic entity, </w:t>
      </w:r>
      <w:r>
        <w:rPr>
          <w:rFonts w:eastAsia="Segoe UI" w:cs="Segoe UI"/>
        </w:rPr>
        <w:t xml:space="preserve">the entity must be </w:t>
      </w:r>
      <w:r>
        <w:rPr>
          <w:color w:val="000000" w:themeColor="text1"/>
        </w:rPr>
        <w:t xml:space="preserve">organized, </w:t>
      </w:r>
      <w:proofErr w:type="gramStart"/>
      <w:r>
        <w:rPr>
          <w:color w:val="000000" w:themeColor="text1"/>
        </w:rPr>
        <w:t>chartered</w:t>
      </w:r>
      <w:proofErr w:type="gramEnd"/>
      <w:r>
        <w:rPr>
          <w:color w:val="000000" w:themeColor="text1"/>
        </w:rPr>
        <w:t xml:space="preserve"> or </w:t>
      </w:r>
      <w:r w:rsidRPr="00133B3C">
        <w:rPr>
          <w:color w:val="000000" w:themeColor="text1"/>
        </w:rPr>
        <w:t xml:space="preserve">incorporated (or otherwise formed) under the laws of a particular </w:t>
      </w:r>
      <w:r>
        <w:rPr>
          <w:color w:val="000000" w:themeColor="text1"/>
        </w:rPr>
        <w:t>s</w:t>
      </w:r>
      <w:r w:rsidRPr="00133B3C">
        <w:rPr>
          <w:color w:val="000000" w:themeColor="text1"/>
        </w:rPr>
        <w:t>tate or territory of the United States</w:t>
      </w:r>
      <w:r>
        <w:rPr>
          <w:rFonts w:eastAsia="Segoe UI" w:cs="Segoe UI"/>
        </w:rPr>
        <w:t xml:space="preserve">; have </w:t>
      </w:r>
      <w:r w:rsidRPr="00A34895">
        <w:rPr>
          <w:rFonts w:eastAsia="Segoe UI" w:cs="Segoe UI"/>
        </w:rPr>
        <w:t xml:space="preserve">majority domestic ownership </w:t>
      </w:r>
      <w:r>
        <w:rPr>
          <w:rFonts w:eastAsia="Segoe UI" w:cs="Segoe UI"/>
        </w:rPr>
        <w:t>and</w:t>
      </w:r>
      <w:r w:rsidRPr="00A34895">
        <w:rPr>
          <w:rFonts w:eastAsia="Segoe UI" w:cs="Segoe UI"/>
        </w:rPr>
        <w:t xml:space="preserve"> control</w:t>
      </w:r>
      <w:r>
        <w:rPr>
          <w:rFonts w:eastAsia="Segoe UI" w:cs="Segoe UI"/>
        </w:rPr>
        <w:t>;</w:t>
      </w:r>
      <w:r w:rsidRPr="00A34895">
        <w:rPr>
          <w:rFonts w:eastAsia="Segoe UI" w:cs="Segoe UI"/>
        </w:rPr>
        <w:t xml:space="preserve"> and have a physical place of business in the United States.</w:t>
      </w:r>
      <w:r w:rsidRPr="00A34895" w:rsidDel="007709F7">
        <w:rPr>
          <w:rFonts w:eastAsia="Segoe UI" w:cs="Segoe UI"/>
        </w:rPr>
        <w:t xml:space="preserve"> </w:t>
      </w:r>
    </w:p>
    <w:p w14:paraId="3509552A" w14:textId="77777777" w:rsidR="00FC5DC4" w:rsidRPr="00133B3C" w:rsidRDefault="00FC5DC4" w:rsidP="00FC5DC4">
      <w:pPr>
        <w:ind w:left="1440"/>
        <w:rPr>
          <w:color w:val="000000" w:themeColor="text1"/>
        </w:rPr>
      </w:pPr>
    </w:p>
    <w:p w14:paraId="4214FC22" w14:textId="77777777" w:rsidR="00FC5DC4" w:rsidRPr="00133B3C" w:rsidRDefault="00FC5DC4" w:rsidP="00FC5DC4">
      <w:pPr>
        <w:ind w:left="1440"/>
        <w:rPr>
          <w:color w:val="000000" w:themeColor="text1"/>
        </w:rPr>
      </w:pPr>
      <w:r w:rsidRPr="00133B3C">
        <w:rPr>
          <w:color w:val="000000" w:themeColor="text1"/>
        </w:rPr>
        <w:t xml:space="preserve">DOE/NNSA FFRDCs are eligible to apply </w:t>
      </w:r>
      <w:r w:rsidRPr="003F7A1C">
        <w:t>for funding as a prime recipient or subrecipient.</w:t>
      </w:r>
    </w:p>
    <w:p w14:paraId="3A196FF4" w14:textId="77777777" w:rsidR="00FC5DC4" w:rsidRDefault="00FC5DC4" w:rsidP="00FC5DC4">
      <w:pPr>
        <w:ind w:left="1440"/>
        <w:rPr>
          <w:color w:val="000000" w:themeColor="text1"/>
        </w:rPr>
      </w:pPr>
    </w:p>
    <w:p w14:paraId="7CE8C80B" w14:textId="77777777" w:rsidR="00FC5DC4" w:rsidRPr="00133B3C" w:rsidRDefault="00FC5DC4" w:rsidP="00FC5DC4">
      <w:pPr>
        <w:ind w:left="1440"/>
        <w:rPr>
          <w:color w:val="000000" w:themeColor="text1"/>
        </w:rPr>
      </w:pPr>
      <w:r w:rsidRPr="00133B3C">
        <w:rPr>
          <w:color w:val="000000" w:themeColor="text1"/>
        </w:rPr>
        <w:t xml:space="preserve">Non-DOE/NNSA FFRDCs are eligible to apply for funding as a </w:t>
      </w:r>
      <w:proofErr w:type="gramStart"/>
      <w:r w:rsidRPr="00133B3C">
        <w:rPr>
          <w:color w:val="000000" w:themeColor="text1"/>
        </w:rPr>
        <w:t>subrecipient, but</w:t>
      </w:r>
      <w:proofErr w:type="gramEnd"/>
      <w:r w:rsidRPr="00133B3C">
        <w:rPr>
          <w:color w:val="000000" w:themeColor="text1"/>
        </w:rPr>
        <w:t xml:space="preserve"> are not eligible to apply as a prime recipient.</w:t>
      </w:r>
    </w:p>
    <w:p w14:paraId="094F3720" w14:textId="77777777" w:rsidR="00FC5DC4" w:rsidRPr="00133B3C" w:rsidRDefault="00FC5DC4" w:rsidP="00FC5DC4">
      <w:pPr>
        <w:ind w:left="1440" w:hanging="180"/>
        <w:rPr>
          <w:color w:val="000000" w:themeColor="text1"/>
        </w:rPr>
      </w:pPr>
    </w:p>
    <w:p w14:paraId="3F02741B" w14:textId="77777777" w:rsidR="00FC5DC4" w:rsidRDefault="00FC5DC4" w:rsidP="00FC5DC4">
      <w:pPr>
        <w:ind w:left="1440"/>
        <w:rPr>
          <w:color w:val="000000" w:themeColor="text1"/>
        </w:rPr>
      </w:pPr>
      <w:r w:rsidRPr="00133B3C">
        <w:rPr>
          <w:color w:val="000000" w:themeColor="text1"/>
        </w:rPr>
        <w:t xml:space="preserve">Federal agencies and instrumentalities (other than DOE) are eligible to apply for funding as a </w:t>
      </w:r>
      <w:proofErr w:type="gramStart"/>
      <w:r w:rsidRPr="00133B3C">
        <w:rPr>
          <w:color w:val="000000" w:themeColor="text1"/>
          <w:szCs w:val="24"/>
        </w:rPr>
        <w:t>subrecipient</w:t>
      </w:r>
      <w:r w:rsidRPr="00133B3C">
        <w:rPr>
          <w:color w:val="000000" w:themeColor="text1"/>
        </w:rPr>
        <w:t>, but</w:t>
      </w:r>
      <w:proofErr w:type="gramEnd"/>
      <w:r w:rsidRPr="00133B3C">
        <w:rPr>
          <w:color w:val="000000" w:themeColor="text1"/>
        </w:rPr>
        <w:t xml:space="preserve"> are not eligible to apply as a prime </w:t>
      </w:r>
      <w:r w:rsidRPr="00133B3C">
        <w:rPr>
          <w:color w:val="000000" w:themeColor="text1"/>
          <w:szCs w:val="24"/>
        </w:rPr>
        <w:t>recipient</w:t>
      </w:r>
      <w:r w:rsidRPr="00133B3C">
        <w:rPr>
          <w:color w:val="000000" w:themeColor="text1"/>
        </w:rPr>
        <w:t xml:space="preserve">. </w:t>
      </w:r>
    </w:p>
    <w:p w14:paraId="5C2D1376" w14:textId="77777777" w:rsidR="00FC5DC4" w:rsidRDefault="00FC5DC4" w:rsidP="00FC5DC4">
      <w:pPr>
        <w:ind w:left="1440"/>
        <w:rPr>
          <w:color w:val="000000" w:themeColor="text1"/>
        </w:rPr>
      </w:pPr>
    </w:p>
    <w:p w14:paraId="48508609" w14:textId="77777777" w:rsidR="00FC5DC4" w:rsidRDefault="00FC5DC4" w:rsidP="00FC5DC4">
      <w:pPr>
        <w:ind w:left="1440"/>
        <w:rPr>
          <w:rFonts w:eastAsia="Calibri," w:cs="Calibri,"/>
        </w:rPr>
      </w:pPr>
      <w:r w:rsidRPr="00045C28">
        <w:rPr>
          <w:rFonts w:eastAsia="Calibri," w:cs="Calibri,"/>
        </w:rPr>
        <w:t xml:space="preserve">Entities identified on a Department of Homeland Security, Binding Operational Directives as an entity publicly banned from doing business with the Unites States government are not eligible. See </w:t>
      </w:r>
      <w:hyperlink r:id="rId43" w:history="1">
        <w:r w:rsidRPr="00045C28">
          <w:rPr>
            <w:rStyle w:val="Hyperlink"/>
            <w:rFonts w:eastAsia="Calibri," w:cs="Calibri,"/>
          </w:rPr>
          <w:t>https://cyber.dhs.gov/directives/</w:t>
        </w:r>
      </w:hyperlink>
      <w:r w:rsidRPr="00045C28">
        <w:rPr>
          <w:rFonts w:eastAsia="Calibri," w:cs="Calibri,"/>
        </w:rPr>
        <w:t>.</w:t>
      </w:r>
    </w:p>
    <w:p w14:paraId="5432DDE3" w14:textId="77777777" w:rsidR="00FC5DC4" w:rsidRDefault="00FC5DC4" w:rsidP="00FC5DC4">
      <w:pPr>
        <w:ind w:left="1440"/>
        <w:rPr>
          <w:rFonts w:eastAsia="Calibri," w:cs="Calibri,"/>
        </w:rPr>
      </w:pPr>
    </w:p>
    <w:p w14:paraId="0AD2A4D5" w14:textId="4DDE2A0B" w:rsidR="00FC5DC4" w:rsidRPr="007C5187" w:rsidRDefault="00FC5DC4" w:rsidP="007C5187">
      <w:pPr>
        <w:ind w:left="1440"/>
        <w:rPr>
          <w:color w:val="000000" w:themeColor="text1"/>
        </w:rPr>
      </w:pPr>
      <w:r w:rsidRPr="00133B3C">
        <w:rPr>
          <w:color w:val="000000" w:themeColor="text1"/>
        </w:rPr>
        <w:t>Nonprofit organizations described in section 501(c)(4) of the Internal Revenue Code</w:t>
      </w:r>
      <w:r>
        <w:rPr>
          <w:color w:val="000000" w:themeColor="text1"/>
        </w:rPr>
        <w:t xml:space="preserve"> </w:t>
      </w:r>
      <w:r w:rsidRPr="00133B3C">
        <w:rPr>
          <w:color w:val="000000" w:themeColor="text1"/>
        </w:rPr>
        <w:t xml:space="preserve">of 1986 that engaged in lobbying activities after December 31, </w:t>
      </w:r>
      <w:proofErr w:type="gramStart"/>
      <w:r w:rsidRPr="00133B3C">
        <w:rPr>
          <w:color w:val="000000" w:themeColor="text1"/>
        </w:rPr>
        <w:t>1995</w:t>
      </w:r>
      <w:proofErr w:type="gramEnd"/>
      <w:r w:rsidRPr="00133B3C">
        <w:rPr>
          <w:color w:val="000000" w:themeColor="text1"/>
        </w:rPr>
        <w:t xml:space="preserve"> are </w:t>
      </w:r>
      <w:r w:rsidRPr="009154E9">
        <w:rPr>
          <w:b/>
          <w:bCs/>
          <w:color w:val="000000" w:themeColor="text1"/>
        </w:rPr>
        <w:t>not</w:t>
      </w:r>
      <w:r w:rsidRPr="00133B3C">
        <w:rPr>
          <w:color w:val="000000" w:themeColor="text1"/>
        </w:rPr>
        <w:t xml:space="preserve"> eligible to apply </w:t>
      </w:r>
      <w:r w:rsidRPr="00070650">
        <w:rPr>
          <w:color w:val="000000" w:themeColor="text1"/>
        </w:rPr>
        <w:t>for funding.</w:t>
      </w:r>
    </w:p>
    <w:p w14:paraId="199FFD96" w14:textId="77777777" w:rsidR="00FC5DC4" w:rsidRPr="0022038E" w:rsidRDefault="00FC5DC4" w:rsidP="00F836F4">
      <w:pPr>
        <w:pStyle w:val="FOAHeading3"/>
        <w:numPr>
          <w:ilvl w:val="0"/>
          <w:numId w:val="27"/>
        </w:numPr>
        <w:ind w:left="1440"/>
        <w:outlineLvl w:val="2"/>
      </w:pPr>
      <w:bookmarkStart w:id="106" w:name="_Toc109921665"/>
      <w:r w:rsidRPr="00C72CE2">
        <w:t>Foreign Entities</w:t>
      </w:r>
      <w:bookmarkEnd w:id="106"/>
    </w:p>
    <w:p w14:paraId="60D43880" w14:textId="77777777" w:rsidR="00BA2272" w:rsidRPr="0079408C" w:rsidRDefault="00BA2272" w:rsidP="00BA2272">
      <w:pPr>
        <w:ind w:left="1440"/>
      </w:pPr>
      <w:r>
        <w:t xml:space="preserve">In limited circumstances, EERE may approve a waiver to allow a foreign entity to participate as a prime recipient or subrecipient. A foreign entity may submit an Full Application to this </w:t>
      </w:r>
      <w:proofErr w:type="gramStart"/>
      <w:r>
        <w:t>FOA,  but</w:t>
      </w:r>
      <w:proofErr w:type="gramEnd"/>
      <w:r>
        <w:t xml:space="preserve"> the Full Application must be accompanied by </w:t>
      </w:r>
      <w:r w:rsidRPr="00BA2272">
        <w:t xml:space="preserve">an explicit written waiver request. </w:t>
      </w:r>
      <w:r w:rsidRPr="0079408C">
        <w:t>Likewise, if the applicant seeks to include a foreign entity as a subrecipient, the applicant must submit a separate explicit written waiver request in the Full Application for each proposed foreign subrecipient.</w:t>
      </w:r>
    </w:p>
    <w:p w14:paraId="488880B5" w14:textId="77777777" w:rsidR="00BA2272" w:rsidRPr="00BA2272" w:rsidRDefault="00BA2272" w:rsidP="00BA2272">
      <w:pPr>
        <w:ind w:left="1440"/>
      </w:pPr>
      <w:r w:rsidRPr="00BA2272">
        <w:t xml:space="preserve"> </w:t>
      </w:r>
    </w:p>
    <w:p w14:paraId="37BE8369" w14:textId="77777777" w:rsidR="00BA2272" w:rsidRDefault="00BA2272" w:rsidP="00BA2272">
      <w:pPr>
        <w:ind w:left="1440"/>
      </w:pPr>
      <w:r w:rsidRPr="00BA2272">
        <w:t>Appendix C lists the information that must be included in a foreign entity waiver request</w:t>
      </w:r>
      <w:r w:rsidRPr="008858B4">
        <w:t>.</w:t>
      </w:r>
      <w:r>
        <w:t xml:space="preserve"> </w:t>
      </w:r>
      <w:r w:rsidRPr="008858B4">
        <w:t>The applicant does not have the right to appeal EERE’s decision concerning a waiver request.</w:t>
      </w:r>
    </w:p>
    <w:p w14:paraId="29D50955" w14:textId="77777777" w:rsidR="006A24B8" w:rsidRPr="008858B4" w:rsidRDefault="006A24B8" w:rsidP="00C87069">
      <w:pPr>
        <w:ind w:left="1800" w:hanging="360"/>
      </w:pPr>
    </w:p>
    <w:p w14:paraId="6CD3D905" w14:textId="76FBD8FF" w:rsidR="006A24B8" w:rsidRPr="0022038E" w:rsidRDefault="004E672B" w:rsidP="00F836F4">
      <w:pPr>
        <w:pStyle w:val="FOAHeading3"/>
        <w:numPr>
          <w:ilvl w:val="0"/>
          <w:numId w:val="27"/>
        </w:numPr>
        <w:ind w:left="1440"/>
        <w:outlineLvl w:val="2"/>
      </w:pPr>
      <w:bookmarkStart w:id="107" w:name="_Toc519602323"/>
      <w:bookmarkStart w:id="108" w:name="_Toc109921666"/>
      <w:r w:rsidRPr="00C72CE2">
        <w:t>Incorporated Consortia</w:t>
      </w:r>
      <w:bookmarkEnd w:id="107"/>
      <w:bookmarkEnd w:id="108"/>
    </w:p>
    <w:p w14:paraId="5371DCA5" w14:textId="77777777" w:rsidR="00BA2272" w:rsidRPr="008858B4" w:rsidRDefault="00BA2272" w:rsidP="00BA2272">
      <w:pPr>
        <w:ind w:left="1440"/>
      </w:pPr>
      <w:r>
        <w:t>Domestic i</w:t>
      </w:r>
      <w:r w:rsidRPr="008858B4">
        <w:t xml:space="preserve">ncorporated consortia are eligible to </w:t>
      </w:r>
      <w:r>
        <w:t>participate</w:t>
      </w:r>
      <w:r w:rsidRPr="008858B4">
        <w:t xml:space="preserve"> as a </w:t>
      </w:r>
      <w:r>
        <w:t>p</w:t>
      </w:r>
      <w:r w:rsidRPr="008858B4">
        <w:t xml:space="preserve">rime </w:t>
      </w:r>
      <w:r>
        <w:t>r</w:t>
      </w:r>
      <w:r w:rsidRPr="008858B4">
        <w:t xml:space="preserve">ecipient or </w:t>
      </w:r>
      <w:r>
        <w:t>s</w:t>
      </w:r>
      <w:r w:rsidRPr="008858B4">
        <w:t>ubrecipient. For consortia incorporated (or otherwi</w:t>
      </w:r>
      <w:r>
        <w:t>se formed) under the laws of a s</w:t>
      </w:r>
      <w:r w:rsidRPr="008858B4">
        <w:t>tate or territory of the United States, please refer to “Domestic Entities” above. For consortia incorporated</w:t>
      </w:r>
      <w:r>
        <w:t xml:space="preserve"> (or otherwise formed)</w:t>
      </w:r>
      <w:r w:rsidRPr="008858B4">
        <w:t xml:space="preserve"> in </w:t>
      </w:r>
      <w:r>
        <w:t xml:space="preserve">a </w:t>
      </w:r>
      <w:r w:rsidRPr="008858B4">
        <w:t>foreign countr</w:t>
      </w:r>
      <w:r>
        <w:t>y</w:t>
      </w:r>
      <w:r w:rsidRPr="008858B4">
        <w:t>, please refer to the requirements in “Foreign Entities” above.</w:t>
      </w:r>
    </w:p>
    <w:p w14:paraId="522A99C8" w14:textId="77777777" w:rsidR="00BA2272" w:rsidRPr="008858B4" w:rsidRDefault="00BA2272" w:rsidP="00BA2272">
      <w:pPr>
        <w:ind w:left="1440"/>
      </w:pPr>
    </w:p>
    <w:p w14:paraId="475A6074" w14:textId="77777777" w:rsidR="00BA2272" w:rsidRDefault="00BA2272" w:rsidP="00BA2272">
      <w:pPr>
        <w:ind w:left="1440"/>
      </w:pPr>
      <w:r w:rsidRPr="008858B4">
        <w:t xml:space="preserve">Each consortium must have an internal governance structure and a written set of internal rules. Upon request, the consortium must provide a written description of its internal governance structure and its internal rules to the </w:t>
      </w:r>
      <w:r>
        <w:t>DO</w:t>
      </w:r>
      <w:r w:rsidRPr="008858B4">
        <w:t>E Contracting Officer.</w:t>
      </w:r>
    </w:p>
    <w:p w14:paraId="713310F6" w14:textId="77777777" w:rsidR="00BA2272" w:rsidRDefault="00BA2272" w:rsidP="00BA2272">
      <w:pPr>
        <w:ind w:left="1440"/>
      </w:pPr>
    </w:p>
    <w:p w14:paraId="4F1EB0DE" w14:textId="77777777" w:rsidR="00BA2272" w:rsidRPr="008858B4" w:rsidRDefault="00BA2272" w:rsidP="00BA2272">
      <w:pPr>
        <w:ind w:left="1440"/>
      </w:pPr>
      <w:r w:rsidRPr="00BA2272">
        <w:t>If the consortium includes foreign members, the applicant must submit a separate explicit written waiver request in the Full Application for each foreign member. See Appendix C.</w:t>
      </w:r>
    </w:p>
    <w:p w14:paraId="37A0426A" w14:textId="77777777" w:rsidR="006A24B8" w:rsidRPr="008858B4" w:rsidRDefault="006A24B8" w:rsidP="00C87069">
      <w:pPr>
        <w:ind w:left="1620" w:hanging="180"/>
      </w:pPr>
    </w:p>
    <w:p w14:paraId="1A20B620" w14:textId="3CAC618A" w:rsidR="006A24B8" w:rsidRPr="0022038E" w:rsidRDefault="004E672B" w:rsidP="00F836F4">
      <w:pPr>
        <w:pStyle w:val="FOAHeading3"/>
        <w:numPr>
          <w:ilvl w:val="0"/>
          <w:numId w:val="27"/>
        </w:numPr>
        <w:ind w:left="1440"/>
        <w:outlineLvl w:val="2"/>
      </w:pPr>
      <w:bookmarkStart w:id="109" w:name="_Toc519602324"/>
      <w:bookmarkStart w:id="110" w:name="_Toc109921667"/>
      <w:r w:rsidRPr="00C72CE2">
        <w:t>Unincorporated Consortia</w:t>
      </w:r>
      <w:bookmarkEnd w:id="109"/>
      <w:bookmarkEnd w:id="110"/>
    </w:p>
    <w:p w14:paraId="7C6D7168" w14:textId="2051C8D5" w:rsidR="00CE5793" w:rsidRPr="008858B4" w:rsidRDefault="00CE5793" w:rsidP="00A53BBC">
      <w:pPr>
        <w:ind w:left="1440"/>
      </w:pPr>
      <w:r w:rsidRPr="00CE5793">
        <w:t>Unincorporated Consortia must designate one member of the consortium to serve as the prime recipient/consortium representative. The prime recipient/consortium representative must qualify as a domestic entity.</w:t>
      </w:r>
    </w:p>
    <w:p w14:paraId="7EB73014" w14:textId="77777777" w:rsidR="006A24B8" w:rsidRPr="008858B4" w:rsidRDefault="006A24B8" w:rsidP="00A53BBC">
      <w:pPr>
        <w:ind w:left="1440" w:hanging="180"/>
      </w:pPr>
    </w:p>
    <w:p w14:paraId="54BC62E1" w14:textId="77777777" w:rsidR="006A24B8" w:rsidRPr="008858B4" w:rsidRDefault="004E672B" w:rsidP="00A53BBC">
      <w:pPr>
        <w:ind w:left="1440"/>
      </w:pPr>
      <w:r w:rsidRPr="008858B4">
        <w:t>Upon request, unincorporated consortia must provide the EERE Contracting Officer with a collaboration agreement, commonly referred to as the articles of collaboration, which sets out the rights and responsibilities of each consortium member. This agreement binds the individual consortium members together and should discuss, among other things, the consortium’s:</w:t>
      </w:r>
    </w:p>
    <w:p w14:paraId="20690C56" w14:textId="77777777" w:rsidR="006A24B8" w:rsidRPr="008858B4" w:rsidRDefault="004E672B" w:rsidP="007C5187">
      <w:pPr>
        <w:pStyle w:val="ListParagraph"/>
        <w:numPr>
          <w:ilvl w:val="0"/>
          <w:numId w:val="4"/>
        </w:numPr>
      </w:pPr>
      <w:r w:rsidRPr="008858B4">
        <w:t xml:space="preserve">Management </w:t>
      </w:r>
      <w:proofErr w:type="gramStart"/>
      <w:r w:rsidRPr="008858B4">
        <w:t>structure;</w:t>
      </w:r>
      <w:proofErr w:type="gramEnd"/>
      <w:r w:rsidRPr="008858B4">
        <w:t xml:space="preserve"> </w:t>
      </w:r>
    </w:p>
    <w:p w14:paraId="790AF0C4" w14:textId="77777777" w:rsidR="006A24B8" w:rsidRPr="008858B4" w:rsidRDefault="004E672B" w:rsidP="007C5187">
      <w:pPr>
        <w:pStyle w:val="ListParagraph"/>
        <w:numPr>
          <w:ilvl w:val="0"/>
          <w:numId w:val="4"/>
        </w:numPr>
      </w:pPr>
      <w:r w:rsidRPr="008858B4">
        <w:t xml:space="preserve">Method of making payments to consortium </w:t>
      </w:r>
      <w:proofErr w:type="gramStart"/>
      <w:r w:rsidRPr="008858B4">
        <w:t>members;</w:t>
      </w:r>
      <w:proofErr w:type="gramEnd"/>
    </w:p>
    <w:p w14:paraId="33C391E1" w14:textId="77777777" w:rsidR="006A24B8" w:rsidRPr="008858B4" w:rsidRDefault="004E672B" w:rsidP="007C5187">
      <w:pPr>
        <w:pStyle w:val="ListParagraph"/>
        <w:numPr>
          <w:ilvl w:val="0"/>
          <w:numId w:val="4"/>
        </w:numPr>
      </w:pPr>
      <w:r w:rsidRPr="008858B4">
        <w:t xml:space="preserve">Means of ensuring and overseeing members’ efforts on the </w:t>
      </w:r>
      <w:proofErr w:type="gramStart"/>
      <w:r w:rsidRPr="008858B4">
        <w:t>project;</w:t>
      </w:r>
      <w:proofErr w:type="gramEnd"/>
    </w:p>
    <w:p w14:paraId="70C0362F" w14:textId="77777777" w:rsidR="006A24B8" w:rsidRPr="008858B4" w:rsidRDefault="004E672B" w:rsidP="007C5187">
      <w:pPr>
        <w:pStyle w:val="ListParagraph"/>
        <w:numPr>
          <w:ilvl w:val="0"/>
          <w:numId w:val="4"/>
        </w:numPr>
      </w:pPr>
      <w:r w:rsidRPr="008858B4">
        <w:t>Provisions for members’ cost sharing contributions; and</w:t>
      </w:r>
    </w:p>
    <w:p w14:paraId="0C125201" w14:textId="4134850E" w:rsidR="00133B3C" w:rsidRPr="00CD7314" w:rsidRDefault="004E672B" w:rsidP="007C5187">
      <w:pPr>
        <w:pStyle w:val="ListParagraph"/>
        <w:numPr>
          <w:ilvl w:val="0"/>
          <w:numId w:val="4"/>
        </w:numPr>
      </w:pPr>
      <w:r w:rsidRPr="008858B4">
        <w:t>Provisions for ownership and rights in intellectual property developed pre</w:t>
      </w:r>
      <w:r w:rsidR="00CD7314">
        <w:t>viously or under the agreement.</w:t>
      </w:r>
    </w:p>
    <w:p w14:paraId="07833970" w14:textId="77777777" w:rsidR="000F6A6D" w:rsidRDefault="000F6A6D" w:rsidP="000F6A6D">
      <w:pPr>
        <w:rPr>
          <w:sz w:val="23"/>
          <w:szCs w:val="23"/>
        </w:rPr>
      </w:pPr>
    </w:p>
    <w:p w14:paraId="1EC97C70" w14:textId="6F1B5B1C" w:rsidR="000F6A6D" w:rsidRDefault="000F6A6D" w:rsidP="000F6A6D">
      <w:pPr>
        <w:ind w:left="1440"/>
      </w:pPr>
      <w:r w:rsidRPr="000F6A6D">
        <w:rPr>
          <w:sz w:val="23"/>
          <w:szCs w:val="23"/>
        </w:rPr>
        <w:t xml:space="preserve">If the consortium includes foreign members, the applicant must submit a separate explicit written waiver request in the Full Application for each foreign member. </w:t>
      </w:r>
      <w:r w:rsidRPr="000F6A6D">
        <w:rPr>
          <w:u w:val="single"/>
        </w:rPr>
        <w:t>See Appendix C.</w:t>
      </w:r>
    </w:p>
    <w:p w14:paraId="20969F7A" w14:textId="39CE9005" w:rsidR="006A24B8" w:rsidRPr="008858B4" w:rsidRDefault="006A24B8" w:rsidP="008858B4"/>
    <w:p w14:paraId="4D70BD86" w14:textId="21419B2A" w:rsidR="006A24B8" w:rsidRPr="00CE569E" w:rsidRDefault="004E672B" w:rsidP="0017595D">
      <w:pPr>
        <w:pStyle w:val="FOAHeading2"/>
      </w:pPr>
      <w:bookmarkStart w:id="111" w:name="_Toc109921668"/>
      <w:r w:rsidRPr="00CE569E">
        <w:t>Cost Sharing</w:t>
      </w:r>
      <w:bookmarkEnd w:id="111"/>
    </w:p>
    <w:p w14:paraId="72C03D2C" w14:textId="77777777" w:rsidR="00B46BFF" w:rsidRDefault="00B46BFF" w:rsidP="00A80D87">
      <w:pPr>
        <w:ind w:left="1296"/>
        <w:rPr>
          <w:b/>
          <w:bCs/>
        </w:rPr>
      </w:pPr>
    </w:p>
    <w:p w14:paraId="7A784AEF" w14:textId="04B36F44" w:rsidR="00A80D87" w:rsidRPr="00B46BFF" w:rsidRDefault="00CE5793" w:rsidP="00A80D87">
      <w:pPr>
        <w:ind w:left="1296"/>
        <w:rPr>
          <w:b/>
          <w:bCs/>
        </w:rPr>
      </w:pPr>
      <w:r w:rsidRPr="00B46BFF">
        <w:rPr>
          <w:b/>
          <w:bCs/>
        </w:rPr>
        <w:t>Topic Area 1</w:t>
      </w:r>
    </w:p>
    <w:p w14:paraId="1199C8CE" w14:textId="14DD2ECF" w:rsidR="00CE5793" w:rsidRPr="00B46BFF" w:rsidRDefault="00CE5793" w:rsidP="00A80D87">
      <w:pPr>
        <w:ind w:left="1296"/>
      </w:pPr>
      <w:r w:rsidRPr="00B46BFF">
        <w:t>The cost share must be at least 50% of the total allowable costs for demonstration projects (i.e., the sum of the government share, including FFRDC costs if applicable, and the recipient share of allowable costs equals the total allowable cost of the project) and must come from non-federal sources unless otherwise allowed by law. (See 2 CFR 200.306 and 2 CFR 910.130 for the applicable cost sharing requirements.)</w:t>
      </w:r>
    </w:p>
    <w:p w14:paraId="04596F47" w14:textId="760EB37B" w:rsidR="00CE5793" w:rsidRPr="00B46BFF" w:rsidRDefault="00CE5793" w:rsidP="00A80D87">
      <w:pPr>
        <w:ind w:left="1296"/>
      </w:pPr>
    </w:p>
    <w:p w14:paraId="2D087AD5" w14:textId="6244BBB8" w:rsidR="00CE5793" w:rsidRPr="00B46BFF" w:rsidRDefault="00CE5793" w:rsidP="00A80D87">
      <w:pPr>
        <w:ind w:left="1296"/>
        <w:rPr>
          <w:b/>
          <w:bCs/>
        </w:rPr>
      </w:pPr>
      <w:r w:rsidRPr="00B46BFF">
        <w:rPr>
          <w:b/>
          <w:bCs/>
        </w:rPr>
        <w:t>Topic Area 2</w:t>
      </w:r>
    </w:p>
    <w:p w14:paraId="01E26115" w14:textId="4760CA0B" w:rsidR="00CE5793" w:rsidRPr="00B46BFF" w:rsidRDefault="00CE5793" w:rsidP="00A80D87">
      <w:pPr>
        <w:ind w:left="1296"/>
      </w:pPr>
      <w:r w:rsidRPr="00B46BFF">
        <w:t>The cost share must be at least 20% of the total allowable costs (i.e., the sum of the government share, including FFRDC costs if applicable, and the recipient share of allowable costs equals the total allowable cost of the project) for research and development projects and 50% of the total allowable costs for demonstration and commercial application projects and must come from non-federal sources unless otherwise allowed by law. (See 2 CFR 200.306 and 2 CFR 910.130 for the applicable cost sharing requirements.)</w:t>
      </w:r>
      <w:r w:rsidR="00AA29D7">
        <w:t xml:space="preserve"> Demonstration activities for this topic include installing </w:t>
      </w:r>
      <w:r w:rsidR="00406F7F">
        <w:t xml:space="preserve">and operating </w:t>
      </w:r>
      <w:r w:rsidR="00AA29D7">
        <w:t>prototype or commercial hardware in field demonstration site or pilot site</w:t>
      </w:r>
      <w:r w:rsidR="00406F7F">
        <w:t xml:space="preserve">, such as a utility distribution feeder, solar generation facility, or campus microgrid. Installations may be permanent or temporary for the duration of the demonstration. </w:t>
      </w:r>
    </w:p>
    <w:p w14:paraId="04786492" w14:textId="593A5AFC" w:rsidR="00EE45F5" w:rsidRDefault="00EE45F5" w:rsidP="00B8205F">
      <w:pPr>
        <w:ind w:left="1080"/>
        <w:rPr>
          <w:color w:val="000000" w:themeColor="text1"/>
          <w:highlight w:val="yellow"/>
        </w:rPr>
      </w:pPr>
    </w:p>
    <w:p w14:paraId="52F220A6" w14:textId="10D73C87" w:rsidR="00DF3277" w:rsidRDefault="004E672B" w:rsidP="00B8205F">
      <w:pPr>
        <w:ind w:left="1296"/>
        <w:rPr>
          <w:color w:val="000000" w:themeColor="text1"/>
        </w:rPr>
      </w:pPr>
      <w:r>
        <w:rPr>
          <w:color w:val="000000" w:themeColor="text1"/>
        </w:rPr>
        <w:t>To assist applicants in calculating proper cost share amounts, EERE has included a cost share information sheet and sample cost share calculation as Appendices A and B to this FOA.</w:t>
      </w:r>
    </w:p>
    <w:p w14:paraId="3698D95D" w14:textId="65E67CDB" w:rsidR="006A24B8" w:rsidRPr="008858B4" w:rsidRDefault="006A24B8" w:rsidP="00A53BBC">
      <w:pPr>
        <w:ind w:left="1080"/>
      </w:pPr>
    </w:p>
    <w:p w14:paraId="20D7884C" w14:textId="5200ACF8" w:rsidR="006A24B8" w:rsidRPr="00872882" w:rsidRDefault="004E672B" w:rsidP="00F836F4">
      <w:pPr>
        <w:pStyle w:val="FOAHeading3"/>
        <w:numPr>
          <w:ilvl w:val="0"/>
          <w:numId w:val="28"/>
        </w:numPr>
        <w:ind w:left="1440"/>
        <w:outlineLvl w:val="2"/>
      </w:pPr>
      <w:bookmarkStart w:id="112" w:name="_Toc519602326"/>
      <w:bookmarkStart w:id="113" w:name="_Toc109921669"/>
      <w:r w:rsidRPr="00C72CE2">
        <w:t>Legal Responsibility</w:t>
      </w:r>
      <w:bookmarkEnd w:id="112"/>
      <w:bookmarkEnd w:id="113"/>
    </w:p>
    <w:p w14:paraId="07949857" w14:textId="77777777" w:rsidR="00822D37" w:rsidRDefault="004E672B" w:rsidP="00A53BBC">
      <w:pPr>
        <w:tabs>
          <w:tab w:val="left" w:pos="1440"/>
          <w:tab w:val="left" w:pos="2250"/>
        </w:tabs>
        <w:ind w:left="1440" w:hanging="180"/>
      </w:pPr>
      <w:r>
        <w:tab/>
        <w:t xml:space="preserve">Although the cost share requirement applies to the </w:t>
      </w:r>
      <w:proofErr w:type="gramStart"/>
      <w:r>
        <w:t>project as a whole, including</w:t>
      </w:r>
      <w:proofErr w:type="gramEnd"/>
      <w:r>
        <w:t xml:space="preserve"> work performed by members of the </w:t>
      </w:r>
      <w:r w:rsidR="00E66803">
        <w:t>p</w:t>
      </w:r>
      <w:r w:rsidR="00960E5C">
        <w:t xml:space="preserve">roject </w:t>
      </w:r>
      <w:r>
        <w:t xml:space="preserve">team other than the </w:t>
      </w:r>
      <w:r w:rsidR="006D34B2">
        <w:t>prime recipient</w:t>
      </w:r>
      <w:r>
        <w:t xml:space="preserve">, the </w:t>
      </w:r>
      <w:r w:rsidR="006D34B2">
        <w:t xml:space="preserve">prime recipient </w:t>
      </w:r>
      <w:r>
        <w:t xml:space="preserve">is legally responsible for paying the entire cost share. If the funding agreement is terminated prior to the end of the project period, the </w:t>
      </w:r>
      <w:r w:rsidR="006D34B2">
        <w:t xml:space="preserve">prime recipient </w:t>
      </w:r>
      <w:r>
        <w:t>is required to contribute at least the cost share percentage of total expenditures incurred through the date of termination.</w:t>
      </w:r>
    </w:p>
    <w:p w14:paraId="6AA4F514" w14:textId="77777777" w:rsidR="00822D37" w:rsidRDefault="00822D37" w:rsidP="00A53BBC">
      <w:pPr>
        <w:tabs>
          <w:tab w:val="left" w:pos="2160"/>
          <w:tab w:val="left" w:pos="2250"/>
        </w:tabs>
        <w:ind w:left="1440" w:hanging="180"/>
      </w:pPr>
    </w:p>
    <w:p w14:paraId="555AF84D" w14:textId="77777777" w:rsidR="00822D37" w:rsidRDefault="004E672B" w:rsidP="00A53BBC">
      <w:pPr>
        <w:tabs>
          <w:tab w:val="left" w:pos="2250"/>
        </w:tabs>
        <w:ind w:left="1440" w:hanging="180"/>
      </w:pPr>
      <w:r>
        <w:tab/>
        <w:t xml:space="preserve">The </w:t>
      </w:r>
      <w:r w:rsidR="006D34B2">
        <w:t xml:space="preserve">prime </w:t>
      </w:r>
      <w:r w:rsidR="007745F9">
        <w:t>r</w:t>
      </w:r>
      <w:r w:rsidR="006D34B2">
        <w:t xml:space="preserve">ecipient </w:t>
      </w:r>
      <w:r>
        <w:t xml:space="preserve">is solely responsible for managing cost share contributions by the </w:t>
      </w:r>
      <w:r w:rsidR="00E66803">
        <w:t xml:space="preserve">project </w:t>
      </w:r>
      <w:r w:rsidR="00F202B7">
        <w:t xml:space="preserve">team </w:t>
      </w:r>
      <w:r>
        <w:t xml:space="preserve">and enforcing cost share obligation assumed by </w:t>
      </w:r>
      <w:r w:rsidR="00E66803">
        <w:t xml:space="preserve">project </w:t>
      </w:r>
      <w:r w:rsidR="00F202B7">
        <w:t xml:space="preserve">team </w:t>
      </w:r>
      <w:r>
        <w:t>members in subawards or related agreements.</w:t>
      </w:r>
    </w:p>
    <w:p w14:paraId="1DF47B5D" w14:textId="77777777" w:rsidR="00822D37" w:rsidRPr="00822D37" w:rsidRDefault="00822D37" w:rsidP="0026495B">
      <w:pPr>
        <w:ind w:left="1620" w:hanging="180"/>
      </w:pPr>
    </w:p>
    <w:p w14:paraId="472D6D03" w14:textId="4957B77B" w:rsidR="00822D37" w:rsidRPr="00872882" w:rsidRDefault="004E672B" w:rsidP="00F836F4">
      <w:pPr>
        <w:pStyle w:val="FOAHeading3"/>
        <w:numPr>
          <w:ilvl w:val="0"/>
          <w:numId w:val="28"/>
        </w:numPr>
        <w:ind w:left="1440"/>
        <w:outlineLvl w:val="2"/>
      </w:pPr>
      <w:bookmarkStart w:id="114" w:name="_Toc519602327"/>
      <w:bookmarkStart w:id="115" w:name="_Toc109921670"/>
      <w:r w:rsidRPr="00C72CE2">
        <w:t>Cost Share Allocation</w:t>
      </w:r>
      <w:bookmarkEnd w:id="114"/>
      <w:bookmarkEnd w:id="115"/>
    </w:p>
    <w:p w14:paraId="34BBD7D8" w14:textId="77777777" w:rsidR="006A24B8" w:rsidRPr="008858B4" w:rsidRDefault="004E672B" w:rsidP="00A53BBC">
      <w:pPr>
        <w:ind w:left="1440"/>
      </w:pPr>
      <w:r w:rsidRPr="008858B4">
        <w:t xml:space="preserve">Each </w:t>
      </w:r>
      <w:r w:rsidR="00E66803">
        <w:t>p</w:t>
      </w:r>
      <w:r w:rsidR="00E66803" w:rsidRPr="008858B4">
        <w:t xml:space="preserve">roject </w:t>
      </w:r>
      <w:r w:rsidR="00F202B7">
        <w:t>t</w:t>
      </w:r>
      <w:r w:rsidR="00F202B7" w:rsidRPr="008858B4">
        <w:t xml:space="preserve">eam </w:t>
      </w:r>
      <w:r w:rsidRPr="008858B4">
        <w:t xml:space="preserve">is free to determine how best to allocate the cost share requirement among the team members. The amount contributed by individual </w:t>
      </w:r>
      <w:r w:rsidR="00E66803">
        <w:t>p</w:t>
      </w:r>
      <w:r w:rsidR="00E66803" w:rsidRPr="008858B4">
        <w:t xml:space="preserve">roject </w:t>
      </w:r>
      <w:r w:rsidR="00F202B7">
        <w:t>t</w:t>
      </w:r>
      <w:r w:rsidR="00F202B7" w:rsidRPr="008858B4">
        <w:t xml:space="preserve">eam </w:t>
      </w:r>
      <w:r w:rsidRPr="008858B4">
        <w:t xml:space="preserve">members may vary, </w:t>
      </w:r>
      <w:proofErr w:type="gramStart"/>
      <w:r w:rsidRPr="008858B4">
        <w:t>as long as</w:t>
      </w:r>
      <w:proofErr w:type="gramEnd"/>
      <w:r w:rsidRPr="008858B4">
        <w:t xml:space="preserve"> the cost share requirement for the project as a whole is met.</w:t>
      </w:r>
    </w:p>
    <w:p w14:paraId="58DF14AE" w14:textId="77777777" w:rsidR="00390B40" w:rsidRPr="008858B4" w:rsidRDefault="00390B40" w:rsidP="00390B40">
      <w:pPr>
        <w:ind w:left="1620" w:hanging="180"/>
      </w:pPr>
      <w:bookmarkStart w:id="116" w:name="_Toc519602328"/>
    </w:p>
    <w:p w14:paraId="2CF9074C" w14:textId="52AF4934" w:rsidR="006A24B8" w:rsidRPr="00872882" w:rsidRDefault="004E672B" w:rsidP="00F836F4">
      <w:pPr>
        <w:pStyle w:val="FOAHeading3"/>
        <w:numPr>
          <w:ilvl w:val="0"/>
          <w:numId w:val="28"/>
        </w:numPr>
        <w:ind w:left="1440"/>
        <w:outlineLvl w:val="2"/>
      </w:pPr>
      <w:bookmarkStart w:id="117" w:name="_Toc109921671"/>
      <w:r w:rsidRPr="00C72CE2">
        <w:t>Cost Share Types and Allowability</w:t>
      </w:r>
      <w:bookmarkEnd w:id="116"/>
      <w:bookmarkEnd w:id="117"/>
    </w:p>
    <w:p w14:paraId="6899C320" w14:textId="7B2B77D8" w:rsidR="006A24B8" w:rsidRPr="008858B4" w:rsidRDefault="004E672B" w:rsidP="00A53BBC">
      <w:pPr>
        <w:ind w:left="1440"/>
      </w:pPr>
      <w:r w:rsidRPr="008858B4">
        <w:t xml:space="preserve">Every cost share contribution must be allowable under the applicable </w:t>
      </w:r>
      <w:r w:rsidR="00BC5A50">
        <w:t>f</w:t>
      </w:r>
      <w:r w:rsidR="00BC5A50" w:rsidRPr="008858B4">
        <w:t xml:space="preserve">ederal </w:t>
      </w:r>
      <w:r w:rsidRPr="008858B4">
        <w:t xml:space="preserve">cost principles, as described in </w:t>
      </w:r>
      <w:r w:rsidRPr="00B062DE">
        <w:t xml:space="preserve">Section </w:t>
      </w:r>
      <w:proofErr w:type="spellStart"/>
      <w:r w:rsidRPr="00B062DE">
        <w:t>IV.</w:t>
      </w:r>
      <w:r w:rsidR="00B062DE" w:rsidRPr="00B062DE">
        <w:t>J</w:t>
      </w:r>
      <w:r w:rsidRPr="00B062DE">
        <w:t>.</w:t>
      </w:r>
      <w:r w:rsidR="00A34575" w:rsidRPr="00B062DE">
        <w:t>i</w:t>
      </w:r>
      <w:proofErr w:type="spellEnd"/>
      <w:r w:rsidR="00A34575" w:rsidRPr="00B062DE">
        <w:t>.</w:t>
      </w:r>
      <w:r w:rsidRPr="008858B4">
        <w:t xml:space="preserve"> of the FOA.</w:t>
      </w:r>
      <w:r w:rsidR="001A3502">
        <w:t xml:space="preserve"> </w:t>
      </w:r>
      <w:r w:rsidRPr="008858B4">
        <w:t>In addition, cost share must be verifiable upon submission of the Full Application.</w:t>
      </w:r>
    </w:p>
    <w:p w14:paraId="6DDF9EA1" w14:textId="77777777" w:rsidR="006A24B8" w:rsidRPr="008858B4" w:rsidRDefault="006A24B8" w:rsidP="00E765F9">
      <w:pPr>
        <w:ind w:left="1440" w:hanging="180"/>
      </w:pPr>
    </w:p>
    <w:p w14:paraId="36D577EE" w14:textId="77777777" w:rsidR="004A7FE1" w:rsidRDefault="004E672B" w:rsidP="00A53BBC">
      <w:pPr>
        <w:ind w:left="1440"/>
      </w:pPr>
      <w:r w:rsidRPr="008858B4">
        <w:t xml:space="preserve">Project </w:t>
      </w:r>
      <w:r w:rsidR="00F202B7">
        <w:t>t</w:t>
      </w:r>
      <w:r w:rsidR="00F202B7" w:rsidRPr="008858B4">
        <w:t xml:space="preserve">eams </w:t>
      </w:r>
      <w:r w:rsidRPr="008858B4">
        <w:t xml:space="preserve">may provide cost share in the form of cash or in-kind contributions. </w:t>
      </w:r>
      <w:r>
        <w:t>Cost share</w:t>
      </w:r>
      <w:r w:rsidRPr="008858B4">
        <w:t xml:space="preserve"> may be provided by the </w:t>
      </w:r>
      <w:r w:rsidR="006D34B2">
        <w:t>p</w:t>
      </w:r>
      <w:r w:rsidR="006D34B2" w:rsidRPr="008858B4">
        <w:t xml:space="preserve">rime </w:t>
      </w:r>
      <w:r w:rsidR="007745F9">
        <w:t>r</w:t>
      </w:r>
      <w:r w:rsidR="006D34B2" w:rsidRPr="008858B4">
        <w:t>ecipient</w:t>
      </w:r>
      <w:r>
        <w:t xml:space="preserve">, </w:t>
      </w:r>
      <w:r w:rsidR="001A6434">
        <w:t>s</w:t>
      </w:r>
      <w:r w:rsidR="001A6434" w:rsidRPr="008858B4">
        <w:t>ubrecipients</w:t>
      </w:r>
      <w:r>
        <w:t>, or third parties (entities that do not have a role in performing the scope of work)</w:t>
      </w:r>
      <w:r w:rsidRPr="008858B4">
        <w:t xml:space="preserve">. </w:t>
      </w:r>
      <w:r>
        <w:t>Vendors/</w:t>
      </w:r>
      <w:r w:rsidR="00D848AF">
        <w:t xml:space="preserve">contractors </w:t>
      </w:r>
      <w:r>
        <w:t>may not provide cost share.</w:t>
      </w:r>
      <w:r w:rsidR="001A3502">
        <w:t xml:space="preserve"> </w:t>
      </w:r>
      <w:r>
        <w:t>Any partial donation of goods or services is considered a discount and is not allowable.</w:t>
      </w:r>
      <w:r w:rsidR="001A3502">
        <w:t xml:space="preserve"> </w:t>
      </w:r>
    </w:p>
    <w:p w14:paraId="3666BF9A" w14:textId="77777777" w:rsidR="004A7FE1" w:rsidRDefault="004A7FE1" w:rsidP="00E765F9">
      <w:pPr>
        <w:ind w:left="1440" w:hanging="180"/>
      </w:pPr>
    </w:p>
    <w:p w14:paraId="1ED13E21" w14:textId="77777777" w:rsidR="004A7FE1" w:rsidRPr="00AD7304" w:rsidRDefault="004E672B" w:rsidP="00A53BBC">
      <w:pPr>
        <w:pStyle w:val="PlainText"/>
        <w:ind w:left="1440"/>
        <w:rPr>
          <w:sz w:val="24"/>
          <w:szCs w:val="24"/>
        </w:rPr>
      </w:pPr>
      <w:r w:rsidRPr="00AD7304">
        <w:rPr>
          <w:sz w:val="24"/>
          <w:szCs w:val="24"/>
        </w:rPr>
        <w:t xml:space="preserve">Cash contributions </w:t>
      </w:r>
      <w:r w:rsidRPr="00300B2F">
        <w:rPr>
          <w:sz w:val="24"/>
          <w:szCs w:val="24"/>
        </w:rPr>
        <w:t xml:space="preserve">include, but are not limited </w:t>
      </w:r>
      <w:proofErr w:type="gramStart"/>
      <w:r w:rsidRPr="00300B2F">
        <w:rPr>
          <w:sz w:val="24"/>
          <w:szCs w:val="24"/>
        </w:rPr>
        <w:t>to</w:t>
      </w:r>
      <w:r>
        <w:rPr>
          <w:sz w:val="24"/>
          <w:szCs w:val="24"/>
        </w:rPr>
        <w:t>:</w:t>
      </w:r>
      <w:proofErr w:type="gramEnd"/>
      <w:r w:rsidRPr="00AD7304">
        <w:rPr>
          <w:sz w:val="24"/>
          <w:szCs w:val="24"/>
        </w:rPr>
        <w:t xml:space="preserve"> personnel costs, fringe costs, supply and equipment costs, indirect costs and other direct costs. </w:t>
      </w:r>
    </w:p>
    <w:p w14:paraId="5C4940E4" w14:textId="77777777" w:rsidR="004A7FE1" w:rsidRDefault="004A7FE1" w:rsidP="0026495B">
      <w:pPr>
        <w:ind w:left="1620" w:hanging="180"/>
      </w:pPr>
    </w:p>
    <w:p w14:paraId="014B60EB" w14:textId="0B156517" w:rsidR="006A24B8" w:rsidRPr="008858B4" w:rsidRDefault="004E672B" w:rsidP="00A53BBC">
      <w:pPr>
        <w:ind w:left="1440"/>
      </w:pPr>
      <w:r>
        <w:t xml:space="preserve">In-kind contributions are those where a value of the contribution can be readily determined, </w:t>
      </w:r>
      <w:proofErr w:type="gramStart"/>
      <w:r>
        <w:t>verified</w:t>
      </w:r>
      <w:proofErr w:type="gramEnd"/>
      <w:r>
        <w:t xml:space="preserve"> and justified but where no actual cash is transacted in securing the good or service comprising the contribution.</w:t>
      </w:r>
      <w:r w:rsidR="001A3502">
        <w:t xml:space="preserve"> </w:t>
      </w:r>
      <w:r w:rsidRPr="008858B4">
        <w:t xml:space="preserve">Allowable in-kind contributions </w:t>
      </w:r>
      <w:proofErr w:type="gramStart"/>
      <w:r w:rsidRPr="008858B4">
        <w:t>include, but</w:t>
      </w:r>
      <w:proofErr w:type="gramEnd"/>
      <w:r w:rsidRPr="008858B4">
        <w:t xml:space="preserve"> are not limited to</w:t>
      </w:r>
      <w:r>
        <w:t xml:space="preserve"> the donation of space or use of equipment.</w:t>
      </w:r>
    </w:p>
    <w:p w14:paraId="43D1D50A" w14:textId="77777777" w:rsidR="006A24B8" w:rsidRPr="008858B4" w:rsidRDefault="006A24B8" w:rsidP="0026495B">
      <w:pPr>
        <w:ind w:left="1620" w:hanging="180"/>
      </w:pPr>
    </w:p>
    <w:p w14:paraId="63E6A6EA" w14:textId="77777777" w:rsidR="006A24B8" w:rsidRPr="008858B4" w:rsidRDefault="004E672B" w:rsidP="00A53BBC">
      <w:pPr>
        <w:ind w:left="1440"/>
      </w:pPr>
      <w:r w:rsidRPr="008858B4">
        <w:t xml:space="preserve">Project teams may use funding or property received from state or local governments to meet the cost share requirement, so long as the funding was not provided to the state or local government by the </w:t>
      </w:r>
      <w:r w:rsidR="00BC5A50">
        <w:t>f</w:t>
      </w:r>
      <w:r w:rsidRPr="008858B4">
        <w:t xml:space="preserve">ederal </w:t>
      </w:r>
      <w:r w:rsidR="00BC5A50">
        <w:t>g</w:t>
      </w:r>
      <w:r w:rsidR="00BC5A50" w:rsidRPr="008858B4">
        <w:t>overnment</w:t>
      </w:r>
      <w:r w:rsidRPr="008858B4">
        <w:t xml:space="preserve">. </w:t>
      </w:r>
    </w:p>
    <w:p w14:paraId="229E52D9" w14:textId="77777777" w:rsidR="006A24B8" w:rsidRPr="008858B4" w:rsidRDefault="006A24B8" w:rsidP="00E765F9">
      <w:pPr>
        <w:ind w:left="1440" w:hanging="180"/>
      </w:pPr>
    </w:p>
    <w:p w14:paraId="2EDD21A1" w14:textId="77777777" w:rsidR="006A24B8" w:rsidRPr="008858B4" w:rsidRDefault="004E672B" w:rsidP="00A53BBC">
      <w:pPr>
        <w:ind w:left="1440"/>
      </w:pPr>
      <w:r w:rsidRPr="008858B4">
        <w:t xml:space="preserve">The </w:t>
      </w:r>
      <w:r w:rsidR="006D34B2">
        <w:t>p</w:t>
      </w:r>
      <w:r w:rsidR="006D34B2" w:rsidRPr="008858B4">
        <w:t xml:space="preserve">rime </w:t>
      </w:r>
      <w:r w:rsidR="007745F9">
        <w:t>r</w:t>
      </w:r>
      <w:r w:rsidR="006D34B2" w:rsidRPr="008858B4">
        <w:t xml:space="preserve">ecipient </w:t>
      </w:r>
      <w:r w:rsidRPr="00B46BFF">
        <w:rPr>
          <w:b/>
          <w:bCs/>
          <w:u w:val="single"/>
        </w:rPr>
        <w:t>may not</w:t>
      </w:r>
      <w:r w:rsidRPr="008858B4">
        <w:t xml:space="preserve"> use the following sources to meet its cost share obligations including, but not limited to:</w:t>
      </w:r>
    </w:p>
    <w:p w14:paraId="745FEC4F" w14:textId="77777777" w:rsidR="006A24B8" w:rsidRPr="008858B4" w:rsidRDefault="006A24B8" w:rsidP="0026495B">
      <w:pPr>
        <w:ind w:left="1620" w:hanging="180"/>
      </w:pPr>
    </w:p>
    <w:p w14:paraId="1EF99633" w14:textId="77777777" w:rsidR="006A24B8" w:rsidRPr="008858B4" w:rsidRDefault="004E672B" w:rsidP="007C5187">
      <w:pPr>
        <w:pStyle w:val="ListParagraph"/>
        <w:numPr>
          <w:ilvl w:val="0"/>
          <w:numId w:val="5"/>
        </w:numPr>
      </w:pPr>
      <w:r w:rsidRPr="008858B4">
        <w:t xml:space="preserve">Revenues or royalties from the prospective operation of an activity beyond the project </w:t>
      </w:r>
      <w:proofErr w:type="gramStart"/>
      <w:r w:rsidRPr="008858B4">
        <w:t>period;</w:t>
      </w:r>
      <w:proofErr w:type="gramEnd"/>
    </w:p>
    <w:p w14:paraId="6803F3F9" w14:textId="77777777" w:rsidR="006A24B8" w:rsidRPr="008858B4" w:rsidRDefault="004E672B" w:rsidP="007C5187">
      <w:pPr>
        <w:pStyle w:val="ListParagraph"/>
        <w:numPr>
          <w:ilvl w:val="0"/>
          <w:numId w:val="5"/>
        </w:numPr>
      </w:pPr>
      <w:r w:rsidRPr="008858B4">
        <w:t xml:space="preserve">Proceeds from the prospective sale of an asset of an </w:t>
      </w:r>
      <w:proofErr w:type="gramStart"/>
      <w:r w:rsidRPr="008858B4">
        <w:t>activity;</w:t>
      </w:r>
      <w:proofErr w:type="gramEnd"/>
    </w:p>
    <w:p w14:paraId="7AB3824D" w14:textId="77777777" w:rsidR="006A24B8" w:rsidRPr="008858B4" w:rsidRDefault="004E672B" w:rsidP="007C5187">
      <w:pPr>
        <w:pStyle w:val="ListParagraph"/>
        <w:numPr>
          <w:ilvl w:val="0"/>
          <w:numId w:val="5"/>
        </w:numPr>
      </w:pPr>
      <w:r w:rsidRPr="008858B4">
        <w:t xml:space="preserve">Federal funding or property (e.g., </w:t>
      </w:r>
      <w:r w:rsidR="00BC5A50">
        <w:t>f</w:t>
      </w:r>
      <w:r w:rsidR="00BC5A50" w:rsidRPr="008858B4">
        <w:t xml:space="preserve">ederal </w:t>
      </w:r>
      <w:r w:rsidRPr="008858B4">
        <w:t xml:space="preserve">grants, equipment owned by the </w:t>
      </w:r>
      <w:r w:rsidR="00BC5A50">
        <w:t>f</w:t>
      </w:r>
      <w:r w:rsidR="00BC5A50" w:rsidRPr="008858B4">
        <w:t xml:space="preserve">ederal </w:t>
      </w:r>
      <w:r w:rsidR="00BC5A50">
        <w:t>g</w:t>
      </w:r>
      <w:r w:rsidR="00BC5A50" w:rsidRPr="008858B4">
        <w:t>overnment</w:t>
      </w:r>
      <w:r w:rsidRPr="008858B4">
        <w:t>); or</w:t>
      </w:r>
    </w:p>
    <w:p w14:paraId="3320D499" w14:textId="77777777" w:rsidR="00406F7F" w:rsidRDefault="004E672B" w:rsidP="007C5187">
      <w:pPr>
        <w:pStyle w:val="ListParagraph"/>
        <w:numPr>
          <w:ilvl w:val="0"/>
          <w:numId w:val="5"/>
        </w:numPr>
      </w:pPr>
      <w:r w:rsidRPr="008858B4">
        <w:t xml:space="preserve">Expenditures that were reimbursed under a separate </w:t>
      </w:r>
      <w:r w:rsidR="00710ED6">
        <w:t>f</w:t>
      </w:r>
      <w:r w:rsidR="00710ED6" w:rsidRPr="008858B4">
        <w:t xml:space="preserve">ederal </w:t>
      </w:r>
      <w:r w:rsidR="00710ED6">
        <w:t>p</w:t>
      </w:r>
      <w:r w:rsidR="00710ED6" w:rsidRPr="008858B4">
        <w:t>rogram</w:t>
      </w:r>
      <w:r w:rsidRPr="008858B4">
        <w:t>.</w:t>
      </w:r>
    </w:p>
    <w:p w14:paraId="3318B632" w14:textId="0D5A96D6" w:rsidR="00406F7F" w:rsidRPr="00505703" w:rsidRDefault="00406F7F" w:rsidP="007C5187">
      <w:pPr>
        <w:pStyle w:val="ListParagraph"/>
        <w:numPr>
          <w:ilvl w:val="0"/>
          <w:numId w:val="5"/>
        </w:numPr>
      </w:pPr>
      <w:r w:rsidRPr="00505703">
        <w:t xml:space="preserve">Costs of software licenses. Costs for the purchase of off-the-shelf software offered commercially to the </w:t>
      </w:r>
      <w:proofErr w:type="gramStart"/>
      <w:r w:rsidRPr="00505703">
        <w:t>general public</w:t>
      </w:r>
      <w:proofErr w:type="gramEnd"/>
      <w:r w:rsidRPr="00505703">
        <w:t xml:space="preserve"> will be considered on a case-by-case basis and only to the extent the cost is allocable to the award.  Third party donation of off-the-shelf software will be considered on a case-by-case basis. Software licenses for software owned by prime or sub-recipients will not be considered allowable as cost share.</w:t>
      </w:r>
    </w:p>
    <w:p w14:paraId="738182CC" w14:textId="77777777" w:rsidR="006A24B8" w:rsidRPr="008858B4" w:rsidRDefault="006A24B8" w:rsidP="0026495B">
      <w:pPr>
        <w:ind w:left="1620" w:hanging="180"/>
      </w:pPr>
    </w:p>
    <w:p w14:paraId="4A83CFFC" w14:textId="77777777" w:rsidR="006A24B8" w:rsidRPr="008858B4" w:rsidRDefault="004E672B" w:rsidP="00A53BBC">
      <w:pPr>
        <w:ind w:left="1440"/>
      </w:pPr>
      <w:r w:rsidRPr="008858B4">
        <w:t xml:space="preserve">Project </w:t>
      </w:r>
      <w:r w:rsidR="00F202B7">
        <w:t>t</w:t>
      </w:r>
      <w:r w:rsidR="00F202B7" w:rsidRPr="008858B4">
        <w:t xml:space="preserve">eams </w:t>
      </w:r>
      <w:r w:rsidRPr="008858B4">
        <w:t>may not use the same cash or in-kind contributions to meet cost share requirements for more than one project or program.</w:t>
      </w:r>
    </w:p>
    <w:p w14:paraId="3DCEC466" w14:textId="77777777" w:rsidR="006A24B8" w:rsidRPr="008858B4" w:rsidRDefault="006A24B8" w:rsidP="0026495B">
      <w:pPr>
        <w:ind w:left="1620" w:hanging="180"/>
      </w:pPr>
    </w:p>
    <w:p w14:paraId="40514C54" w14:textId="77777777" w:rsidR="003A06FA" w:rsidRPr="008858B4" w:rsidRDefault="004E672B" w:rsidP="00A53BBC">
      <w:pPr>
        <w:ind w:left="1440"/>
      </w:pPr>
      <w:r w:rsidRPr="008858B4">
        <w:t xml:space="preserve">Cost share contributions must be specified in the project budget, verifiable from the </w:t>
      </w:r>
      <w:r w:rsidR="006D34B2">
        <w:t>p</w:t>
      </w:r>
      <w:r w:rsidR="006D34B2" w:rsidRPr="008858B4">
        <w:t xml:space="preserve">rime </w:t>
      </w:r>
      <w:r w:rsidR="00755004">
        <w:t>r</w:t>
      </w:r>
      <w:r w:rsidR="006D34B2" w:rsidRPr="008858B4">
        <w:t xml:space="preserve">ecipient’s </w:t>
      </w:r>
      <w:r w:rsidRPr="008858B4">
        <w:t xml:space="preserve">records, and necessary and reasonable for proper and efficient accomplishment of the project. As all sources of cost share are considered part of total project cost, the cost share dollars will be scrutinized under the same </w:t>
      </w:r>
      <w:r w:rsidR="00710ED6">
        <w:t>f</w:t>
      </w:r>
      <w:r w:rsidR="00710ED6" w:rsidRPr="008858B4">
        <w:t xml:space="preserve">ederal </w:t>
      </w:r>
      <w:r w:rsidRPr="008858B4">
        <w:t xml:space="preserve">regulations as </w:t>
      </w:r>
      <w:r w:rsidR="00710ED6">
        <w:t>f</w:t>
      </w:r>
      <w:r w:rsidR="00710ED6" w:rsidRPr="008858B4">
        <w:t xml:space="preserve">ederal </w:t>
      </w:r>
      <w:r w:rsidRPr="008858B4">
        <w:t>dollars to the project. Every cost share contribution must be reviewed and approved in advance by the Contracting Officer and incorporated into the project budget before the expenditures are incurred.</w:t>
      </w:r>
    </w:p>
    <w:p w14:paraId="09EA131A" w14:textId="77777777" w:rsidR="006A24B8" w:rsidRPr="008858B4" w:rsidRDefault="006A24B8" w:rsidP="00E765F9">
      <w:pPr>
        <w:ind w:left="1440" w:hanging="180"/>
      </w:pPr>
    </w:p>
    <w:p w14:paraId="73EB8517" w14:textId="149DEF3A" w:rsidR="006A24B8" w:rsidRPr="008858B4" w:rsidRDefault="004E672B" w:rsidP="00A53BBC">
      <w:pPr>
        <w:ind w:left="1440"/>
      </w:pPr>
      <w:r w:rsidRPr="008858B4">
        <w:t>Applicants are encouraged to refer to 2 CFR 200.306 as amended by 2 CFR 910.130 for additional cost sharing</w:t>
      </w:r>
      <w:r w:rsidR="00EE4D0C">
        <w:t xml:space="preserve"> requirements</w:t>
      </w:r>
      <w:r w:rsidRPr="008858B4">
        <w:t>.</w:t>
      </w:r>
    </w:p>
    <w:p w14:paraId="2D5DA97C" w14:textId="77777777" w:rsidR="006A24B8" w:rsidRPr="008858B4" w:rsidRDefault="006A24B8" w:rsidP="0026495B">
      <w:pPr>
        <w:ind w:left="1620" w:hanging="180"/>
      </w:pPr>
    </w:p>
    <w:p w14:paraId="7D3BC3B3" w14:textId="77777777" w:rsidR="006A24B8" w:rsidRPr="00872882" w:rsidRDefault="004E672B" w:rsidP="00F836F4">
      <w:pPr>
        <w:pStyle w:val="FOAHeading3"/>
        <w:numPr>
          <w:ilvl w:val="0"/>
          <w:numId w:val="28"/>
        </w:numPr>
        <w:ind w:left="1440"/>
        <w:outlineLvl w:val="2"/>
      </w:pPr>
      <w:bookmarkStart w:id="118" w:name="_Toc519602329"/>
      <w:bookmarkStart w:id="119" w:name="_Toc109921672"/>
      <w:r w:rsidRPr="00C72CE2">
        <w:t>Cost Share Contributions by FFRDCs</w:t>
      </w:r>
      <w:bookmarkEnd w:id="118"/>
      <w:bookmarkEnd w:id="119"/>
      <w:r w:rsidRPr="00C72CE2">
        <w:t xml:space="preserve"> </w:t>
      </w:r>
    </w:p>
    <w:p w14:paraId="78CF9911" w14:textId="77777777" w:rsidR="006A24B8" w:rsidRPr="008858B4" w:rsidRDefault="004E672B" w:rsidP="00A53BBC">
      <w:pPr>
        <w:ind w:left="1440"/>
      </w:pPr>
      <w:r w:rsidRPr="008858B4">
        <w:t xml:space="preserve">Because FFRDCs are funded by the </w:t>
      </w:r>
      <w:r w:rsidR="00710ED6">
        <w:t>f</w:t>
      </w:r>
      <w:r w:rsidR="00710ED6" w:rsidRPr="008858B4">
        <w:t xml:space="preserve">ederal </w:t>
      </w:r>
      <w:r w:rsidR="00710ED6">
        <w:t>g</w:t>
      </w:r>
      <w:r w:rsidR="00710ED6" w:rsidRPr="008858B4">
        <w:t>overnment</w:t>
      </w:r>
      <w:r w:rsidRPr="008858B4">
        <w:t>, costs incurred by FFRDCs generally may not be used to meet the cost share requirement. FFRDCs may contribute cost share only if the contributions are paid directly from the contractor’s Management Fee or another non-</w:t>
      </w:r>
      <w:r w:rsidR="00710ED6">
        <w:t>f</w:t>
      </w:r>
      <w:r w:rsidR="00710ED6" w:rsidRPr="008858B4">
        <w:t xml:space="preserve">ederal </w:t>
      </w:r>
      <w:r w:rsidRPr="008858B4">
        <w:t>source.</w:t>
      </w:r>
    </w:p>
    <w:p w14:paraId="4F3028DF" w14:textId="77777777" w:rsidR="00E765F9" w:rsidRPr="008858B4" w:rsidRDefault="00E765F9" w:rsidP="0026495B">
      <w:pPr>
        <w:ind w:left="1620" w:hanging="180"/>
      </w:pPr>
    </w:p>
    <w:p w14:paraId="059CCB0E" w14:textId="05B324B3" w:rsidR="006A24B8" w:rsidRPr="00872882" w:rsidRDefault="004E672B" w:rsidP="00F836F4">
      <w:pPr>
        <w:pStyle w:val="FOAHeading3"/>
        <w:numPr>
          <w:ilvl w:val="0"/>
          <w:numId w:val="28"/>
        </w:numPr>
        <w:ind w:left="1440"/>
        <w:outlineLvl w:val="2"/>
      </w:pPr>
      <w:bookmarkStart w:id="120" w:name="_Toc519602330"/>
      <w:bookmarkStart w:id="121" w:name="_Toc109921673"/>
      <w:r w:rsidRPr="00C72CE2">
        <w:t>Cost Share Verification</w:t>
      </w:r>
      <w:bookmarkEnd w:id="120"/>
      <w:bookmarkEnd w:id="121"/>
    </w:p>
    <w:p w14:paraId="6B269BF8" w14:textId="77777777" w:rsidR="006A24B8" w:rsidRPr="008858B4" w:rsidRDefault="004E672B" w:rsidP="00A53BBC">
      <w:pPr>
        <w:ind w:left="1440"/>
      </w:pPr>
      <w:r w:rsidRPr="008858B4">
        <w:t>Applicants are required to provide written assurance of their proposed cost share contributions in their Full Applications.</w:t>
      </w:r>
    </w:p>
    <w:p w14:paraId="433A68AA" w14:textId="77777777" w:rsidR="006A24B8" w:rsidRPr="008858B4" w:rsidRDefault="006A24B8" w:rsidP="00E765F9">
      <w:pPr>
        <w:ind w:left="1440" w:hanging="180"/>
      </w:pPr>
    </w:p>
    <w:p w14:paraId="32CE0711" w14:textId="77777777" w:rsidR="006A24B8" w:rsidRPr="008858B4" w:rsidRDefault="004E672B" w:rsidP="00A53BBC">
      <w:pPr>
        <w:ind w:left="1440"/>
      </w:pPr>
      <w:r w:rsidRPr="008858B4">
        <w:t xml:space="preserve">Upon selection for award negotiations, applicants are required to provide additional information and documentation regarding their cost share contributions. Please refer </w:t>
      </w:r>
      <w:r w:rsidRPr="00F16720">
        <w:t xml:space="preserve">to </w:t>
      </w:r>
      <w:r w:rsidRPr="00B062DE">
        <w:t>Appendix A</w:t>
      </w:r>
      <w:r w:rsidRPr="008858B4">
        <w:t xml:space="preserve"> of the FOA.</w:t>
      </w:r>
    </w:p>
    <w:p w14:paraId="24F1F1B1" w14:textId="77777777" w:rsidR="006A24B8" w:rsidRPr="008858B4" w:rsidRDefault="006A24B8" w:rsidP="0026495B">
      <w:pPr>
        <w:ind w:left="1620" w:hanging="180"/>
      </w:pPr>
    </w:p>
    <w:p w14:paraId="70D1D6F5" w14:textId="02230B85" w:rsidR="006A24B8" w:rsidRPr="00872882" w:rsidRDefault="004E672B" w:rsidP="00F836F4">
      <w:pPr>
        <w:pStyle w:val="FOAHeading3"/>
        <w:numPr>
          <w:ilvl w:val="0"/>
          <w:numId w:val="28"/>
        </w:numPr>
        <w:ind w:left="1440"/>
        <w:outlineLvl w:val="2"/>
      </w:pPr>
      <w:bookmarkStart w:id="122" w:name="_Toc519602331"/>
      <w:bookmarkStart w:id="123" w:name="_Toc109921674"/>
      <w:r w:rsidRPr="00C72CE2">
        <w:t>Cost Share Payment</w:t>
      </w:r>
      <w:bookmarkEnd w:id="122"/>
      <w:bookmarkEnd w:id="123"/>
    </w:p>
    <w:p w14:paraId="3D307608" w14:textId="77777777" w:rsidR="006A24B8" w:rsidRPr="008858B4" w:rsidRDefault="004E672B" w:rsidP="00A53BBC">
      <w:pPr>
        <w:ind w:left="1440"/>
      </w:pPr>
      <w:r w:rsidRPr="008858B4">
        <w:t xml:space="preserve">EERE requires </w:t>
      </w:r>
      <w:r w:rsidR="00755004">
        <w:t>p</w:t>
      </w:r>
      <w:r w:rsidR="00755004" w:rsidRPr="008858B4">
        <w:t xml:space="preserve">rime </w:t>
      </w:r>
      <w:r w:rsidR="00755004">
        <w:t>r</w:t>
      </w:r>
      <w:r w:rsidR="00755004" w:rsidRPr="008858B4">
        <w:t xml:space="preserve">ecipients </w:t>
      </w:r>
      <w:r w:rsidRPr="008858B4">
        <w:t xml:space="preserve">to contribute the cost share amount incrementally over the life of the award. Specifically, </w:t>
      </w:r>
      <w:r w:rsidRPr="008858B4">
        <w:rPr>
          <w:color w:val="000000" w:themeColor="text1"/>
        </w:rPr>
        <w:t xml:space="preserve">the </w:t>
      </w:r>
      <w:r w:rsidR="00755004">
        <w:rPr>
          <w:color w:val="000000" w:themeColor="text1"/>
        </w:rPr>
        <w:t>p</w:t>
      </w:r>
      <w:r w:rsidR="00755004" w:rsidRPr="008858B4">
        <w:rPr>
          <w:color w:val="000000" w:themeColor="text1"/>
        </w:rPr>
        <w:t xml:space="preserve">rime </w:t>
      </w:r>
      <w:r w:rsidR="00755004">
        <w:rPr>
          <w:color w:val="000000" w:themeColor="text1"/>
        </w:rPr>
        <w:t>r</w:t>
      </w:r>
      <w:r w:rsidR="00755004" w:rsidRPr="008858B4">
        <w:rPr>
          <w:color w:val="000000" w:themeColor="text1"/>
        </w:rPr>
        <w:t xml:space="preserve">ecipient’s </w:t>
      </w:r>
      <w:r w:rsidRPr="008858B4">
        <w:rPr>
          <w:color w:val="000000" w:themeColor="text1"/>
        </w:rPr>
        <w:t>cost share for each billing period must always reflect the overall cost share ratio negotiated by the parties (i.e., the total amount of cost sharing on each invoice when considered cumulatively with previous invoices must reflect, at a minimum, the cost sharing percentage negotiated)</w:t>
      </w:r>
      <w:r w:rsidRPr="008858B4">
        <w:t xml:space="preserve">. </w:t>
      </w:r>
      <w:r w:rsidR="00E853C5" w:rsidRPr="00E853C5">
        <w:t xml:space="preserve">As FFRDC funding will be provided directly to the FFRDC(s) by DOE, </w:t>
      </w:r>
      <w:r w:rsidR="00755004">
        <w:t>p</w:t>
      </w:r>
      <w:r w:rsidR="00755004" w:rsidRPr="00E853C5">
        <w:t xml:space="preserve">rime </w:t>
      </w:r>
      <w:r w:rsidR="00755004">
        <w:t>r</w:t>
      </w:r>
      <w:r w:rsidR="00755004" w:rsidRPr="00E853C5">
        <w:t xml:space="preserve">ecipients </w:t>
      </w:r>
      <w:r w:rsidR="00E853C5" w:rsidRPr="00E853C5">
        <w:t>will be required to provide project cost share at a percentage commensurate with the FFRDC costs</w:t>
      </w:r>
      <w:r w:rsidR="00E853C5">
        <w:t>,</w:t>
      </w:r>
      <w:r w:rsidR="00E853C5" w:rsidRPr="00E853C5">
        <w:t xml:space="preserve"> on a budget period basis, resulting in a higher interim invoicing cost share ratio than the total award ratio.</w:t>
      </w:r>
      <w:r w:rsidR="00E853C5">
        <w:t xml:space="preserve"> </w:t>
      </w:r>
    </w:p>
    <w:p w14:paraId="072CE2A8" w14:textId="77777777" w:rsidR="006A24B8" w:rsidRPr="008858B4" w:rsidRDefault="006A24B8" w:rsidP="0026495B">
      <w:pPr>
        <w:ind w:left="1620" w:hanging="180"/>
      </w:pPr>
    </w:p>
    <w:p w14:paraId="60000106" w14:textId="77777777" w:rsidR="006A24B8" w:rsidRPr="008858B4" w:rsidRDefault="004E672B" w:rsidP="00A53BBC">
      <w:pPr>
        <w:ind w:left="1440"/>
      </w:pPr>
      <w:r w:rsidRPr="008858B4">
        <w:t xml:space="preserve">In limited circumstances, and where it is in the government’s interest, the EERE Contracting Officer may approve a request by the </w:t>
      </w:r>
      <w:r w:rsidR="00755004">
        <w:t>p</w:t>
      </w:r>
      <w:r w:rsidR="00755004" w:rsidRPr="008858B4">
        <w:t xml:space="preserve">rime </w:t>
      </w:r>
      <w:r w:rsidR="00755004">
        <w:t>r</w:t>
      </w:r>
      <w:r w:rsidR="00755004" w:rsidRPr="008858B4">
        <w:t xml:space="preserve">ecipient </w:t>
      </w:r>
      <w:r w:rsidRPr="008858B4">
        <w:t xml:space="preserve">to meet its cost share requirements on a less frequent basis, such as monthly or quarterly. Regardless of the interval requested, the </w:t>
      </w:r>
      <w:r w:rsidR="00755004">
        <w:t>p</w:t>
      </w:r>
      <w:r w:rsidR="00755004" w:rsidRPr="008858B4">
        <w:t xml:space="preserve">rime </w:t>
      </w:r>
      <w:r w:rsidR="00755004">
        <w:t>r</w:t>
      </w:r>
      <w:r w:rsidR="00755004" w:rsidRPr="008858B4">
        <w:t xml:space="preserve">ecipient </w:t>
      </w:r>
      <w:r w:rsidRPr="008858B4">
        <w:t xml:space="preserve">must be </w:t>
      </w:r>
      <w:proofErr w:type="gramStart"/>
      <w:r w:rsidRPr="008858B4">
        <w:t>up-to-date</w:t>
      </w:r>
      <w:proofErr w:type="gramEnd"/>
      <w:r w:rsidRPr="008858B4">
        <w:t xml:space="preserve"> on cost share at each interval. Such requests must be sent to the Contracting Officer during award negotiations and include the following information: (1) a detailed justification for the request; (2) a proposed schedule of payments, including amounts and dates; (3) a written commitment to meet that schedule; and (4) such evidence as necessary to demonstrate that the </w:t>
      </w:r>
      <w:r w:rsidR="00755004">
        <w:t>p</w:t>
      </w:r>
      <w:r w:rsidR="00755004" w:rsidRPr="008858B4">
        <w:t xml:space="preserve">rime </w:t>
      </w:r>
      <w:r w:rsidR="00755004">
        <w:t>r</w:t>
      </w:r>
      <w:r w:rsidR="00755004" w:rsidRPr="008858B4">
        <w:t xml:space="preserve">ecipient </w:t>
      </w:r>
      <w:r w:rsidRPr="008858B4">
        <w:t>has complied with its cost share obligations to date. The Contracting Officer must approve all such requests before they go into effect.</w:t>
      </w:r>
    </w:p>
    <w:p w14:paraId="7B3433A5" w14:textId="77777777" w:rsidR="006A24B8" w:rsidRPr="008858B4" w:rsidRDefault="006A24B8" w:rsidP="008858B4"/>
    <w:p w14:paraId="1CAE336F" w14:textId="2F74188B" w:rsidR="006A24B8" w:rsidRPr="007A3912" w:rsidRDefault="004E672B" w:rsidP="0017595D">
      <w:pPr>
        <w:pStyle w:val="FOAHeading2"/>
      </w:pPr>
      <w:bookmarkStart w:id="124" w:name="_Toc517798905"/>
      <w:bookmarkStart w:id="125" w:name="_Toc519602233"/>
      <w:bookmarkStart w:id="126" w:name="_Toc519602332"/>
      <w:bookmarkStart w:id="127" w:name="_Toc109921675"/>
      <w:r w:rsidRPr="007A3912">
        <w:t>Compliance Criteria</w:t>
      </w:r>
      <w:bookmarkEnd w:id="124"/>
      <w:bookmarkEnd w:id="125"/>
      <w:bookmarkEnd w:id="126"/>
      <w:bookmarkEnd w:id="127"/>
    </w:p>
    <w:p w14:paraId="61F7F1C7" w14:textId="75083096" w:rsidR="00AF2304" w:rsidRPr="008858B4" w:rsidRDefault="00BB3E6E" w:rsidP="00640F20">
      <w:pPr>
        <w:ind w:left="1296"/>
      </w:pPr>
      <w:r>
        <w:rPr>
          <w:b/>
          <w:u w:val="single"/>
        </w:rPr>
        <w:t>Concept Papers, Full Applications, and Replies to Reviewer Comments</w:t>
      </w:r>
      <w:r w:rsidR="004E672B" w:rsidRPr="7429B13E">
        <w:rPr>
          <w:b/>
          <w:u w:val="single"/>
        </w:rPr>
        <w:t xml:space="preserve"> must meet all </w:t>
      </w:r>
      <w:r w:rsidR="00A01AB2">
        <w:rPr>
          <w:b/>
          <w:u w:val="single"/>
        </w:rPr>
        <w:t>c</w:t>
      </w:r>
      <w:r w:rsidR="00A01AB2" w:rsidRPr="7429B13E">
        <w:rPr>
          <w:b/>
          <w:u w:val="single"/>
        </w:rPr>
        <w:t xml:space="preserve">ompliance </w:t>
      </w:r>
      <w:r w:rsidR="004E672B" w:rsidRPr="7429B13E">
        <w:rPr>
          <w:b/>
          <w:u w:val="single"/>
        </w:rPr>
        <w:t>criteria listed below or they will be considered noncompliant. EERE will not review or consider noncompliant submissions</w:t>
      </w:r>
      <w:r w:rsidR="004E672B" w:rsidRPr="008858B4">
        <w:t>, including</w:t>
      </w:r>
      <w:r>
        <w:t xml:space="preserve"> Concept Papers, Full Applications, and Replies to Reviewer Comments</w:t>
      </w:r>
      <w:r w:rsidR="004E672B" w:rsidRPr="008858B4">
        <w:t xml:space="preserve"> that were: submitted through means other than </w:t>
      </w:r>
      <w:r w:rsidR="003A2EEC">
        <w:t>EERE Exchange</w:t>
      </w:r>
      <w:r w:rsidR="004E672B" w:rsidRPr="008858B4">
        <w:t xml:space="preserve">; submitted after the applicable deadline; and/or submitted incomplete. EERE will not extend the submission deadline for applicants that fail to submit required information </w:t>
      </w:r>
      <w:r w:rsidR="00931507">
        <w:t xml:space="preserve">by the applicable deadline </w:t>
      </w:r>
      <w:r w:rsidR="004E672B" w:rsidRPr="008858B4">
        <w:t>due to server/connection congestion.</w:t>
      </w:r>
    </w:p>
    <w:p w14:paraId="000351F0" w14:textId="77777777" w:rsidR="006A24B8" w:rsidRPr="008858B4" w:rsidRDefault="006A24B8" w:rsidP="008858B4"/>
    <w:p w14:paraId="4D91AA34" w14:textId="58972710" w:rsidR="006A24B8" w:rsidRPr="00484B65" w:rsidRDefault="004E672B" w:rsidP="00E52A2D">
      <w:pPr>
        <w:pStyle w:val="FOAHeading4"/>
        <w:rPr>
          <w:rFonts w:asciiTheme="minorHAnsi" w:hAnsiTheme="minorHAnsi"/>
          <w:b w:val="0"/>
          <w:i/>
        </w:rPr>
      </w:pPr>
      <w:bookmarkStart w:id="128" w:name="_Toc519602333"/>
      <w:r w:rsidRPr="00484B65">
        <w:rPr>
          <w:rFonts w:asciiTheme="minorHAnsi" w:hAnsiTheme="minorHAnsi"/>
          <w:b w:val="0"/>
          <w:i/>
        </w:rPr>
        <w:t>Concept Papers</w:t>
      </w:r>
    </w:p>
    <w:p w14:paraId="683B70BB" w14:textId="77777777" w:rsidR="009061D6" w:rsidRPr="00022517" w:rsidRDefault="004E672B" w:rsidP="009061D6">
      <w:pPr>
        <w:ind w:left="1800"/>
      </w:pPr>
      <w:r w:rsidRPr="00022517">
        <w:t>Concept Papers are deemed compliant if:</w:t>
      </w:r>
    </w:p>
    <w:p w14:paraId="4B60A461" w14:textId="70DAD762" w:rsidR="006A24B8" w:rsidRPr="008858B4" w:rsidRDefault="004E672B" w:rsidP="00F836F4">
      <w:pPr>
        <w:pStyle w:val="ListParagraph"/>
        <w:numPr>
          <w:ilvl w:val="0"/>
          <w:numId w:val="6"/>
        </w:numPr>
        <w:ind w:left="2430"/>
      </w:pPr>
      <w:r w:rsidRPr="008858B4">
        <w:t xml:space="preserve">The Concept Paper complies with the content and form requirements in </w:t>
      </w:r>
      <w:r w:rsidRPr="00B062DE">
        <w:t>Section IV.</w:t>
      </w:r>
      <w:r w:rsidR="00B062DE" w:rsidRPr="00B062DE">
        <w:t>C</w:t>
      </w:r>
      <w:r w:rsidR="002013D0" w:rsidRPr="00B062DE">
        <w:t>.</w:t>
      </w:r>
      <w:r w:rsidRPr="008858B4">
        <w:t xml:space="preserve"> of the FOA; and</w:t>
      </w:r>
    </w:p>
    <w:p w14:paraId="558EED09" w14:textId="11015295" w:rsidR="006A24B8" w:rsidRPr="008858B4" w:rsidRDefault="004E672B" w:rsidP="00F836F4">
      <w:pPr>
        <w:pStyle w:val="ListParagraph"/>
        <w:numPr>
          <w:ilvl w:val="0"/>
          <w:numId w:val="6"/>
        </w:numPr>
        <w:ind w:left="2430"/>
      </w:pPr>
      <w:r w:rsidRPr="008858B4">
        <w:t xml:space="preserve">The applicant successfully uploaded all required documents and clicked the “Submit” button in </w:t>
      </w:r>
      <w:r w:rsidR="00DB3255">
        <w:t>EERE Exchange</w:t>
      </w:r>
      <w:r w:rsidRPr="008858B4">
        <w:t xml:space="preserve"> by the deadline stated in this FOA.</w:t>
      </w:r>
    </w:p>
    <w:p w14:paraId="67285D44" w14:textId="77777777" w:rsidR="006A24B8" w:rsidRPr="008858B4" w:rsidRDefault="006A24B8" w:rsidP="0026495B">
      <w:pPr>
        <w:ind w:left="1980"/>
      </w:pPr>
    </w:p>
    <w:p w14:paraId="128EE23B" w14:textId="77777777" w:rsidR="006A24B8" w:rsidRPr="009061D6" w:rsidRDefault="004E672B" w:rsidP="004E4BE0">
      <w:pPr>
        <w:pStyle w:val="FOAHeading4"/>
        <w:rPr>
          <w:rFonts w:asciiTheme="minorHAnsi" w:hAnsiTheme="minorHAnsi"/>
          <w:b w:val="0"/>
          <w:i/>
        </w:rPr>
      </w:pPr>
      <w:r w:rsidRPr="009061D6">
        <w:rPr>
          <w:rFonts w:asciiTheme="minorHAnsi" w:hAnsiTheme="minorHAnsi"/>
          <w:b w:val="0"/>
          <w:i/>
        </w:rPr>
        <w:t>Full Applications</w:t>
      </w:r>
    </w:p>
    <w:p w14:paraId="0E89B3D3" w14:textId="77777777" w:rsidR="006A24B8" w:rsidRPr="008858B4" w:rsidRDefault="004E672B" w:rsidP="005748F1">
      <w:pPr>
        <w:ind w:left="1800"/>
      </w:pPr>
      <w:r w:rsidRPr="008858B4">
        <w:t>Full Applications are deemed compliant if:</w:t>
      </w:r>
    </w:p>
    <w:p w14:paraId="53C45694" w14:textId="5DBF00CD" w:rsidR="006A24B8" w:rsidRPr="008858B4" w:rsidRDefault="004E672B" w:rsidP="00F836F4">
      <w:pPr>
        <w:pStyle w:val="ListParagraph"/>
        <w:numPr>
          <w:ilvl w:val="0"/>
          <w:numId w:val="7"/>
        </w:numPr>
      </w:pPr>
      <w:r>
        <w:t>The applicant submitted a c</w:t>
      </w:r>
      <w:r w:rsidRPr="009061D6">
        <w:t>ompliant</w:t>
      </w:r>
      <w:r w:rsidR="00B1152F">
        <w:t xml:space="preserve"> </w:t>
      </w:r>
      <w:r w:rsidRPr="009061D6">
        <w:t xml:space="preserve">Concept </w:t>
      </w:r>
      <w:proofErr w:type="gramStart"/>
      <w:r w:rsidRPr="009061D6">
        <w:t>Paper</w:t>
      </w:r>
      <w:r w:rsidR="00CD01E8">
        <w:t>;</w:t>
      </w:r>
      <w:proofErr w:type="gramEnd"/>
    </w:p>
    <w:p w14:paraId="2E3A5D0F" w14:textId="26630B58" w:rsidR="006A24B8" w:rsidRPr="008858B4" w:rsidRDefault="004E672B" w:rsidP="00F836F4">
      <w:pPr>
        <w:pStyle w:val="ListParagraph"/>
        <w:numPr>
          <w:ilvl w:val="0"/>
          <w:numId w:val="7"/>
        </w:numPr>
      </w:pPr>
      <w:r w:rsidRPr="008858B4">
        <w:t xml:space="preserve">The Full Application complies with the content and form requirements in </w:t>
      </w:r>
      <w:r w:rsidRPr="00B062DE">
        <w:t>Section IV.</w:t>
      </w:r>
      <w:r w:rsidR="00B062DE" w:rsidRPr="00B062DE">
        <w:t>D</w:t>
      </w:r>
      <w:r w:rsidR="002013D0" w:rsidRPr="00B062DE">
        <w:t>.</w:t>
      </w:r>
      <w:r w:rsidRPr="008858B4">
        <w:t xml:space="preserve"> of the FOA; and</w:t>
      </w:r>
    </w:p>
    <w:p w14:paraId="1010D481" w14:textId="7AC9CC82" w:rsidR="006A24B8" w:rsidRPr="008858B4" w:rsidRDefault="004E672B" w:rsidP="00F836F4">
      <w:pPr>
        <w:pStyle w:val="ListParagraph"/>
        <w:numPr>
          <w:ilvl w:val="0"/>
          <w:numId w:val="7"/>
        </w:numPr>
      </w:pPr>
      <w:r w:rsidRPr="008858B4">
        <w:t xml:space="preserve">The applicant successfully uploaded all required documents and clicked the “Submit” button in </w:t>
      </w:r>
      <w:r w:rsidR="00DB3255">
        <w:t>EERE Exchange</w:t>
      </w:r>
      <w:r w:rsidRPr="008858B4">
        <w:t xml:space="preserve"> by the deadline stated in the FOA.</w:t>
      </w:r>
    </w:p>
    <w:p w14:paraId="70B51A59" w14:textId="0BB4DFB5" w:rsidR="006A24B8" w:rsidRPr="00CF5CA4" w:rsidRDefault="006A24B8" w:rsidP="008858B4"/>
    <w:p w14:paraId="6EC0BF17" w14:textId="649A6E3A" w:rsidR="00EE6102" w:rsidRPr="00CF5CA4" w:rsidRDefault="004E672B" w:rsidP="00EE6102">
      <w:pPr>
        <w:pStyle w:val="FOAHeading4"/>
        <w:rPr>
          <w:rFonts w:asciiTheme="minorHAnsi" w:hAnsiTheme="minorHAnsi"/>
          <w:b w:val="0"/>
          <w:i/>
          <w:color w:val="auto"/>
        </w:rPr>
      </w:pPr>
      <w:r w:rsidRPr="00CF5CA4">
        <w:rPr>
          <w:rFonts w:asciiTheme="minorHAnsi" w:hAnsiTheme="minorHAnsi"/>
          <w:b w:val="0"/>
          <w:i/>
          <w:color w:val="auto"/>
        </w:rPr>
        <w:t xml:space="preserve">Replies to Reviewer </w:t>
      </w:r>
      <w:r w:rsidRPr="00022517">
        <w:rPr>
          <w:rFonts w:asciiTheme="minorHAnsi" w:hAnsiTheme="minorHAnsi"/>
          <w:b w:val="0"/>
          <w:i/>
          <w:color w:val="auto"/>
        </w:rPr>
        <w:t>Comments</w:t>
      </w:r>
    </w:p>
    <w:p w14:paraId="736FD1CF" w14:textId="77777777" w:rsidR="006A24B8" w:rsidRPr="00CF5CA4" w:rsidRDefault="004E672B" w:rsidP="005748F1">
      <w:pPr>
        <w:ind w:left="1800"/>
      </w:pPr>
      <w:r w:rsidRPr="00CF5CA4">
        <w:t>Replies to Reviewer Comments are deemed compliant if:</w:t>
      </w:r>
    </w:p>
    <w:p w14:paraId="23D0E72A" w14:textId="43FD16DF" w:rsidR="006A24B8" w:rsidRPr="00CF5CA4" w:rsidRDefault="004E672B" w:rsidP="00F836F4">
      <w:pPr>
        <w:pStyle w:val="ListParagraph"/>
        <w:numPr>
          <w:ilvl w:val="0"/>
          <w:numId w:val="8"/>
        </w:numPr>
      </w:pPr>
      <w:r w:rsidRPr="00CF5CA4">
        <w:t xml:space="preserve">The Reply to Reviewer Comments complies with the content and form requirements in </w:t>
      </w:r>
      <w:r w:rsidRPr="00B062DE">
        <w:t>Section IV.</w:t>
      </w:r>
      <w:r w:rsidR="00B062DE" w:rsidRPr="00B062DE">
        <w:t>E</w:t>
      </w:r>
      <w:r w:rsidR="002013D0" w:rsidRPr="00B062DE">
        <w:t>.</w:t>
      </w:r>
      <w:r w:rsidRPr="00CF5CA4">
        <w:t xml:space="preserve"> of the FOA; and</w:t>
      </w:r>
    </w:p>
    <w:p w14:paraId="2040FE91" w14:textId="5CFA6E28" w:rsidR="006A24B8" w:rsidRPr="00CF5CA4" w:rsidRDefault="004E672B" w:rsidP="00F836F4">
      <w:pPr>
        <w:pStyle w:val="ListParagraph"/>
        <w:numPr>
          <w:ilvl w:val="0"/>
          <w:numId w:val="8"/>
        </w:numPr>
      </w:pPr>
      <w:r w:rsidRPr="00CF5CA4">
        <w:t xml:space="preserve">The applicant successfully uploaded all required documents to </w:t>
      </w:r>
      <w:r w:rsidR="00DB3255">
        <w:t>EERE Exchange</w:t>
      </w:r>
      <w:r w:rsidR="00DB3255" w:rsidRPr="00CF5CA4">
        <w:t xml:space="preserve"> </w:t>
      </w:r>
      <w:r w:rsidRPr="00CF5CA4">
        <w:t>by the deadline stated in the FOA.</w:t>
      </w:r>
    </w:p>
    <w:p w14:paraId="7872BF03" w14:textId="77777777" w:rsidR="00CB15B9" w:rsidRPr="00CF5CA4" w:rsidRDefault="00CB15B9" w:rsidP="008858B4"/>
    <w:p w14:paraId="6516DB16" w14:textId="1F14293C" w:rsidR="006A24B8" w:rsidRPr="00CF5CA4" w:rsidRDefault="004E672B" w:rsidP="0017595D">
      <w:pPr>
        <w:pStyle w:val="FOAHeading2"/>
      </w:pPr>
      <w:bookmarkStart w:id="129" w:name="_Toc517798906"/>
      <w:bookmarkStart w:id="130" w:name="_Toc519602234"/>
      <w:bookmarkStart w:id="131" w:name="_Toc519602334"/>
      <w:bookmarkStart w:id="132" w:name="_Toc109921676"/>
      <w:r w:rsidRPr="00CF5CA4">
        <w:t>Responsiveness Criteria</w:t>
      </w:r>
      <w:bookmarkEnd w:id="129"/>
      <w:bookmarkEnd w:id="130"/>
      <w:bookmarkEnd w:id="131"/>
      <w:bookmarkEnd w:id="132"/>
    </w:p>
    <w:p w14:paraId="38DFC4B7" w14:textId="77777777" w:rsidR="006A24B8" w:rsidRPr="00CF5CA4" w:rsidRDefault="004E672B" w:rsidP="00B967BF">
      <w:pPr>
        <w:ind w:left="1296"/>
      </w:pPr>
      <w:r w:rsidRPr="00CF5CA4">
        <w:t xml:space="preserve">All “Applications Specifically Not of Interest,” as described in </w:t>
      </w:r>
      <w:r w:rsidRPr="0031434D">
        <w:t>Section I.C</w:t>
      </w:r>
      <w:r w:rsidR="002013D0" w:rsidRPr="0031434D">
        <w:t>.</w:t>
      </w:r>
      <w:r w:rsidRPr="00CF5CA4">
        <w:t xml:space="preserve"> of the FOA, are deemed nonresponsive and are not reviewed or considered.</w:t>
      </w:r>
    </w:p>
    <w:p w14:paraId="7B8A85A1" w14:textId="77777777" w:rsidR="00FE3AE5" w:rsidRPr="00CF5CA4" w:rsidRDefault="00FE3AE5" w:rsidP="008858B4"/>
    <w:p w14:paraId="016A5234" w14:textId="0157B523" w:rsidR="00B90600" w:rsidRDefault="004E672B" w:rsidP="0017595D">
      <w:pPr>
        <w:pStyle w:val="FOAHeading2"/>
      </w:pPr>
      <w:bookmarkStart w:id="133" w:name="_Toc517798907"/>
      <w:bookmarkStart w:id="134" w:name="_Toc519602235"/>
      <w:bookmarkStart w:id="135" w:name="_Toc519602335"/>
      <w:bookmarkStart w:id="136" w:name="_Toc109921677"/>
      <w:r w:rsidRPr="00CF5CA4">
        <w:t>Other Eligibility Requirements</w:t>
      </w:r>
      <w:bookmarkStart w:id="137" w:name="_Toc494187629"/>
      <w:bookmarkStart w:id="138" w:name="_Toc496512928"/>
      <w:bookmarkEnd w:id="133"/>
      <w:bookmarkEnd w:id="134"/>
      <w:bookmarkEnd w:id="135"/>
      <w:bookmarkEnd w:id="136"/>
    </w:p>
    <w:p w14:paraId="79261582" w14:textId="4039C99F" w:rsidR="00B90600" w:rsidRPr="00B90600" w:rsidRDefault="00B90600" w:rsidP="00B90600">
      <w:pPr>
        <w:pStyle w:val="FOAHeading3"/>
        <w:numPr>
          <w:ilvl w:val="0"/>
          <w:numId w:val="0"/>
        </w:numPr>
        <w:rPr>
          <w:b w:val="0"/>
          <w:sz w:val="24"/>
          <w:szCs w:val="24"/>
        </w:rPr>
      </w:pPr>
    </w:p>
    <w:p w14:paraId="0B0DDDB2" w14:textId="4444EB9D" w:rsidR="00EE6102" w:rsidRPr="00CF5CA4" w:rsidRDefault="004E672B" w:rsidP="00F836F4">
      <w:pPr>
        <w:pStyle w:val="FOAHeading3"/>
        <w:numPr>
          <w:ilvl w:val="0"/>
          <w:numId w:val="29"/>
        </w:numPr>
        <w:ind w:left="1440"/>
        <w:outlineLvl w:val="2"/>
      </w:pPr>
      <w:bookmarkStart w:id="139" w:name="_Toc109921678"/>
      <w:r w:rsidRPr="00CF5CA4">
        <w:t>Requirements for DOE/</w:t>
      </w:r>
      <w:r w:rsidR="003E1D82" w:rsidRPr="00CF5CA4">
        <w:t xml:space="preserve">National Nuclear Security Agency (NNSA) </w:t>
      </w:r>
      <w:r w:rsidRPr="00CF5CA4">
        <w:t>Federal</w:t>
      </w:r>
      <w:r w:rsidR="004D123B" w:rsidRPr="00CF5CA4">
        <w:t>ly</w:t>
      </w:r>
      <w:r w:rsidRPr="00CF5CA4">
        <w:t xml:space="preserve"> Funded Research and Development Centers (FFRDC) Listed as the </w:t>
      </w:r>
      <w:r w:rsidR="002013D0" w:rsidRPr="00CF5CA4">
        <w:t>a</w:t>
      </w:r>
      <w:r w:rsidR="003E1D82" w:rsidRPr="00CF5CA4">
        <w:t>pplicant</w:t>
      </w:r>
      <w:bookmarkEnd w:id="139"/>
      <w:r w:rsidR="001A3502" w:rsidRPr="00CF5CA4">
        <w:t xml:space="preserve"> </w:t>
      </w:r>
      <w:bookmarkEnd w:id="137"/>
      <w:bookmarkEnd w:id="138"/>
    </w:p>
    <w:p w14:paraId="2DFE9C41" w14:textId="77777777" w:rsidR="006A24B8" w:rsidRPr="00CF5CA4" w:rsidRDefault="004E672B" w:rsidP="00E20293">
      <w:pPr>
        <w:ind w:left="1440"/>
      </w:pPr>
      <w:r w:rsidRPr="00CF5CA4">
        <w:t xml:space="preserve">A DOE/NNSA FFRDC is eligible to apply for funding under this FOA if its cognizant Contracting Officer provides written authorization and this authorization is submitted with the application. </w:t>
      </w:r>
    </w:p>
    <w:p w14:paraId="1BBD31FF" w14:textId="77777777" w:rsidR="00FE3AE5" w:rsidRPr="00CF5CA4" w:rsidRDefault="00FE3AE5" w:rsidP="00FD6ADF"/>
    <w:p w14:paraId="4433C8F2" w14:textId="77777777" w:rsidR="006A24B8" w:rsidRPr="00CF5CA4" w:rsidRDefault="004E672B" w:rsidP="00E20293">
      <w:pPr>
        <w:ind w:left="1440"/>
      </w:pPr>
      <w:r w:rsidRPr="00CF5CA4">
        <w:t>The following wording is acceptable for the authorization:</w:t>
      </w:r>
    </w:p>
    <w:p w14:paraId="11B0C66E" w14:textId="77777777" w:rsidR="00371D04" w:rsidRPr="00CF5CA4" w:rsidRDefault="00371D04" w:rsidP="00371D04">
      <w:pPr>
        <w:ind w:left="1440"/>
      </w:pPr>
    </w:p>
    <w:p w14:paraId="45B92D9F" w14:textId="77777777" w:rsidR="009B6078" w:rsidRPr="00CF5CA4" w:rsidRDefault="004E672B" w:rsidP="00371D04">
      <w:pPr>
        <w:ind w:left="1890" w:right="720"/>
      </w:pPr>
      <w:r w:rsidRPr="00CF5CA4">
        <w:t xml:space="preserve">Authorization is granted for the Laboratory to participate in the proposed project. The work proposed for the laboratory is consistent with or complementary to the missions of the </w:t>
      </w:r>
      <w:proofErr w:type="gramStart"/>
      <w:r w:rsidRPr="00CF5CA4">
        <w:t>laboratory, and</w:t>
      </w:r>
      <w:proofErr w:type="gramEnd"/>
      <w:r w:rsidRPr="00CF5CA4">
        <w:t xml:space="preserve"> will not adversely impact execution of the DOE assigned programs at the laboratory.</w:t>
      </w:r>
      <w:r w:rsidR="00BD655F" w:rsidRPr="00CF5CA4">
        <w:t xml:space="preserve"> </w:t>
      </w:r>
    </w:p>
    <w:p w14:paraId="6C18076C" w14:textId="77777777" w:rsidR="006A24B8" w:rsidRPr="00CF5CA4" w:rsidRDefault="004E672B" w:rsidP="00371D04">
      <w:pPr>
        <w:ind w:left="1890" w:right="720"/>
      </w:pPr>
      <w:r w:rsidRPr="00CF5CA4">
        <w:t>(</w:t>
      </w:r>
      <w:proofErr w:type="gramStart"/>
      <w:r w:rsidRPr="00CF5CA4">
        <w:t>end</w:t>
      </w:r>
      <w:proofErr w:type="gramEnd"/>
      <w:r w:rsidRPr="00CF5CA4">
        <w:t xml:space="preserve"> of acceptable authorization)</w:t>
      </w:r>
    </w:p>
    <w:p w14:paraId="70E1B231" w14:textId="77777777" w:rsidR="003E1D82" w:rsidRPr="00CF5CA4" w:rsidRDefault="003E1D82" w:rsidP="00371D04">
      <w:pPr>
        <w:ind w:left="1890" w:right="720"/>
      </w:pPr>
    </w:p>
    <w:p w14:paraId="1D7DFAAA" w14:textId="6BC8F9FC" w:rsidR="003E1D82" w:rsidRPr="00CF5CA4" w:rsidRDefault="004E672B" w:rsidP="006E6340">
      <w:pPr>
        <w:ind w:left="1440"/>
      </w:pPr>
      <w:r w:rsidRPr="00CF5CA4">
        <w:t xml:space="preserve">If a DOE/NNSA FFRDC is selected for award negotiation, the proposed work will be authorized under the DOE work authorization process and performed under the laboratory’s </w:t>
      </w:r>
      <w:r w:rsidR="004D123B" w:rsidRPr="00CF5CA4">
        <w:t>Management and Operating (</w:t>
      </w:r>
      <w:r w:rsidRPr="00CF5CA4">
        <w:t>M&amp;O</w:t>
      </w:r>
      <w:r w:rsidR="004D123B" w:rsidRPr="00CF5CA4">
        <w:t>)</w:t>
      </w:r>
      <w:r w:rsidRPr="00CF5CA4">
        <w:t xml:space="preserve"> contract.</w:t>
      </w:r>
    </w:p>
    <w:p w14:paraId="0505FECA" w14:textId="77777777" w:rsidR="006A24B8" w:rsidRPr="00CF5CA4" w:rsidRDefault="006A24B8" w:rsidP="00A5305A">
      <w:pPr>
        <w:ind w:left="1800"/>
      </w:pPr>
    </w:p>
    <w:p w14:paraId="520C333E" w14:textId="7A6A20B3" w:rsidR="006A24B8" w:rsidRPr="0022038E" w:rsidRDefault="004E672B" w:rsidP="00F836F4">
      <w:pPr>
        <w:pStyle w:val="FOAHeading3"/>
        <w:numPr>
          <w:ilvl w:val="0"/>
          <w:numId w:val="29"/>
        </w:numPr>
        <w:ind w:left="1440"/>
        <w:outlineLvl w:val="2"/>
      </w:pPr>
      <w:bookmarkStart w:id="140" w:name="_Toc519602337"/>
      <w:bookmarkStart w:id="141" w:name="_Toc109921679"/>
      <w:r w:rsidRPr="00C72CE2">
        <w:t>Requirements for DOE/NNSA and non-DOE/NNSA Federally Funded Research and Development Centers Included as a Subrecipient</w:t>
      </w:r>
      <w:bookmarkEnd w:id="140"/>
      <w:bookmarkEnd w:id="141"/>
    </w:p>
    <w:p w14:paraId="3916C3A4" w14:textId="77777777" w:rsidR="006A24B8" w:rsidRPr="008858B4" w:rsidRDefault="004E672B" w:rsidP="007B530B">
      <w:pPr>
        <w:ind w:left="1440"/>
      </w:pPr>
      <w:r w:rsidRPr="008858B4">
        <w:t xml:space="preserve">DOE/NNSA and non-DOE/NNSA FFRDCs may be proposed as a </w:t>
      </w:r>
      <w:r w:rsidR="001A6434">
        <w:t>s</w:t>
      </w:r>
      <w:r w:rsidR="001A6434" w:rsidRPr="008858B4">
        <w:t xml:space="preserve">ubrecipient </w:t>
      </w:r>
      <w:r w:rsidRPr="008858B4">
        <w:t>on another entity’s application subject to the following guidelines:</w:t>
      </w:r>
    </w:p>
    <w:p w14:paraId="395C368E" w14:textId="77777777" w:rsidR="006A24B8" w:rsidRPr="008858B4" w:rsidRDefault="006A24B8" w:rsidP="007118D7">
      <w:pPr>
        <w:ind w:left="2880" w:hanging="720"/>
      </w:pPr>
    </w:p>
    <w:p w14:paraId="21A5C678" w14:textId="77777777" w:rsidR="006A24B8" w:rsidRPr="00AF2304" w:rsidRDefault="004E672B" w:rsidP="003E1D49">
      <w:pPr>
        <w:pStyle w:val="FOAHeading4"/>
        <w:rPr>
          <w:rFonts w:asciiTheme="minorHAnsi" w:hAnsiTheme="minorHAnsi"/>
          <w:b w:val="0"/>
          <w:i/>
        </w:rPr>
      </w:pPr>
      <w:r w:rsidRPr="00AF2304">
        <w:rPr>
          <w:rFonts w:asciiTheme="minorHAnsi" w:hAnsiTheme="minorHAnsi"/>
          <w:b w:val="0"/>
          <w:i/>
        </w:rPr>
        <w:t>Authorization for non-DOE/NNSA FFRDCs</w:t>
      </w:r>
    </w:p>
    <w:p w14:paraId="6FBBBE1C" w14:textId="77777777" w:rsidR="006A24B8" w:rsidRPr="008858B4" w:rsidRDefault="004E672B" w:rsidP="00A53BBC">
      <w:pPr>
        <w:ind w:left="1800"/>
      </w:pPr>
      <w:r w:rsidRPr="008858B4">
        <w:t xml:space="preserve">The </w:t>
      </w:r>
      <w:r w:rsidR="00710ED6">
        <w:t>f</w:t>
      </w:r>
      <w:r w:rsidR="00710ED6" w:rsidRPr="008858B4">
        <w:t xml:space="preserve">ederal </w:t>
      </w:r>
      <w:r w:rsidRPr="008858B4">
        <w:t>agency sponsoring the FFRDC must authorize in writing the use of the FFRDC on the proposed project and this authorization must be submitted with the application. The use of a FFRDC must be consistent with its authority under its award.</w:t>
      </w:r>
    </w:p>
    <w:p w14:paraId="1079342E" w14:textId="77777777" w:rsidR="006A24B8" w:rsidRPr="008858B4" w:rsidRDefault="006A24B8" w:rsidP="00C12E27">
      <w:pPr>
        <w:ind w:left="1980" w:hanging="360"/>
      </w:pPr>
    </w:p>
    <w:p w14:paraId="14D393DE" w14:textId="77777777" w:rsidR="006A24B8" w:rsidRPr="00AF2304" w:rsidRDefault="004E672B" w:rsidP="003E1D49">
      <w:pPr>
        <w:pStyle w:val="FOAHeading4"/>
        <w:rPr>
          <w:rFonts w:asciiTheme="minorHAnsi" w:hAnsiTheme="minorHAnsi"/>
          <w:b w:val="0"/>
          <w:i/>
        </w:rPr>
      </w:pPr>
      <w:r w:rsidRPr="00AF2304">
        <w:rPr>
          <w:rFonts w:asciiTheme="minorHAnsi" w:hAnsiTheme="minorHAnsi"/>
          <w:b w:val="0"/>
          <w:i/>
        </w:rPr>
        <w:t>Authorization for DOE/NNSA FFRDCs</w:t>
      </w:r>
    </w:p>
    <w:p w14:paraId="13DC663F" w14:textId="77777777" w:rsidR="006A24B8" w:rsidRPr="008858B4" w:rsidRDefault="004E672B" w:rsidP="00A53BBC">
      <w:pPr>
        <w:ind w:left="1800"/>
      </w:pPr>
      <w:r w:rsidRPr="008858B4">
        <w:t>The cognizant Contracting Officer for the FFRDC must authorize in writing the use of the FFRDC on the proposed project and this authorization must be submitted with the application. The following wording is acceptable for this authorization:</w:t>
      </w:r>
    </w:p>
    <w:p w14:paraId="094B3404" w14:textId="77777777" w:rsidR="006A24B8" w:rsidRPr="008858B4" w:rsidRDefault="006A24B8" w:rsidP="00C12E27">
      <w:pPr>
        <w:ind w:left="1980" w:hanging="360"/>
      </w:pPr>
    </w:p>
    <w:p w14:paraId="2517289D" w14:textId="77777777" w:rsidR="006A24B8" w:rsidRDefault="004E672B" w:rsidP="00A53BBC">
      <w:pPr>
        <w:ind w:left="1800" w:right="720"/>
      </w:pPr>
      <w:r w:rsidRPr="008858B4">
        <w:t xml:space="preserve">Authorization is granted for the Laboratory to participate in the proposed project. The work proposed for the laboratory is consistent with or complementary to the missions of the </w:t>
      </w:r>
      <w:proofErr w:type="gramStart"/>
      <w:r w:rsidRPr="008858B4">
        <w:t>laboratory, and</w:t>
      </w:r>
      <w:proofErr w:type="gramEnd"/>
      <w:r w:rsidRPr="008858B4">
        <w:t xml:space="preserve"> will not adversely impact execution of the DOE assigned programs at the laboratory.</w:t>
      </w:r>
    </w:p>
    <w:p w14:paraId="047DDA7E" w14:textId="77777777" w:rsidR="006A24B8" w:rsidRPr="008858B4" w:rsidRDefault="006A24B8" w:rsidP="001B4465"/>
    <w:p w14:paraId="6B33C3E0" w14:textId="77777777" w:rsidR="006A24B8" w:rsidRPr="00AF2304" w:rsidRDefault="004E672B" w:rsidP="003E1D49">
      <w:pPr>
        <w:pStyle w:val="FOAHeading4"/>
        <w:rPr>
          <w:rFonts w:asciiTheme="minorHAnsi" w:hAnsiTheme="minorHAnsi"/>
          <w:b w:val="0"/>
          <w:i/>
        </w:rPr>
      </w:pPr>
      <w:r w:rsidRPr="00AF2304">
        <w:rPr>
          <w:rFonts w:asciiTheme="minorHAnsi" w:hAnsiTheme="minorHAnsi"/>
          <w:b w:val="0"/>
          <w:i/>
        </w:rPr>
        <w:t>Value/Funding</w:t>
      </w:r>
    </w:p>
    <w:p w14:paraId="3BEE59BE" w14:textId="77777777" w:rsidR="006A24B8" w:rsidRPr="008858B4" w:rsidRDefault="004E672B" w:rsidP="00A53BBC">
      <w:pPr>
        <w:ind w:left="1800"/>
      </w:pPr>
      <w:r w:rsidRPr="008858B4">
        <w:t xml:space="preserve">The value of and funding for the FFRDC portion of the work will not normally be included in the award to a successful applicant. Usually, DOE will fund a DOE/NNSA FFRDC contractor through the DOE field work proposal </w:t>
      </w:r>
      <w:r w:rsidR="009F1B00">
        <w:t xml:space="preserve">(WP) </w:t>
      </w:r>
      <w:r w:rsidRPr="008858B4">
        <w:t>system and non-DOE/NNSA FFRDC through an interagency agreement with the sponsoring agency.</w:t>
      </w:r>
    </w:p>
    <w:p w14:paraId="41F5A11E" w14:textId="77777777" w:rsidR="006A24B8" w:rsidRPr="008858B4" w:rsidRDefault="006A24B8" w:rsidP="00C12E27">
      <w:pPr>
        <w:ind w:left="1980" w:hanging="360"/>
      </w:pPr>
    </w:p>
    <w:p w14:paraId="0732E69A" w14:textId="77777777" w:rsidR="006A24B8" w:rsidRPr="00AF2304" w:rsidRDefault="004E672B" w:rsidP="003E1D49">
      <w:pPr>
        <w:pStyle w:val="FOAHeading4"/>
        <w:rPr>
          <w:rFonts w:asciiTheme="minorHAnsi" w:hAnsiTheme="minorHAnsi"/>
          <w:b w:val="0"/>
          <w:i/>
        </w:rPr>
      </w:pPr>
      <w:r w:rsidRPr="00AF2304">
        <w:rPr>
          <w:rFonts w:asciiTheme="minorHAnsi" w:hAnsiTheme="minorHAnsi"/>
          <w:b w:val="0"/>
          <w:i/>
        </w:rPr>
        <w:t>Cost Share</w:t>
      </w:r>
    </w:p>
    <w:p w14:paraId="46C5483C" w14:textId="77777777" w:rsidR="006A24B8" w:rsidRPr="008858B4" w:rsidRDefault="004E672B" w:rsidP="00A53BBC">
      <w:pPr>
        <w:ind w:left="1800"/>
      </w:pPr>
      <w:r w:rsidRPr="008858B4">
        <w:t>Although the FFRDC portion of the work is usually excluded from the award to a successful applicant, the applicant’s cost share requirement will be based on the total cost of the project, including the applicant’s</w:t>
      </w:r>
      <w:r w:rsidR="00512E25">
        <w:t>, the subrecipient’s,</w:t>
      </w:r>
      <w:r w:rsidRPr="008858B4">
        <w:t xml:space="preserve"> and the FFRDC’s portions of the project.</w:t>
      </w:r>
    </w:p>
    <w:p w14:paraId="1970F8AC" w14:textId="77777777" w:rsidR="006A24B8" w:rsidRPr="008858B4" w:rsidRDefault="006A24B8" w:rsidP="00C12E27">
      <w:pPr>
        <w:ind w:left="1980" w:hanging="360"/>
      </w:pPr>
    </w:p>
    <w:p w14:paraId="1E008DEB" w14:textId="77777777" w:rsidR="006A24B8" w:rsidRPr="00AF2304" w:rsidRDefault="004E672B" w:rsidP="003E1D49">
      <w:pPr>
        <w:pStyle w:val="FOAHeading4"/>
        <w:rPr>
          <w:rFonts w:asciiTheme="minorHAnsi" w:hAnsiTheme="minorHAnsi"/>
          <w:b w:val="0"/>
          <w:i/>
        </w:rPr>
      </w:pPr>
      <w:r w:rsidRPr="00AF2304">
        <w:rPr>
          <w:rFonts w:asciiTheme="minorHAnsi" w:hAnsiTheme="minorHAnsi"/>
          <w:b w:val="0"/>
          <w:i/>
        </w:rPr>
        <w:t>Responsibility</w:t>
      </w:r>
    </w:p>
    <w:p w14:paraId="16512307" w14:textId="59C9F2E9" w:rsidR="006A24B8" w:rsidRDefault="004E672B" w:rsidP="00A53BBC">
      <w:pPr>
        <w:pStyle w:val="FOATemplateBody"/>
        <w:ind w:left="1800"/>
        <w:rPr>
          <w:rFonts w:asciiTheme="minorHAnsi" w:hAnsiTheme="minorHAnsi"/>
        </w:rPr>
      </w:pPr>
      <w:r w:rsidRPr="00AF2304">
        <w:rPr>
          <w:rFonts w:asciiTheme="minorHAnsi" w:hAnsiTheme="minorHAnsi"/>
        </w:rPr>
        <w:t xml:space="preserve">The </w:t>
      </w:r>
      <w:r w:rsidR="00755004">
        <w:rPr>
          <w:rFonts w:asciiTheme="minorHAnsi" w:hAnsiTheme="minorHAnsi"/>
        </w:rPr>
        <w:t>p</w:t>
      </w:r>
      <w:r w:rsidR="00755004" w:rsidRPr="00AF2304">
        <w:rPr>
          <w:rFonts w:asciiTheme="minorHAnsi" w:hAnsiTheme="minorHAnsi"/>
        </w:rPr>
        <w:t xml:space="preserve">rime </w:t>
      </w:r>
      <w:r w:rsidR="00755004">
        <w:rPr>
          <w:rFonts w:asciiTheme="minorHAnsi" w:hAnsiTheme="minorHAnsi"/>
        </w:rPr>
        <w:t>r</w:t>
      </w:r>
      <w:r w:rsidR="00755004" w:rsidRPr="00AF2304">
        <w:rPr>
          <w:rFonts w:asciiTheme="minorHAnsi" w:hAnsiTheme="minorHAnsi"/>
        </w:rPr>
        <w:t xml:space="preserve">ecipient </w:t>
      </w:r>
      <w:r w:rsidRPr="00AF2304">
        <w:rPr>
          <w:rFonts w:asciiTheme="minorHAnsi" w:hAnsiTheme="minorHAnsi"/>
        </w:rPr>
        <w:t xml:space="preserve">will be the responsible authority regarding the settlement and satisfaction of all contractual and administrative issues including, but not limited to disputes and claims arising out of any agreement between the </w:t>
      </w:r>
      <w:r w:rsidR="00755004">
        <w:rPr>
          <w:rFonts w:asciiTheme="minorHAnsi" w:hAnsiTheme="minorHAnsi"/>
        </w:rPr>
        <w:t>p</w:t>
      </w:r>
      <w:r w:rsidR="00755004" w:rsidRPr="00AF2304">
        <w:rPr>
          <w:rFonts w:asciiTheme="minorHAnsi" w:hAnsiTheme="minorHAnsi"/>
        </w:rPr>
        <w:t xml:space="preserve">rime </w:t>
      </w:r>
      <w:r w:rsidR="00755004">
        <w:rPr>
          <w:rFonts w:asciiTheme="minorHAnsi" w:hAnsiTheme="minorHAnsi"/>
        </w:rPr>
        <w:t>r</w:t>
      </w:r>
      <w:r w:rsidR="00755004" w:rsidRPr="00AF2304">
        <w:rPr>
          <w:rFonts w:asciiTheme="minorHAnsi" w:hAnsiTheme="minorHAnsi"/>
        </w:rPr>
        <w:t xml:space="preserve">ecipient </w:t>
      </w:r>
      <w:r w:rsidRPr="00AF2304">
        <w:rPr>
          <w:rFonts w:asciiTheme="minorHAnsi" w:hAnsiTheme="minorHAnsi"/>
        </w:rPr>
        <w:t>and the FFRDC contractor.</w:t>
      </w:r>
    </w:p>
    <w:p w14:paraId="40A67EC1" w14:textId="77777777" w:rsidR="00F17FF6" w:rsidRDefault="00F17FF6" w:rsidP="00F17FF6">
      <w:pPr>
        <w:pStyle w:val="FOATemplateBody"/>
        <w:ind w:left="1800"/>
        <w:rPr>
          <w:rFonts w:asciiTheme="minorHAnsi" w:hAnsiTheme="minorHAnsi"/>
        </w:rPr>
      </w:pPr>
    </w:p>
    <w:p w14:paraId="4E597BB1" w14:textId="6B48EC8A" w:rsidR="00F17FF6" w:rsidRPr="007330C5" w:rsidRDefault="000F6A6D" w:rsidP="00F315C1">
      <w:pPr>
        <w:pStyle w:val="FOAHeading4"/>
        <w:rPr>
          <w:b w:val="0"/>
          <w:bCs/>
          <w:color w:val="auto"/>
        </w:rPr>
      </w:pPr>
      <w:r w:rsidRPr="007330C5">
        <w:rPr>
          <w:b w:val="0"/>
          <w:bCs/>
          <w:color w:val="auto"/>
        </w:rPr>
        <w:t xml:space="preserve">Agreement </w:t>
      </w:r>
      <w:r w:rsidR="00F17FF6" w:rsidRPr="007330C5">
        <w:rPr>
          <w:b w:val="0"/>
          <w:bCs/>
          <w:color w:val="auto"/>
        </w:rPr>
        <w:t>Requirement</w:t>
      </w:r>
      <w:r w:rsidRPr="007330C5">
        <w:rPr>
          <w:b w:val="0"/>
          <w:bCs/>
          <w:color w:val="auto"/>
        </w:rPr>
        <w:t>s</w:t>
      </w:r>
      <w:r w:rsidR="00F17FF6" w:rsidRPr="007330C5">
        <w:rPr>
          <w:b w:val="0"/>
          <w:bCs/>
          <w:color w:val="auto"/>
        </w:rPr>
        <w:t xml:space="preserve"> for DOE/NNSA FFRDCs </w:t>
      </w:r>
      <w:r w:rsidR="00957B18" w:rsidRPr="007330C5">
        <w:rPr>
          <w:b w:val="0"/>
          <w:bCs/>
          <w:color w:val="auto"/>
        </w:rPr>
        <w:t>Participating as a Subrecipient</w:t>
      </w:r>
    </w:p>
    <w:p w14:paraId="45CCBC0B" w14:textId="77777777" w:rsidR="00957B18" w:rsidRPr="00957B18" w:rsidRDefault="00957B18" w:rsidP="00957B18">
      <w:pPr>
        <w:ind w:left="1800"/>
      </w:pPr>
      <w:r w:rsidRPr="00957B18">
        <w:t>DOE/NNSA FFRDCs participating as a subrecipient on a project and funded directly through the DOE WP System must establish a Cooperative Research and Development Agreement</w:t>
      </w:r>
      <w:r w:rsidRPr="00957B18">
        <w:rPr>
          <w:vertAlign w:val="superscript"/>
        </w:rPr>
        <w:footnoteReference w:id="78"/>
      </w:r>
      <w:r w:rsidRPr="00957B18">
        <w:t xml:space="preserve"> (CRADA) or, if the role of the DOE/NNSA FFRDC is limited to technical assistance and intellectual property is not anticipated to be generated from the DOE/NNSA FFRDC’s work, a Technical Assistance Agreement (TAA), with at least the prime recipient before any project work begins.  </w:t>
      </w:r>
    </w:p>
    <w:p w14:paraId="5A56DC65" w14:textId="77777777" w:rsidR="00957B18" w:rsidRPr="00957B18" w:rsidRDefault="00957B18" w:rsidP="00957B18">
      <w:pPr>
        <w:ind w:left="1800"/>
      </w:pPr>
    </w:p>
    <w:p w14:paraId="5151E5D5" w14:textId="1C01C8CE" w:rsidR="00957B18" w:rsidRPr="00957B18" w:rsidRDefault="00957B18" w:rsidP="00957B18">
      <w:pPr>
        <w:ind w:left="1800"/>
      </w:pPr>
      <w:r w:rsidRPr="00957B18">
        <w:t xml:space="preserve">The CRADA or TAA is used to ensure accountability for project work and provide the appropriate management of intellectual property (IP), e.g., data protection and background IP.  The DOE/NNSA FFRDC (or lead DOE/NNSA FFRDC, if more than one FFRDC is involved) must provide a Joint Work Statement to the DOE COs with cognizance over the DOE funding program and DOE/NNSA FFRDC by </w:t>
      </w:r>
      <w:r w:rsidR="00617582">
        <w:rPr>
          <w:bCs/>
        </w:rPr>
        <w:t>the second quarter of the project start date</w:t>
      </w:r>
      <w:r w:rsidRPr="00957B18">
        <w:t xml:space="preserve">.  The CRADA or TAA must be executed by all </w:t>
      </w:r>
      <w:proofErr w:type="gramStart"/>
      <w:r w:rsidRPr="00957B18">
        <w:t>parties  by</w:t>
      </w:r>
      <w:proofErr w:type="gramEnd"/>
      <w:r w:rsidRPr="00957B18">
        <w:t xml:space="preserve"> </w:t>
      </w:r>
      <w:r w:rsidR="00617582">
        <w:rPr>
          <w:bCs/>
        </w:rPr>
        <w:t>the third quarter of the project start date</w:t>
      </w:r>
      <w:r w:rsidRPr="00957B18">
        <w:rPr>
          <w:b/>
        </w:rPr>
        <w:t>.</w:t>
      </w:r>
      <w:r w:rsidRPr="00957B18">
        <w:t xml:space="preserve">  </w:t>
      </w:r>
    </w:p>
    <w:p w14:paraId="17F44EEA" w14:textId="51EAC263" w:rsidR="003F7A1C" w:rsidRDefault="003F7A1C" w:rsidP="00A53BBC">
      <w:pPr>
        <w:pStyle w:val="FOATemplateBody"/>
        <w:ind w:left="1800"/>
        <w:rPr>
          <w:rFonts w:asciiTheme="minorHAnsi" w:hAnsiTheme="minorHAnsi"/>
        </w:rPr>
      </w:pPr>
    </w:p>
    <w:p w14:paraId="5C683521" w14:textId="3D0113BA" w:rsidR="006A24B8" w:rsidRPr="00CF5CA4" w:rsidRDefault="004E672B" w:rsidP="0017595D">
      <w:pPr>
        <w:pStyle w:val="FOAHeading2"/>
      </w:pPr>
      <w:bookmarkStart w:id="142" w:name="_Toc517798908"/>
      <w:bookmarkStart w:id="143" w:name="_Toc519602236"/>
      <w:bookmarkStart w:id="144" w:name="_Toc519602338"/>
      <w:bookmarkStart w:id="145" w:name="_Toc109921680"/>
      <w:r w:rsidRPr="00CF5CA4">
        <w:t xml:space="preserve">Limitation on Number </w:t>
      </w:r>
      <w:r w:rsidR="00A33124" w:rsidRPr="00CF5CA4">
        <w:t xml:space="preserve">of Concept Papers and Full Applications </w:t>
      </w:r>
      <w:r w:rsidRPr="00CF5CA4">
        <w:t>Eligible for Review</w:t>
      </w:r>
      <w:bookmarkEnd w:id="142"/>
      <w:bookmarkEnd w:id="143"/>
      <w:bookmarkEnd w:id="144"/>
      <w:bookmarkEnd w:id="145"/>
    </w:p>
    <w:p w14:paraId="2DE31894" w14:textId="4D779843" w:rsidR="00C45E9B" w:rsidRPr="00822054" w:rsidRDefault="004E672B" w:rsidP="00E42B15">
      <w:pPr>
        <w:ind w:left="1440"/>
      </w:pPr>
      <w:r w:rsidRPr="00822054">
        <w:t>An entity may submit more than one Concept Paper and Full Application to this FOA, provided that each application describes a unique, scientifically distinct project and provided that an eligible Concept Paper was submitted for each Full Application.</w:t>
      </w:r>
    </w:p>
    <w:p w14:paraId="4683FE1F" w14:textId="77777777" w:rsidR="00C45E9B" w:rsidRPr="008858B4" w:rsidRDefault="00C45E9B" w:rsidP="008858B4"/>
    <w:p w14:paraId="15CDD42D" w14:textId="3DF276CB" w:rsidR="006A24B8" w:rsidRPr="007A3912" w:rsidRDefault="004E672B" w:rsidP="0017595D">
      <w:pPr>
        <w:pStyle w:val="FOAHeading2"/>
      </w:pPr>
      <w:bookmarkStart w:id="146" w:name="_Toc517798909"/>
      <w:bookmarkStart w:id="147" w:name="_Toc519602237"/>
      <w:bookmarkStart w:id="148" w:name="_Toc519602339"/>
      <w:bookmarkStart w:id="149" w:name="_Toc109921681"/>
      <w:r w:rsidRPr="007A3912">
        <w:t>Questions Regarding Eligibility</w:t>
      </w:r>
      <w:bookmarkEnd w:id="146"/>
      <w:bookmarkEnd w:id="147"/>
      <w:bookmarkEnd w:id="148"/>
      <w:bookmarkEnd w:id="149"/>
    </w:p>
    <w:p w14:paraId="14517F6B" w14:textId="77777777" w:rsidR="006A24B8" w:rsidRPr="008858B4" w:rsidRDefault="004E672B" w:rsidP="00E42B15">
      <w:pPr>
        <w:ind w:left="1440"/>
      </w:pPr>
      <w:r w:rsidRPr="008858B4">
        <w:t xml:space="preserve">EERE will not make eligibility determinations for potential applicants prior to the date on which applications to this FOA must be submitted. The decision whether to </w:t>
      </w:r>
      <w:proofErr w:type="gramStart"/>
      <w:r w:rsidRPr="008858B4">
        <w:t>submit an application</w:t>
      </w:r>
      <w:proofErr w:type="gramEnd"/>
      <w:r w:rsidRPr="008858B4">
        <w:t xml:space="preserve"> in response to this FOA lies solely with the applicant.</w:t>
      </w:r>
    </w:p>
    <w:p w14:paraId="1591E0C6" w14:textId="77777777" w:rsidR="006A24B8" w:rsidRPr="00CE70C9" w:rsidRDefault="006A24B8"/>
    <w:p w14:paraId="1868C88D" w14:textId="312CD61F" w:rsidR="006A24B8" w:rsidRPr="00126FBB" w:rsidRDefault="004E672B" w:rsidP="0017729B">
      <w:pPr>
        <w:pStyle w:val="FOAHeading1"/>
      </w:pPr>
      <w:bookmarkStart w:id="150" w:name="_Toc517350974"/>
      <w:bookmarkStart w:id="151" w:name="_Toc517771554"/>
      <w:bookmarkStart w:id="152" w:name="_Toc517797771"/>
      <w:bookmarkStart w:id="153" w:name="_Toc517797851"/>
      <w:bookmarkStart w:id="154" w:name="_Toc517797929"/>
      <w:bookmarkStart w:id="155" w:name="_Toc517798044"/>
      <w:bookmarkStart w:id="156" w:name="_Toc517798269"/>
      <w:bookmarkStart w:id="157" w:name="_Toc517798350"/>
      <w:bookmarkStart w:id="158" w:name="_Toc517798910"/>
      <w:bookmarkStart w:id="159" w:name="_Toc517799174"/>
      <w:bookmarkStart w:id="160" w:name="_Toc519602166"/>
      <w:bookmarkStart w:id="161" w:name="_Toc519602238"/>
      <w:bookmarkStart w:id="162" w:name="_Toc519602340"/>
      <w:bookmarkStart w:id="163" w:name="_Toc519602506"/>
      <w:bookmarkStart w:id="164" w:name="_Toc520382615"/>
      <w:bookmarkStart w:id="165" w:name="_Toc520455613"/>
      <w:bookmarkStart w:id="166" w:name="_Toc520455783"/>
      <w:bookmarkStart w:id="167" w:name="_Toc517798911"/>
      <w:bookmarkStart w:id="168" w:name="_Toc519602239"/>
      <w:bookmarkStart w:id="169" w:name="_Toc519602341"/>
      <w:bookmarkStart w:id="170" w:name="_Toc109921682"/>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126FBB">
        <w:t>Application and Submission Information</w:t>
      </w:r>
      <w:bookmarkEnd w:id="167"/>
      <w:bookmarkEnd w:id="168"/>
      <w:bookmarkEnd w:id="169"/>
      <w:bookmarkEnd w:id="170"/>
    </w:p>
    <w:p w14:paraId="06E27AAE" w14:textId="77777777" w:rsidR="000A6BE4" w:rsidRPr="00B5344E" w:rsidRDefault="000A6BE4" w:rsidP="00A53BBC"/>
    <w:p w14:paraId="39891431" w14:textId="77777777" w:rsidR="006A24B8" w:rsidRPr="00872882" w:rsidRDefault="004E672B" w:rsidP="0017595D">
      <w:pPr>
        <w:pStyle w:val="FOAHeading2"/>
      </w:pPr>
      <w:bookmarkStart w:id="171" w:name="_Toc517798912"/>
      <w:bookmarkStart w:id="172" w:name="_Toc519602240"/>
      <w:bookmarkStart w:id="173" w:name="_Toc519602342"/>
      <w:bookmarkStart w:id="174" w:name="_Toc109921683"/>
      <w:r w:rsidRPr="00221643">
        <w:t>Application Process</w:t>
      </w:r>
      <w:bookmarkEnd w:id="171"/>
      <w:bookmarkEnd w:id="172"/>
      <w:bookmarkEnd w:id="173"/>
      <w:bookmarkEnd w:id="174"/>
      <w:r w:rsidRPr="00221643">
        <w:t xml:space="preserve"> </w:t>
      </w:r>
    </w:p>
    <w:p w14:paraId="1200889A" w14:textId="3701007F" w:rsidR="00001B11" w:rsidRDefault="006D084E" w:rsidP="00E42B15">
      <w:pPr>
        <w:ind w:left="1440"/>
      </w:pPr>
      <w:r>
        <w:t>T</w:t>
      </w:r>
      <w:r w:rsidR="004C28C9" w:rsidRPr="004C28C9">
        <w:t xml:space="preserve">he application process will include </w:t>
      </w:r>
      <w:r w:rsidR="00E95A5C">
        <w:t>two</w:t>
      </w:r>
      <w:r>
        <w:t xml:space="preserve"> phases: a Concept Paper phase, and a Full Application phase</w:t>
      </w:r>
      <w:r w:rsidR="004C28C9">
        <w:t>.</w:t>
      </w:r>
      <w:r w:rsidR="003C7028">
        <w:t xml:space="preserve"> </w:t>
      </w:r>
      <w:r w:rsidR="00541360">
        <w:rPr>
          <w:b/>
          <w:u w:val="single"/>
        </w:rPr>
        <w:t>O</w:t>
      </w:r>
      <w:r w:rsidR="00F01494">
        <w:rPr>
          <w:b/>
          <w:u w:val="single"/>
        </w:rPr>
        <w:t>nly applicants who have submitted an eligible Concept Paper will be eligible to submit a Full Application</w:t>
      </w:r>
      <w:r w:rsidR="00F01494">
        <w:t>.</w:t>
      </w:r>
    </w:p>
    <w:p w14:paraId="4CD91E4E" w14:textId="77777777" w:rsidR="00001B11" w:rsidRDefault="00001B11" w:rsidP="00E42B15">
      <w:pPr>
        <w:ind w:left="1440"/>
      </w:pPr>
    </w:p>
    <w:p w14:paraId="5AD8715E" w14:textId="6D95BAF8" w:rsidR="000A133D" w:rsidRDefault="004E672B" w:rsidP="00E42B15">
      <w:pPr>
        <w:ind w:left="1440"/>
      </w:pPr>
      <w:r>
        <w:t>At each phase, E</w:t>
      </w:r>
      <w:r w:rsidR="006A24B8" w:rsidRPr="008858B4">
        <w:t xml:space="preserve">ERE performs an initial eligibility review of the applicant submissions to determine whether they meet the eligibility requirements of </w:t>
      </w:r>
      <w:r w:rsidR="006A24B8" w:rsidRPr="0031434D">
        <w:t>Section III</w:t>
      </w:r>
      <w:r w:rsidR="005B20D6" w:rsidRPr="0031434D">
        <w:t>.</w:t>
      </w:r>
      <w:r w:rsidR="006A24B8" w:rsidRPr="008858B4">
        <w:t xml:space="preserve"> of the FOA. EERE will not review or consider submissions that do not meet the eligibility requirements </w:t>
      </w:r>
      <w:r w:rsidR="006A24B8" w:rsidRPr="0031434D">
        <w:t>of Section III.</w:t>
      </w:r>
      <w:r w:rsidR="006A24B8" w:rsidRPr="008858B4">
        <w:t xml:space="preserve"> All submissions must conform to the following form and content requirements, including maximum page lengths (described below) and must be submitted via </w:t>
      </w:r>
      <w:r w:rsidR="00F418CA">
        <w:t>EERE Exchange</w:t>
      </w:r>
      <w:r w:rsidR="006A24B8" w:rsidRPr="008858B4">
        <w:t xml:space="preserve"> at</w:t>
      </w:r>
      <w:r w:rsidR="00F418CA" w:rsidRPr="00F418CA">
        <w:rPr>
          <w:rFonts w:ascii="Calibri" w:hAnsi="Calibri" w:cs="Calibri"/>
          <w:color w:val="0000FF"/>
          <w:szCs w:val="24"/>
        </w:rPr>
        <w:t xml:space="preserve"> </w:t>
      </w:r>
      <w:hyperlink r:id="rId44" w:history="1">
        <w:r w:rsidR="00F418CA" w:rsidRPr="00F418CA">
          <w:rPr>
            <w:rStyle w:val="Hyperlink"/>
            <w:rFonts w:ascii="Calibri" w:hAnsi="Calibri" w:cs="Calibri"/>
            <w:szCs w:val="24"/>
          </w:rPr>
          <w:t>https://eere-Exchange.energy.gov</w:t>
        </w:r>
      </w:hyperlink>
      <w:r w:rsidR="006A24B8" w:rsidRPr="008858B4">
        <w:t xml:space="preserve">, unless specifically stated otherwise. </w:t>
      </w:r>
      <w:r w:rsidR="006A24B8" w:rsidRPr="00120F39">
        <w:rPr>
          <w:b/>
          <w:u w:val="single"/>
        </w:rPr>
        <w:t xml:space="preserve">EERE will not review or consider submissions submitted through means other than </w:t>
      </w:r>
      <w:r w:rsidR="00F418CA">
        <w:rPr>
          <w:b/>
          <w:u w:val="single"/>
        </w:rPr>
        <w:t>EERE Exchange</w:t>
      </w:r>
      <w:r w:rsidR="006A24B8" w:rsidRPr="00120F39">
        <w:rPr>
          <w:b/>
          <w:u w:val="single"/>
        </w:rPr>
        <w:t xml:space="preserve">, submissions submitted after the applicable deadline, </w:t>
      </w:r>
      <w:r w:rsidR="00DC2C62">
        <w:rPr>
          <w:b/>
          <w:u w:val="single"/>
        </w:rPr>
        <w:t>or</w:t>
      </w:r>
      <w:r w:rsidR="00DC2C62" w:rsidRPr="00120F39">
        <w:rPr>
          <w:b/>
          <w:u w:val="single"/>
        </w:rPr>
        <w:t xml:space="preserve"> </w:t>
      </w:r>
      <w:r w:rsidR="006A24B8" w:rsidRPr="00120F39">
        <w:rPr>
          <w:b/>
          <w:u w:val="single"/>
        </w:rPr>
        <w:t>incomplete submissions</w:t>
      </w:r>
      <w:r w:rsidR="006A24B8" w:rsidRPr="008858B4">
        <w:t xml:space="preserve">. EERE will not extend </w:t>
      </w:r>
      <w:r w:rsidR="006A24B8" w:rsidRPr="00FC598D">
        <w:t>deadlines</w:t>
      </w:r>
      <w:r w:rsidR="006A24B8" w:rsidRPr="008858B4">
        <w:t xml:space="preserve"> for applicants who fail to submit required information and documents due t</w:t>
      </w:r>
      <w:r w:rsidR="007863EC">
        <w:t>o server/connection congestion.</w:t>
      </w:r>
    </w:p>
    <w:p w14:paraId="73CE6C33" w14:textId="77777777" w:rsidR="005F0EA0" w:rsidRDefault="005F0EA0" w:rsidP="00E42B15">
      <w:pPr>
        <w:ind w:left="1440"/>
      </w:pPr>
    </w:p>
    <w:p w14:paraId="64516ADF" w14:textId="53816B75" w:rsidR="006A24B8" w:rsidRPr="008858B4" w:rsidRDefault="004E672B" w:rsidP="00E42B15">
      <w:pPr>
        <w:ind w:left="1440"/>
      </w:pPr>
      <w:r w:rsidRPr="008858B4">
        <w:t xml:space="preserve">A </w:t>
      </w:r>
      <w:r w:rsidR="00950C3B" w:rsidRPr="00120F39">
        <w:rPr>
          <w:b/>
        </w:rPr>
        <w:t>C</w:t>
      </w:r>
      <w:r w:rsidRPr="00AF2304">
        <w:rPr>
          <w:b/>
        </w:rPr>
        <w:t xml:space="preserve">ontrol </w:t>
      </w:r>
      <w:r w:rsidR="00950C3B" w:rsidRPr="00120F39">
        <w:rPr>
          <w:b/>
        </w:rPr>
        <w:t>N</w:t>
      </w:r>
      <w:r w:rsidRPr="00AF2304">
        <w:rPr>
          <w:b/>
        </w:rPr>
        <w:t>umber</w:t>
      </w:r>
      <w:r w:rsidRPr="008858B4">
        <w:t xml:space="preserve"> will be issued when an applicant begins the </w:t>
      </w:r>
      <w:r w:rsidR="00F418CA">
        <w:t>EERE Exchange</w:t>
      </w:r>
      <w:r w:rsidRPr="008858B4">
        <w:t xml:space="preserve"> application process. This control number must be included with all </w:t>
      </w:r>
      <w:r w:rsidR="008D2B4F">
        <w:t>a</w:t>
      </w:r>
      <w:r w:rsidR="008D2B4F" w:rsidRPr="008858B4">
        <w:t xml:space="preserve">pplication </w:t>
      </w:r>
      <w:r w:rsidRPr="008858B4">
        <w:t>documents, as described below.</w:t>
      </w:r>
    </w:p>
    <w:p w14:paraId="486ABCBE" w14:textId="56E28F99" w:rsidR="0013415B" w:rsidRDefault="0013415B" w:rsidP="00E42B15">
      <w:pPr>
        <w:ind w:left="1440"/>
      </w:pPr>
    </w:p>
    <w:p w14:paraId="5480D83D" w14:textId="6B43BCBB" w:rsidR="0013415B" w:rsidRDefault="004E672B" w:rsidP="00E42B15">
      <w:pPr>
        <w:ind w:left="1440"/>
      </w:pPr>
      <w:r>
        <w:t xml:space="preserve">The </w:t>
      </w:r>
      <w:r w:rsidR="00541360">
        <w:t>Concept Paper, Full Application, and Reply to Reviewer Comments</w:t>
      </w:r>
      <w:r w:rsidR="00F069E7">
        <w:t xml:space="preserve"> </w:t>
      </w:r>
      <w:r>
        <w:t>must conform to the following requirements:</w:t>
      </w:r>
    </w:p>
    <w:p w14:paraId="68D8682A" w14:textId="77777777" w:rsidR="006A24B8" w:rsidRPr="008858B4" w:rsidRDefault="006A24B8" w:rsidP="00E42B15">
      <w:pPr>
        <w:ind w:left="1440"/>
      </w:pPr>
    </w:p>
    <w:p w14:paraId="5120FC75" w14:textId="77777777" w:rsidR="006A24B8" w:rsidRPr="008858B4" w:rsidRDefault="004E672B" w:rsidP="000408E6">
      <w:pPr>
        <w:pStyle w:val="ListParagraph"/>
        <w:numPr>
          <w:ilvl w:val="0"/>
          <w:numId w:val="9"/>
        </w:numPr>
        <w:ind w:left="2160"/>
      </w:pPr>
      <w:r w:rsidRPr="008858B4">
        <w:t xml:space="preserve">Each must be submitted in Adobe PDF format unless stated </w:t>
      </w:r>
      <w:proofErr w:type="gramStart"/>
      <w:r w:rsidRPr="008858B4">
        <w:t>otherwise</w:t>
      </w:r>
      <w:r w:rsidR="008D2B4F">
        <w:t>;</w:t>
      </w:r>
      <w:proofErr w:type="gramEnd"/>
    </w:p>
    <w:p w14:paraId="7981EF3D" w14:textId="77777777" w:rsidR="006A24B8" w:rsidRPr="008858B4" w:rsidRDefault="004E672B" w:rsidP="000408E6">
      <w:pPr>
        <w:pStyle w:val="ListParagraph"/>
        <w:numPr>
          <w:ilvl w:val="0"/>
          <w:numId w:val="9"/>
        </w:numPr>
        <w:ind w:left="2160"/>
      </w:pPr>
      <w:r w:rsidRPr="008858B4">
        <w:t xml:space="preserve">Each must be written in </w:t>
      </w:r>
      <w:proofErr w:type="gramStart"/>
      <w:r w:rsidRPr="008858B4">
        <w:t>English</w:t>
      </w:r>
      <w:r w:rsidR="008D2B4F">
        <w:t>;</w:t>
      </w:r>
      <w:proofErr w:type="gramEnd"/>
    </w:p>
    <w:p w14:paraId="08C3F618" w14:textId="2F0480F3" w:rsidR="006A24B8" w:rsidRPr="008858B4" w:rsidRDefault="004E672B" w:rsidP="000408E6">
      <w:pPr>
        <w:pStyle w:val="ListParagraph"/>
        <w:numPr>
          <w:ilvl w:val="0"/>
          <w:numId w:val="9"/>
        </w:numPr>
        <w:ind w:left="2160"/>
      </w:pPr>
      <w:r w:rsidRPr="008858B4">
        <w:t xml:space="preserve">All pages must be formatted to fit on 8.5 x </w:t>
      </w:r>
      <w:proofErr w:type="gramStart"/>
      <w:r w:rsidRPr="008858B4">
        <w:t>11 inch</w:t>
      </w:r>
      <w:proofErr w:type="gramEnd"/>
      <w:r w:rsidRPr="008858B4">
        <w:t xml:space="preserve"> paper with margins not less than one inch on every side. Use </w:t>
      </w:r>
      <w:r w:rsidR="00A73F7D">
        <w:t>Calibri</w:t>
      </w:r>
      <w:r w:rsidRPr="008858B4">
        <w:t xml:space="preserve"> typeface, a black font color, and a font size of 12 point or larger (except in figures or tables, which may be </w:t>
      </w:r>
      <w:proofErr w:type="gramStart"/>
      <w:r w:rsidRPr="008858B4">
        <w:t>10 point</w:t>
      </w:r>
      <w:proofErr w:type="gramEnd"/>
      <w:r w:rsidRPr="008858B4">
        <w:t xml:space="preserve"> font). A symbol font may be used to insert Greek letters or special characters, but the font size requirement still applies. References must be included as footnotes or endnotes in a font size of 10 or larger. Footnotes and endnotes are counted toward the maximum page </w:t>
      </w:r>
      <w:proofErr w:type="gramStart"/>
      <w:r w:rsidRPr="008858B4">
        <w:t>requirement</w:t>
      </w:r>
      <w:r w:rsidR="008D2B4F">
        <w:t>;</w:t>
      </w:r>
      <w:proofErr w:type="gramEnd"/>
    </w:p>
    <w:p w14:paraId="60C49ECE" w14:textId="77777777" w:rsidR="006A24B8" w:rsidRPr="008858B4" w:rsidRDefault="004E672B" w:rsidP="000408E6">
      <w:pPr>
        <w:pStyle w:val="ListParagraph"/>
        <w:numPr>
          <w:ilvl w:val="0"/>
          <w:numId w:val="9"/>
        </w:numPr>
        <w:ind w:left="2160"/>
      </w:pPr>
      <w:r w:rsidRPr="008858B4">
        <w:t>The Control Number must be prominently displayed on the upper right corner of the header of every page. Page numbers must be included in the footer of every page</w:t>
      </w:r>
      <w:r w:rsidR="008D2B4F">
        <w:t>; and</w:t>
      </w:r>
    </w:p>
    <w:p w14:paraId="720D257E" w14:textId="77777777" w:rsidR="006A24B8" w:rsidRPr="008858B4" w:rsidRDefault="004E672B" w:rsidP="000408E6">
      <w:pPr>
        <w:pStyle w:val="ListParagraph"/>
        <w:numPr>
          <w:ilvl w:val="0"/>
          <w:numId w:val="9"/>
        </w:numPr>
        <w:ind w:left="2160"/>
      </w:pPr>
      <w:r w:rsidRPr="008858B4">
        <w:t>Each submission must not exceed the specified maximum page limit, including cover page, charts, graphs, maps, and photographs when printed using the formatting requirements set forth above and single spaced. If applicants exceed the maximum page lengths indicated below, EERE will review only the authorized number of pages and disregard any additional pages.</w:t>
      </w:r>
    </w:p>
    <w:p w14:paraId="7D6438BF" w14:textId="77777777" w:rsidR="006A24B8" w:rsidRPr="008858B4" w:rsidRDefault="006A24B8" w:rsidP="008858B4"/>
    <w:p w14:paraId="19E656B8" w14:textId="0B990662" w:rsidR="00F27BE6" w:rsidRPr="00BA2365" w:rsidRDefault="004E672B" w:rsidP="00E42B15">
      <w:pPr>
        <w:ind w:left="1440"/>
      </w:pPr>
      <w:r>
        <w:t xml:space="preserve">Applicants are responsible </w:t>
      </w:r>
      <w:r w:rsidRPr="00BA2365">
        <w:t xml:space="preserve">for meeting each submission deadline. </w:t>
      </w:r>
      <w:r w:rsidR="00762DE0">
        <w:rPr>
          <w:b/>
          <w:u w:val="single"/>
        </w:rPr>
        <w:t>Applicants are strongly encouraged to submit their Concept Papers</w:t>
      </w:r>
      <w:r w:rsidR="00710096">
        <w:rPr>
          <w:b/>
          <w:u w:val="single"/>
        </w:rPr>
        <w:t>,</w:t>
      </w:r>
      <w:r w:rsidR="00762DE0">
        <w:rPr>
          <w:b/>
          <w:u w:val="single"/>
        </w:rPr>
        <w:t xml:space="preserve"> Full Applications</w:t>
      </w:r>
      <w:r w:rsidR="002E0A77">
        <w:rPr>
          <w:b/>
          <w:u w:val="single"/>
        </w:rPr>
        <w:t>, and Replies to Reviewer Comments</w:t>
      </w:r>
      <w:r w:rsidR="00762DE0">
        <w:rPr>
          <w:b/>
          <w:u w:val="single"/>
        </w:rPr>
        <w:t xml:space="preserve"> at least 48 hours in advance of the submission deadline</w:t>
      </w:r>
      <w:r w:rsidR="00C234CA">
        <w:t>.</w:t>
      </w:r>
      <w:r w:rsidRPr="00BA2365">
        <w:t xml:space="preserve"> Under normal conditions (i.e., at least 48 hours in advance of the submission deadline), applicants should allow at least 1 hour to submit a </w:t>
      </w:r>
      <w:r w:rsidR="00740AF8" w:rsidRPr="00740AF8">
        <w:t xml:space="preserve">Concept Paper, Full Application, </w:t>
      </w:r>
      <w:r w:rsidR="00740AF8">
        <w:t>or Reply</w:t>
      </w:r>
      <w:r w:rsidR="00740AF8" w:rsidRPr="00740AF8">
        <w:t xml:space="preserve"> to Reviewer Comments</w:t>
      </w:r>
      <w:r w:rsidRPr="00BA2365">
        <w:t>. Once the</w:t>
      </w:r>
      <w:r w:rsidR="00740AF8" w:rsidRPr="00740AF8">
        <w:t xml:space="preserve"> Concept Paper, Full Application, </w:t>
      </w:r>
      <w:r w:rsidR="00740AF8">
        <w:t>or Reply</w:t>
      </w:r>
      <w:r w:rsidR="00740AF8" w:rsidRPr="00740AF8">
        <w:t xml:space="preserve"> to Reviewer Comments</w:t>
      </w:r>
      <w:r w:rsidRPr="00BA2365">
        <w:t xml:space="preserve"> is submitted in </w:t>
      </w:r>
      <w:r w:rsidR="00F418CA">
        <w:t>EERE Exchange</w:t>
      </w:r>
      <w:r w:rsidRPr="00BA2365">
        <w:t>, applicants may revise or update that submission until the expiration of the applicable deadline. If changes are made to any of these documents, the applicant must resubmit the</w:t>
      </w:r>
      <w:r w:rsidR="00740AF8" w:rsidRPr="00740AF8">
        <w:t xml:space="preserve"> Concept Paper, Full Application, </w:t>
      </w:r>
      <w:r w:rsidR="00740AF8">
        <w:t>or Reply</w:t>
      </w:r>
      <w:r w:rsidR="00740AF8" w:rsidRPr="00740AF8">
        <w:t xml:space="preserve"> to Reviewer Comments</w:t>
      </w:r>
      <w:r w:rsidRPr="00BA2365">
        <w:t xml:space="preserve"> before the applicable deadline.</w:t>
      </w:r>
    </w:p>
    <w:p w14:paraId="349993FB" w14:textId="77777777" w:rsidR="00F27BE6" w:rsidRPr="00BA2365" w:rsidRDefault="00F27BE6" w:rsidP="00E42B15">
      <w:pPr>
        <w:ind w:left="1440"/>
      </w:pPr>
    </w:p>
    <w:p w14:paraId="02CED470" w14:textId="14AFCDC6" w:rsidR="00F27BE6" w:rsidRDefault="004E672B" w:rsidP="00E42B15">
      <w:pPr>
        <w:ind w:left="1440"/>
      </w:pPr>
      <w:r w:rsidRPr="00BA2365">
        <w:t>EERE urges applicants to carefully review their</w:t>
      </w:r>
      <w:r w:rsidR="00740AF8" w:rsidRPr="00740AF8">
        <w:t xml:space="preserve"> Concept Papers, Full Applications, and Replies to Reviewer Comments</w:t>
      </w:r>
      <w:r w:rsidRPr="00BA2365">
        <w:t xml:space="preserve"> to allow sufficient time for the submission of required information and documents. All Full Applications that pass the initial eligibility review will undergo</w:t>
      </w:r>
      <w:r>
        <w:t xml:space="preserve"> comprehensive technical merit review according to the criteria identified </w:t>
      </w:r>
      <w:r w:rsidRPr="0031434D">
        <w:t xml:space="preserve">in Section </w:t>
      </w:r>
      <w:proofErr w:type="spellStart"/>
      <w:r w:rsidRPr="0031434D">
        <w:t>V.</w:t>
      </w:r>
      <w:proofErr w:type="gramStart"/>
      <w:r w:rsidRPr="0031434D">
        <w:t>A.ii</w:t>
      </w:r>
      <w:proofErr w:type="spellEnd"/>
      <w:r w:rsidRPr="0031434D">
        <w:t>.</w:t>
      </w:r>
      <w:proofErr w:type="gramEnd"/>
      <w:r>
        <w:t xml:space="preserve"> of the FOA.</w:t>
      </w:r>
    </w:p>
    <w:p w14:paraId="0A8AE9BF" w14:textId="77777777" w:rsidR="006A24B8" w:rsidRPr="008858B4" w:rsidRDefault="006A24B8" w:rsidP="008858B4"/>
    <w:p w14:paraId="0E360CC5" w14:textId="6CD7F5C5" w:rsidR="006A24B8" w:rsidRPr="00872882" w:rsidRDefault="004E672B" w:rsidP="00F836F4">
      <w:pPr>
        <w:pStyle w:val="FOAHeading3"/>
        <w:numPr>
          <w:ilvl w:val="0"/>
          <w:numId w:val="30"/>
        </w:numPr>
        <w:ind w:left="1440"/>
        <w:outlineLvl w:val="2"/>
      </w:pPr>
      <w:bookmarkStart w:id="175" w:name="_Toc519602343"/>
      <w:bookmarkStart w:id="176" w:name="_Toc109921684"/>
      <w:r w:rsidRPr="00C72CE2">
        <w:t xml:space="preserve">Additional Information on </w:t>
      </w:r>
      <w:r w:rsidR="00F418CA">
        <w:t>EERE Exchange</w:t>
      </w:r>
      <w:bookmarkEnd w:id="175"/>
      <w:bookmarkEnd w:id="176"/>
      <w:r w:rsidR="005224D4" w:rsidRPr="0022038E">
        <w:t xml:space="preserve"> </w:t>
      </w:r>
    </w:p>
    <w:p w14:paraId="4A94A6E0" w14:textId="7A0A4277" w:rsidR="006A24B8" w:rsidRPr="00AF2304" w:rsidRDefault="00F418CA" w:rsidP="00A53BBC">
      <w:pPr>
        <w:pStyle w:val="FOATemplateBody"/>
        <w:ind w:left="1440"/>
        <w:rPr>
          <w:rFonts w:asciiTheme="minorHAnsi" w:hAnsiTheme="minorHAnsi"/>
        </w:rPr>
      </w:pPr>
      <w:bookmarkStart w:id="177" w:name="_Toc378067975"/>
      <w:r>
        <w:rPr>
          <w:rFonts w:asciiTheme="minorHAnsi" w:hAnsiTheme="minorHAnsi"/>
        </w:rPr>
        <w:t>EERE Exchange</w:t>
      </w:r>
      <w:r w:rsidR="004E672B" w:rsidRPr="00AF2304">
        <w:rPr>
          <w:rFonts w:asciiTheme="minorHAnsi" w:hAnsiTheme="minorHAnsi"/>
        </w:rPr>
        <w:t xml:space="preserve"> is designed to enforce the deadlines specified in this FOA. The “Apply” and “Submit” buttons will automatically disable at the defined submission deadlines. Should applicants experience problems with </w:t>
      </w:r>
      <w:r>
        <w:rPr>
          <w:rFonts w:asciiTheme="minorHAnsi" w:hAnsiTheme="minorHAnsi"/>
        </w:rPr>
        <w:t>EERE Exchange</w:t>
      </w:r>
      <w:r w:rsidR="004E672B" w:rsidRPr="00AF2304">
        <w:rPr>
          <w:rFonts w:asciiTheme="minorHAnsi" w:hAnsiTheme="minorHAnsi"/>
        </w:rPr>
        <w:t>, the following information may be helpful</w:t>
      </w:r>
      <w:bookmarkEnd w:id="177"/>
      <w:r w:rsidR="004E672B" w:rsidRPr="00AF2304">
        <w:rPr>
          <w:rFonts w:asciiTheme="minorHAnsi" w:hAnsiTheme="minorHAnsi"/>
        </w:rPr>
        <w:t>.</w:t>
      </w:r>
    </w:p>
    <w:p w14:paraId="43D2B9E3" w14:textId="77777777" w:rsidR="006A24B8" w:rsidRPr="008858B4" w:rsidRDefault="004E672B" w:rsidP="00F54563">
      <w:pPr>
        <w:pStyle w:val="FOATemplateBody"/>
        <w:ind w:left="1620" w:hanging="180"/>
        <w:rPr>
          <w:rFonts w:asciiTheme="minorHAnsi" w:hAnsiTheme="minorHAnsi"/>
        </w:rPr>
      </w:pPr>
      <w:bookmarkStart w:id="178" w:name="_Toc378067976"/>
      <w:r>
        <w:rPr>
          <w:rFonts w:asciiTheme="minorHAnsi" w:hAnsiTheme="minorHAnsi"/>
        </w:rPr>
        <w:tab/>
      </w:r>
    </w:p>
    <w:p w14:paraId="4C884D13" w14:textId="1BE9B41C" w:rsidR="006A24B8" w:rsidRDefault="004E672B" w:rsidP="00B96293">
      <w:pPr>
        <w:pStyle w:val="FOATemplateBody"/>
        <w:ind w:left="1440"/>
        <w:rPr>
          <w:rFonts w:asciiTheme="minorHAnsi" w:hAnsiTheme="minorHAnsi"/>
        </w:rPr>
      </w:pPr>
      <w:r w:rsidRPr="00AF2304">
        <w:rPr>
          <w:rFonts w:asciiTheme="minorHAnsi" w:hAnsiTheme="minorHAnsi"/>
        </w:rPr>
        <w:t xml:space="preserve">Applicants that experience issues with submission </w:t>
      </w:r>
      <w:r w:rsidRPr="00AF2304">
        <w:rPr>
          <w:rFonts w:asciiTheme="minorHAnsi" w:hAnsiTheme="minorHAnsi"/>
          <w:u w:val="single"/>
        </w:rPr>
        <w:t>PRIOR</w:t>
      </w:r>
      <w:r w:rsidRPr="00AF2304">
        <w:rPr>
          <w:rFonts w:asciiTheme="minorHAnsi" w:hAnsiTheme="minorHAnsi"/>
        </w:rPr>
        <w:t xml:space="preserve"> to the FOA deadline: </w:t>
      </w:r>
      <w:proofErr w:type="gramStart"/>
      <w:r w:rsidRPr="00AF2304">
        <w:rPr>
          <w:rFonts w:asciiTheme="minorHAnsi" w:hAnsiTheme="minorHAnsi"/>
        </w:rPr>
        <w:t>In the event that</w:t>
      </w:r>
      <w:proofErr w:type="gramEnd"/>
      <w:r w:rsidRPr="00AF2304">
        <w:rPr>
          <w:rFonts w:asciiTheme="minorHAnsi" w:hAnsiTheme="minorHAnsi"/>
        </w:rPr>
        <w:t xml:space="preserve"> an applicant experiences technical difficulties with a submission, the </w:t>
      </w:r>
      <w:r w:rsidR="008D2B4F">
        <w:rPr>
          <w:rFonts w:asciiTheme="minorHAnsi" w:hAnsiTheme="minorHAnsi"/>
        </w:rPr>
        <w:t>applicant</w:t>
      </w:r>
      <w:r w:rsidR="008D2B4F" w:rsidRPr="00AF2304">
        <w:rPr>
          <w:rFonts w:asciiTheme="minorHAnsi" w:hAnsiTheme="minorHAnsi"/>
        </w:rPr>
        <w:t xml:space="preserve"> </w:t>
      </w:r>
      <w:r w:rsidRPr="00AF2304">
        <w:rPr>
          <w:rFonts w:asciiTheme="minorHAnsi" w:hAnsiTheme="minorHAnsi"/>
        </w:rPr>
        <w:t xml:space="preserve">should contact the </w:t>
      </w:r>
      <w:r w:rsidR="00F418CA">
        <w:rPr>
          <w:rFonts w:asciiTheme="minorHAnsi" w:hAnsiTheme="minorHAnsi"/>
        </w:rPr>
        <w:t>EERE Exchange</w:t>
      </w:r>
      <w:r w:rsidRPr="00AF2304">
        <w:rPr>
          <w:rFonts w:asciiTheme="minorHAnsi" w:hAnsiTheme="minorHAnsi"/>
        </w:rPr>
        <w:t xml:space="preserve"> helpdesk for assistance (</w:t>
      </w:r>
      <w:hyperlink r:id="rId45" w:history="1">
        <w:r w:rsidR="00F418CA" w:rsidRPr="003A72B1">
          <w:rPr>
            <w:rStyle w:val="Hyperlink"/>
            <w:rFonts w:asciiTheme="minorHAnsi" w:hAnsiTheme="minorHAnsi"/>
          </w:rPr>
          <w:t>EERE</w:t>
        </w:r>
        <w:r w:rsidR="003A72B1" w:rsidRPr="003A72B1">
          <w:rPr>
            <w:rStyle w:val="Hyperlink"/>
            <w:rFonts w:asciiTheme="minorHAnsi" w:hAnsiTheme="minorHAnsi"/>
          </w:rPr>
          <w:t>-</w:t>
        </w:r>
        <w:r w:rsidR="00F418CA" w:rsidRPr="003A72B1">
          <w:rPr>
            <w:rStyle w:val="Hyperlink"/>
            <w:rFonts w:asciiTheme="minorHAnsi" w:hAnsiTheme="minorHAnsi"/>
          </w:rPr>
          <w:t>ExchangeSupport@hq.doe.gov</w:t>
        </w:r>
      </w:hyperlink>
      <w:r w:rsidR="00F418CA" w:rsidRPr="00F418CA">
        <w:rPr>
          <w:rFonts w:asciiTheme="minorHAnsi" w:hAnsiTheme="minorHAnsi"/>
        </w:rPr>
        <w:t>)</w:t>
      </w:r>
      <w:r w:rsidRPr="00AF2304">
        <w:rPr>
          <w:rFonts w:asciiTheme="minorHAnsi" w:hAnsiTheme="minorHAnsi"/>
        </w:rPr>
        <w:t xml:space="preserve">. The </w:t>
      </w:r>
      <w:r w:rsidR="00F418CA">
        <w:rPr>
          <w:rFonts w:asciiTheme="minorHAnsi" w:hAnsiTheme="minorHAnsi"/>
        </w:rPr>
        <w:t>EERE Exchange</w:t>
      </w:r>
      <w:r w:rsidRPr="00AF2304">
        <w:rPr>
          <w:rFonts w:asciiTheme="minorHAnsi" w:hAnsiTheme="minorHAnsi"/>
        </w:rPr>
        <w:t xml:space="preserve"> helpdesk and/or the </w:t>
      </w:r>
      <w:r w:rsidR="00F418CA">
        <w:rPr>
          <w:rFonts w:asciiTheme="minorHAnsi" w:hAnsiTheme="minorHAnsi"/>
        </w:rPr>
        <w:t>EERE Exchange</w:t>
      </w:r>
      <w:r w:rsidRPr="00AF2304">
        <w:rPr>
          <w:rFonts w:asciiTheme="minorHAnsi" w:hAnsiTheme="minorHAnsi"/>
        </w:rPr>
        <w:t xml:space="preserve"> system administrators will assist </w:t>
      </w:r>
      <w:r w:rsidR="00A40A9F">
        <w:rPr>
          <w:rFonts w:asciiTheme="minorHAnsi" w:hAnsiTheme="minorHAnsi"/>
        </w:rPr>
        <w:t>a</w:t>
      </w:r>
      <w:r w:rsidR="00A40A9F" w:rsidRPr="00AF2304">
        <w:rPr>
          <w:rFonts w:asciiTheme="minorHAnsi" w:hAnsiTheme="minorHAnsi"/>
        </w:rPr>
        <w:t xml:space="preserve">pplicants </w:t>
      </w:r>
      <w:r w:rsidRPr="00AF2304">
        <w:rPr>
          <w:rFonts w:asciiTheme="minorHAnsi" w:hAnsiTheme="minorHAnsi"/>
        </w:rPr>
        <w:t>in resolving issues.</w:t>
      </w:r>
      <w:bookmarkEnd w:id="178"/>
    </w:p>
    <w:p w14:paraId="6DEA37EB" w14:textId="77777777" w:rsidR="006A24B8" w:rsidRPr="008858B4" w:rsidRDefault="006A24B8" w:rsidP="0027033E">
      <w:pPr>
        <w:pStyle w:val="FOATemplateBody"/>
        <w:ind w:left="1440"/>
        <w:rPr>
          <w:rFonts w:asciiTheme="minorHAnsi" w:hAnsiTheme="minorHAnsi"/>
        </w:rPr>
      </w:pPr>
    </w:p>
    <w:p w14:paraId="4D702B15" w14:textId="31A7FFBF" w:rsidR="006A24B8" w:rsidRPr="00872882" w:rsidRDefault="004E672B" w:rsidP="0017595D">
      <w:pPr>
        <w:pStyle w:val="FOAHeading2"/>
      </w:pPr>
      <w:bookmarkStart w:id="179" w:name="_Toc517798913"/>
      <w:bookmarkStart w:id="180" w:name="_Toc519602241"/>
      <w:bookmarkStart w:id="181" w:name="_Toc519602344"/>
      <w:bookmarkStart w:id="182" w:name="_Toc109921685"/>
      <w:r w:rsidRPr="00221643">
        <w:t>Application Forms</w:t>
      </w:r>
      <w:bookmarkEnd w:id="179"/>
      <w:bookmarkEnd w:id="180"/>
      <w:bookmarkEnd w:id="181"/>
      <w:bookmarkEnd w:id="182"/>
    </w:p>
    <w:p w14:paraId="63319014" w14:textId="37E77683" w:rsidR="006A24B8" w:rsidRPr="008858B4" w:rsidRDefault="004E672B" w:rsidP="00E42B15">
      <w:pPr>
        <w:ind w:left="1440"/>
      </w:pPr>
      <w:r w:rsidRPr="008858B4">
        <w:t xml:space="preserve">The application forms and instructions are available on </w:t>
      </w:r>
      <w:r w:rsidR="00F418CA">
        <w:t>EERE Exchange</w:t>
      </w:r>
      <w:r w:rsidRPr="008858B4">
        <w:t xml:space="preserve">. To access these materials, go </w:t>
      </w:r>
      <w:r w:rsidR="00F418CA">
        <w:t xml:space="preserve">to </w:t>
      </w:r>
      <w:hyperlink r:id="rId46" w:history="1">
        <w:r w:rsidR="00F418CA" w:rsidRPr="00056C62">
          <w:rPr>
            <w:rStyle w:val="Hyperlink"/>
            <w:rFonts w:ascii="Calibri" w:hAnsi="Calibri" w:cs="Calibri"/>
            <w:szCs w:val="24"/>
          </w:rPr>
          <w:t>https://eere-Exchange.energy.gov</w:t>
        </w:r>
      </w:hyperlink>
      <w:r w:rsidRPr="008858B4">
        <w:t xml:space="preserve"> and select the appropriate funding opportunity number. </w:t>
      </w:r>
    </w:p>
    <w:p w14:paraId="7F714C18" w14:textId="77777777" w:rsidR="006A24B8" w:rsidRPr="008858B4" w:rsidRDefault="006A24B8" w:rsidP="00E42B15">
      <w:pPr>
        <w:ind w:left="1440" w:hanging="360"/>
      </w:pPr>
    </w:p>
    <w:p w14:paraId="38812616" w14:textId="7BC5A81A" w:rsidR="006A24B8" w:rsidRPr="008858B4" w:rsidRDefault="004E672B" w:rsidP="00E42B15">
      <w:pPr>
        <w:ind w:left="1440"/>
      </w:pPr>
      <w:r w:rsidRPr="008858B4">
        <w:t>Note: The maximum file size that can be uploaded to the</w:t>
      </w:r>
      <w:r w:rsidR="00A93673">
        <w:t xml:space="preserve"> EERE Exchange</w:t>
      </w:r>
      <w:r w:rsidRPr="008858B4">
        <w:t xml:space="preserve"> website is </w:t>
      </w:r>
      <w:r w:rsidR="00A93673">
        <w:t>1</w:t>
      </w:r>
      <w:r w:rsidRPr="008858B4">
        <w:t xml:space="preserve">0MB. Files </w:t>
      </w:r>
      <w:proofErr w:type="gramStart"/>
      <w:r w:rsidRPr="008858B4">
        <w:t>in excess of</w:t>
      </w:r>
      <w:proofErr w:type="gramEnd"/>
      <w:r w:rsidRPr="008858B4">
        <w:t xml:space="preserve"> </w:t>
      </w:r>
      <w:r w:rsidR="00A93673">
        <w:t>1</w:t>
      </w:r>
      <w:r w:rsidRPr="008858B4">
        <w:t xml:space="preserve">0MB cannot be uploaded, and hence cannot be submitted for review. If a file exceeds </w:t>
      </w:r>
      <w:r w:rsidR="00A93673">
        <w:t>1</w:t>
      </w:r>
      <w:r w:rsidRPr="008858B4">
        <w:t>0MB but is still within the maximum page limit specified in the FOA, it must be broken into parts and denoted to that effect. For example:</w:t>
      </w:r>
    </w:p>
    <w:p w14:paraId="4D9EED16" w14:textId="59D8922C" w:rsidR="006A24B8" w:rsidRPr="008858B4" w:rsidRDefault="004E672B" w:rsidP="000408E6">
      <w:pPr>
        <w:ind w:left="2160"/>
        <w:rPr>
          <w:b/>
        </w:rPr>
      </w:pPr>
      <w:r>
        <w:rPr>
          <w:b/>
        </w:rPr>
        <w:t>TechnicalVolume</w:t>
      </w:r>
      <w:r w:rsidRPr="00120F39">
        <w:rPr>
          <w:b/>
        </w:rPr>
        <w:t>_Part_1</w:t>
      </w:r>
    </w:p>
    <w:p w14:paraId="64FA4FB0" w14:textId="3418B9D2" w:rsidR="006A24B8" w:rsidRPr="008858B4" w:rsidRDefault="004E672B" w:rsidP="000408E6">
      <w:pPr>
        <w:ind w:left="2160"/>
      </w:pPr>
      <w:r>
        <w:rPr>
          <w:b/>
        </w:rPr>
        <w:t>TechnicalVolume</w:t>
      </w:r>
      <w:r w:rsidRPr="6BB432CC">
        <w:rPr>
          <w:b/>
        </w:rPr>
        <w:t>_Part_2</w:t>
      </w:r>
    </w:p>
    <w:p w14:paraId="71D005F3" w14:textId="49BF6A6A" w:rsidR="006A24B8" w:rsidRPr="008858B4" w:rsidRDefault="006A24B8" w:rsidP="008858B4"/>
    <w:p w14:paraId="4AEAE326" w14:textId="77777777" w:rsidR="006A24B8" w:rsidRPr="00872882" w:rsidRDefault="004E672B" w:rsidP="0017595D">
      <w:pPr>
        <w:pStyle w:val="FOAHeading2"/>
      </w:pPr>
      <w:bookmarkStart w:id="183" w:name="_Toc517798914"/>
      <w:bookmarkStart w:id="184" w:name="_Toc519602242"/>
      <w:bookmarkStart w:id="185" w:name="_Toc519602346"/>
      <w:bookmarkStart w:id="186" w:name="_Toc109921686"/>
      <w:r w:rsidRPr="00221643">
        <w:t>Content and Form of the Concept Paper</w:t>
      </w:r>
      <w:bookmarkEnd w:id="183"/>
      <w:bookmarkEnd w:id="184"/>
      <w:bookmarkEnd w:id="185"/>
      <w:bookmarkEnd w:id="186"/>
    </w:p>
    <w:p w14:paraId="3018FDC6" w14:textId="0E0E760A" w:rsidR="006A24B8" w:rsidRPr="008858B4" w:rsidRDefault="004E672B" w:rsidP="00E42B15">
      <w:pPr>
        <w:ind w:left="1440"/>
      </w:pPr>
      <w:r w:rsidRPr="009D306A">
        <w:t>To be eligible to submit a Full Application, applicants must submit a Concept Paper by the specified due date and time.</w:t>
      </w:r>
      <w:r w:rsidR="00DE15FC" w:rsidRPr="00DE15FC">
        <w:t xml:space="preserve"> </w:t>
      </w:r>
      <w:r w:rsidR="00DE15FC" w:rsidRPr="008858B4">
        <w:t>Each Concept Paper must be limited to a single concept or technology.</w:t>
      </w:r>
    </w:p>
    <w:p w14:paraId="49CC6E05" w14:textId="77777777" w:rsidR="00CE70C9" w:rsidRPr="008858B4" w:rsidRDefault="00CE70C9" w:rsidP="008858B4"/>
    <w:p w14:paraId="12875056" w14:textId="77CE8863" w:rsidR="008F5C10" w:rsidRDefault="004E672B" w:rsidP="005A2864">
      <w:pPr>
        <w:keepNext/>
        <w:ind w:left="1440"/>
      </w:pPr>
      <w:r w:rsidRPr="008858B4">
        <w:t>The Concept Paper must conform to the following requirements:</w:t>
      </w:r>
    </w:p>
    <w:p w14:paraId="0E610CCD" w14:textId="070E4B2C" w:rsidR="00724730" w:rsidRDefault="00724730" w:rsidP="005B7F24">
      <w:pPr>
        <w:ind w:left="1440"/>
        <w:rPr>
          <w:b/>
        </w:rPr>
      </w:pPr>
    </w:p>
    <w:tbl>
      <w:tblPr>
        <w:tblStyle w:val="TableGrid"/>
        <w:tblW w:w="9000" w:type="dxa"/>
        <w:tblInd w:w="715" w:type="dxa"/>
        <w:tblLook w:val="04A0" w:firstRow="1" w:lastRow="0" w:firstColumn="1" w:lastColumn="0" w:noHBand="0" w:noVBand="1"/>
      </w:tblPr>
      <w:tblGrid>
        <w:gridCol w:w="1440"/>
        <w:gridCol w:w="1170"/>
        <w:gridCol w:w="6390"/>
      </w:tblGrid>
      <w:tr w:rsidR="00BF65D1" w14:paraId="0354AA9F" w14:textId="77777777" w:rsidTr="000408E6">
        <w:tc>
          <w:tcPr>
            <w:tcW w:w="1440" w:type="dxa"/>
            <w:shd w:val="clear" w:color="auto" w:fill="C6D9F1" w:themeFill="text2" w:themeFillTint="33"/>
          </w:tcPr>
          <w:p w14:paraId="0868192F" w14:textId="7AA4693A" w:rsidR="00776092" w:rsidRPr="008858B4" w:rsidRDefault="004E672B" w:rsidP="00AB534D">
            <w:pPr>
              <w:keepNext/>
              <w:spacing w:before="120" w:after="120"/>
              <w:rPr>
                <w:b/>
                <w:sz w:val="21"/>
                <w:szCs w:val="21"/>
              </w:rPr>
            </w:pPr>
            <w:r w:rsidRPr="00120F39">
              <w:rPr>
                <w:b/>
                <w:sz w:val="21"/>
                <w:szCs w:val="21"/>
              </w:rPr>
              <w:t>S</w:t>
            </w:r>
            <w:r w:rsidRPr="6BB432CC">
              <w:rPr>
                <w:b/>
                <w:sz w:val="21"/>
                <w:szCs w:val="21"/>
              </w:rPr>
              <w:t>ection</w:t>
            </w:r>
          </w:p>
        </w:tc>
        <w:tc>
          <w:tcPr>
            <w:tcW w:w="1170" w:type="dxa"/>
            <w:shd w:val="clear" w:color="auto" w:fill="C6D9F1" w:themeFill="text2" w:themeFillTint="33"/>
          </w:tcPr>
          <w:p w14:paraId="1C9AD9B2" w14:textId="77777777" w:rsidR="00776092" w:rsidRPr="008858B4" w:rsidRDefault="004E672B" w:rsidP="00AB534D">
            <w:pPr>
              <w:keepNext/>
              <w:spacing w:before="120" w:after="120"/>
              <w:rPr>
                <w:b/>
                <w:sz w:val="21"/>
                <w:szCs w:val="21"/>
              </w:rPr>
            </w:pPr>
            <w:r w:rsidRPr="6BB432CC">
              <w:rPr>
                <w:b/>
                <w:sz w:val="21"/>
                <w:szCs w:val="21"/>
              </w:rPr>
              <w:t>Page Limit</w:t>
            </w:r>
          </w:p>
        </w:tc>
        <w:tc>
          <w:tcPr>
            <w:tcW w:w="6390" w:type="dxa"/>
            <w:shd w:val="clear" w:color="auto" w:fill="C6D9F1" w:themeFill="text2" w:themeFillTint="33"/>
          </w:tcPr>
          <w:p w14:paraId="7B9E4F49" w14:textId="77777777" w:rsidR="00776092" w:rsidRPr="008858B4" w:rsidRDefault="004E672B" w:rsidP="00AB534D">
            <w:pPr>
              <w:keepNext/>
              <w:spacing w:before="120" w:after="120"/>
              <w:rPr>
                <w:b/>
                <w:sz w:val="21"/>
                <w:szCs w:val="21"/>
              </w:rPr>
            </w:pPr>
            <w:r w:rsidRPr="6BB432CC">
              <w:rPr>
                <w:b/>
                <w:sz w:val="21"/>
                <w:szCs w:val="21"/>
              </w:rPr>
              <w:t>Description</w:t>
            </w:r>
          </w:p>
        </w:tc>
      </w:tr>
      <w:tr w:rsidR="00BF65D1" w14:paraId="72576826" w14:textId="77777777" w:rsidTr="000408E6">
        <w:tc>
          <w:tcPr>
            <w:tcW w:w="1440" w:type="dxa"/>
            <w:shd w:val="clear" w:color="auto" w:fill="EAF1DD" w:themeFill="accent3" w:themeFillTint="33"/>
          </w:tcPr>
          <w:p w14:paraId="77385B13" w14:textId="77093B44" w:rsidR="006A24B8" w:rsidRPr="008858B4" w:rsidRDefault="004E672B" w:rsidP="00FB03F4">
            <w:pPr>
              <w:rPr>
                <w:b/>
                <w:sz w:val="21"/>
                <w:szCs w:val="21"/>
              </w:rPr>
            </w:pPr>
            <w:r w:rsidRPr="00120F39">
              <w:rPr>
                <w:b/>
                <w:sz w:val="21"/>
                <w:szCs w:val="21"/>
              </w:rPr>
              <w:t>Cover Page</w:t>
            </w:r>
          </w:p>
        </w:tc>
        <w:tc>
          <w:tcPr>
            <w:tcW w:w="1170" w:type="dxa"/>
          </w:tcPr>
          <w:p w14:paraId="480ACFFA" w14:textId="3474A507" w:rsidR="006A24B8" w:rsidRPr="001A1B91" w:rsidRDefault="004E672B" w:rsidP="008858B4">
            <w:pPr>
              <w:rPr>
                <w:sz w:val="21"/>
                <w:szCs w:val="21"/>
              </w:rPr>
            </w:pPr>
            <w:r w:rsidRPr="001A1B91">
              <w:rPr>
                <w:sz w:val="21"/>
                <w:szCs w:val="21"/>
              </w:rPr>
              <w:t>1 page maximum</w:t>
            </w:r>
          </w:p>
        </w:tc>
        <w:tc>
          <w:tcPr>
            <w:tcW w:w="6390" w:type="dxa"/>
          </w:tcPr>
          <w:p w14:paraId="61D98F32" w14:textId="0EB7EC1E" w:rsidR="006A24B8" w:rsidRPr="008858B4" w:rsidRDefault="004E672B" w:rsidP="00C003D3">
            <w:pPr>
              <w:rPr>
                <w:sz w:val="21"/>
                <w:szCs w:val="21"/>
              </w:rPr>
            </w:pPr>
            <w:r w:rsidRPr="008858B4">
              <w:rPr>
                <w:color w:val="000000" w:themeColor="text1"/>
                <w:sz w:val="21"/>
                <w:szCs w:val="21"/>
              </w:rPr>
              <w:t xml:space="preserve">The cover page should include the project title, the specific </w:t>
            </w:r>
            <w:r w:rsidR="00C003D3">
              <w:rPr>
                <w:color w:val="000000" w:themeColor="text1"/>
                <w:sz w:val="21"/>
                <w:szCs w:val="21"/>
              </w:rPr>
              <w:t>announcement</w:t>
            </w:r>
            <w:r w:rsidRPr="008858B4">
              <w:rPr>
                <w:color w:val="000000" w:themeColor="text1"/>
                <w:sz w:val="21"/>
                <w:szCs w:val="21"/>
              </w:rPr>
              <w:t xml:space="preserve"> Topic Area being addressed</w:t>
            </w:r>
            <w:r w:rsidR="005133BC">
              <w:rPr>
                <w:color w:val="000000" w:themeColor="text1"/>
                <w:sz w:val="21"/>
                <w:szCs w:val="21"/>
              </w:rPr>
              <w:t xml:space="preserve"> (if applicable)</w:t>
            </w:r>
            <w:r w:rsidRPr="008858B4">
              <w:rPr>
                <w:color w:val="000000" w:themeColor="text1"/>
                <w:sz w:val="21"/>
                <w:szCs w:val="21"/>
              </w:rPr>
              <w:t>, both the technical and business points of contact, names of all team member organizations, and any statements regarding confidentiality.</w:t>
            </w:r>
          </w:p>
        </w:tc>
      </w:tr>
      <w:tr w:rsidR="00BF65D1" w14:paraId="59354A63" w14:textId="77777777" w:rsidTr="000408E6">
        <w:tc>
          <w:tcPr>
            <w:tcW w:w="1440" w:type="dxa"/>
            <w:shd w:val="clear" w:color="auto" w:fill="EAF1DD" w:themeFill="accent3" w:themeFillTint="33"/>
          </w:tcPr>
          <w:p w14:paraId="1E4364BB" w14:textId="1111C503" w:rsidR="006A24B8" w:rsidRPr="008858B4" w:rsidRDefault="004E672B" w:rsidP="00C003D3">
            <w:pPr>
              <w:rPr>
                <w:sz w:val="21"/>
                <w:szCs w:val="21"/>
              </w:rPr>
            </w:pPr>
            <w:r>
              <w:rPr>
                <w:b/>
                <w:sz w:val="21"/>
                <w:szCs w:val="21"/>
              </w:rPr>
              <w:t>Technology</w:t>
            </w:r>
            <w:r w:rsidR="001A3502">
              <w:rPr>
                <w:b/>
                <w:sz w:val="21"/>
                <w:szCs w:val="21"/>
              </w:rPr>
              <w:t xml:space="preserve"> </w:t>
            </w:r>
            <w:r w:rsidR="00C003D3">
              <w:rPr>
                <w:b/>
                <w:sz w:val="21"/>
                <w:szCs w:val="21"/>
              </w:rPr>
              <w:t>Description</w:t>
            </w:r>
          </w:p>
        </w:tc>
        <w:tc>
          <w:tcPr>
            <w:tcW w:w="1170" w:type="dxa"/>
          </w:tcPr>
          <w:p w14:paraId="1A7C1534" w14:textId="2E6E7C05" w:rsidR="006A24B8" w:rsidRPr="001A1B91" w:rsidRDefault="003F7A1C" w:rsidP="00D069AD">
            <w:pPr>
              <w:rPr>
                <w:sz w:val="21"/>
                <w:szCs w:val="21"/>
              </w:rPr>
            </w:pPr>
            <w:r>
              <w:rPr>
                <w:sz w:val="21"/>
                <w:szCs w:val="21"/>
              </w:rPr>
              <w:t>4</w:t>
            </w:r>
            <w:r w:rsidR="004E672B" w:rsidRPr="001A1B91">
              <w:rPr>
                <w:sz w:val="21"/>
                <w:szCs w:val="21"/>
              </w:rPr>
              <w:t xml:space="preserve"> pages maximum</w:t>
            </w:r>
          </w:p>
        </w:tc>
        <w:tc>
          <w:tcPr>
            <w:tcW w:w="6390" w:type="dxa"/>
          </w:tcPr>
          <w:p w14:paraId="2546395E" w14:textId="782485EC" w:rsidR="006A24B8" w:rsidRPr="008858B4" w:rsidRDefault="004E672B" w:rsidP="008858B4">
            <w:pPr>
              <w:rPr>
                <w:sz w:val="21"/>
                <w:szCs w:val="21"/>
              </w:rPr>
            </w:pPr>
            <w:r w:rsidRPr="008858B4">
              <w:rPr>
                <w:sz w:val="21"/>
                <w:szCs w:val="21"/>
              </w:rPr>
              <w:t>Applicants are required to describe succinctly:</w:t>
            </w:r>
          </w:p>
          <w:p w14:paraId="12139DF3" w14:textId="77777777" w:rsidR="006A24B8" w:rsidRPr="008858B4" w:rsidRDefault="004E672B" w:rsidP="00F836F4">
            <w:pPr>
              <w:pStyle w:val="ListParagraph"/>
              <w:numPr>
                <w:ilvl w:val="0"/>
                <w:numId w:val="13"/>
              </w:numPr>
              <w:rPr>
                <w:sz w:val="21"/>
                <w:szCs w:val="21"/>
              </w:rPr>
            </w:pPr>
            <w:r w:rsidRPr="008858B4">
              <w:rPr>
                <w:sz w:val="21"/>
                <w:szCs w:val="21"/>
              </w:rPr>
              <w:t xml:space="preserve">The proposed technology, including its basic operating principles and how it is unique and </w:t>
            </w:r>
            <w:proofErr w:type="gramStart"/>
            <w:r w:rsidRPr="008858B4">
              <w:rPr>
                <w:sz w:val="21"/>
                <w:szCs w:val="21"/>
              </w:rPr>
              <w:t>innovative;</w:t>
            </w:r>
            <w:proofErr w:type="gramEnd"/>
          </w:p>
          <w:p w14:paraId="159F1BBE" w14:textId="77777777" w:rsidR="006A24B8" w:rsidRPr="008858B4" w:rsidRDefault="004E672B" w:rsidP="00F836F4">
            <w:pPr>
              <w:pStyle w:val="ListParagraph"/>
              <w:numPr>
                <w:ilvl w:val="0"/>
                <w:numId w:val="13"/>
              </w:numPr>
              <w:rPr>
                <w:sz w:val="21"/>
                <w:szCs w:val="21"/>
              </w:rPr>
            </w:pPr>
            <w:r w:rsidRPr="008858B4">
              <w:rPr>
                <w:sz w:val="21"/>
                <w:szCs w:val="21"/>
              </w:rPr>
              <w:t>The proposed technology’s target level of performance (applicants should provide technical data or other support to show how the proposed target could be met</w:t>
            </w:r>
            <w:proofErr w:type="gramStart"/>
            <w:r w:rsidRPr="008858B4">
              <w:rPr>
                <w:sz w:val="21"/>
                <w:szCs w:val="21"/>
              </w:rPr>
              <w:t>);</w:t>
            </w:r>
            <w:proofErr w:type="gramEnd"/>
          </w:p>
          <w:p w14:paraId="13F7FECD" w14:textId="77777777" w:rsidR="006A24B8" w:rsidRPr="008858B4" w:rsidRDefault="004E672B" w:rsidP="00F836F4">
            <w:pPr>
              <w:pStyle w:val="ListParagraph"/>
              <w:numPr>
                <w:ilvl w:val="0"/>
                <w:numId w:val="13"/>
              </w:numPr>
              <w:rPr>
                <w:sz w:val="21"/>
                <w:szCs w:val="21"/>
              </w:rPr>
            </w:pPr>
            <w:r w:rsidRPr="008858B4">
              <w:rPr>
                <w:sz w:val="21"/>
                <w:szCs w:val="21"/>
              </w:rPr>
              <w:t xml:space="preserve">The current state-of-the-art in the relevant field and application, including key shortcomings, limitations, and </w:t>
            </w:r>
            <w:proofErr w:type="gramStart"/>
            <w:r w:rsidRPr="008858B4">
              <w:rPr>
                <w:sz w:val="21"/>
                <w:szCs w:val="21"/>
              </w:rPr>
              <w:t>challenges;</w:t>
            </w:r>
            <w:proofErr w:type="gramEnd"/>
          </w:p>
          <w:p w14:paraId="2BF6A97C" w14:textId="77777777" w:rsidR="006A24B8" w:rsidRPr="008858B4" w:rsidRDefault="004E672B" w:rsidP="00F836F4">
            <w:pPr>
              <w:pStyle w:val="ListParagraph"/>
              <w:numPr>
                <w:ilvl w:val="0"/>
                <w:numId w:val="13"/>
              </w:numPr>
              <w:rPr>
                <w:sz w:val="21"/>
                <w:szCs w:val="21"/>
              </w:rPr>
            </w:pPr>
            <w:r w:rsidRPr="008858B4">
              <w:rPr>
                <w:sz w:val="21"/>
                <w:szCs w:val="21"/>
              </w:rPr>
              <w:t xml:space="preserve">How the proposed technology will overcome the shortcomings, limitations, and challenges in the relevant field and </w:t>
            </w:r>
            <w:proofErr w:type="gramStart"/>
            <w:r w:rsidRPr="008858B4">
              <w:rPr>
                <w:sz w:val="21"/>
                <w:szCs w:val="21"/>
              </w:rPr>
              <w:t>application;</w:t>
            </w:r>
            <w:proofErr w:type="gramEnd"/>
          </w:p>
          <w:p w14:paraId="30D0B790" w14:textId="77777777" w:rsidR="006A24B8" w:rsidRPr="008858B4" w:rsidRDefault="004E672B" w:rsidP="00F836F4">
            <w:pPr>
              <w:pStyle w:val="ListParagraph"/>
              <w:numPr>
                <w:ilvl w:val="0"/>
                <w:numId w:val="13"/>
              </w:numPr>
              <w:rPr>
                <w:sz w:val="21"/>
                <w:szCs w:val="21"/>
              </w:rPr>
            </w:pPr>
            <w:r w:rsidRPr="008858B4">
              <w:rPr>
                <w:sz w:val="21"/>
                <w:szCs w:val="21"/>
              </w:rPr>
              <w:t xml:space="preserve">The potential impact that the proposed project would have on the relevant field and </w:t>
            </w:r>
            <w:proofErr w:type="gramStart"/>
            <w:r w:rsidRPr="008858B4">
              <w:rPr>
                <w:sz w:val="21"/>
                <w:szCs w:val="21"/>
              </w:rPr>
              <w:t>application;</w:t>
            </w:r>
            <w:proofErr w:type="gramEnd"/>
          </w:p>
          <w:p w14:paraId="521EEE05" w14:textId="70003358" w:rsidR="006A24B8" w:rsidRPr="008858B4" w:rsidRDefault="004E672B" w:rsidP="00F836F4">
            <w:pPr>
              <w:pStyle w:val="ListParagraph"/>
              <w:numPr>
                <w:ilvl w:val="0"/>
                <w:numId w:val="13"/>
              </w:numPr>
              <w:rPr>
                <w:sz w:val="21"/>
                <w:szCs w:val="21"/>
              </w:rPr>
            </w:pPr>
            <w:r w:rsidRPr="008858B4">
              <w:rPr>
                <w:sz w:val="21"/>
                <w:szCs w:val="21"/>
              </w:rPr>
              <w:t>The key technical risks/issues associated with the proposed technology development plan</w:t>
            </w:r>
            <w:r w:rsidR="00F1361E">
              <w:rPr>
                <w:sz w:val="21"/>
                <w:szCs w:val="21"/>
              </w:rPr>
              <w:t>,</w:t>
            </w:r>
            <w:r w:rsidR="00837502">
              <w:rPr>
                <w:sz w:val="21"/>
                <w:szCs w:val="21"/>
              </w:rPr>
              <w:t xml:space="preserve"> including potential physical climate impacts that could affect project performance</w:t>
            </w:r>
            <w:r w:rsidRPr="008858B4">
              <w:rPr>
                <w:sz w:val="21"/>
                <w:szCs w:val="21"/>
              </w:rPr>
              <w:t xml:space="preserve"> and</w:t>
            </w:r>
          </w:p>
          <w:p w14:paraId="079E2670" w14:textId="7F438A5E" w:rsidR="00333CB3" w:rsidRPr="000879EA" w:rsidRDefault="004E672B" w:rsidP="00F836F4">
            <w:pPr>
              <w:pStyle w:val="ListParagraph"/>
              <w:numPr>
                <w:ilvl w:val="0"/>
                <w:numId w:val="13"/>
              </w:numPr>
              <w:rPr>
                <w:sz w:val="21"/>
                <w:szCs w:val="21"/>
              </w:rPr>
            </w:pPr>
            <w:r w:rsidRPr="008858B4">
              <w:rPr>
                <w:sz w:val="21"/>
                <w:szCs w:val="21"/>
              </w:rPr>
              <w:t>The impact that EERE funding would have on the proposed project.</w:t>
            </w:r>
          </w:p>
        </w:tc>
      </w:tr>
      <w:tr w:rsidR="00BF65D1" w14:paraId="30EAC5A2" w14:textId="77777777" w:rsidTr="000408E6">
        <w:tc>
          <w:tcPr>
            <w:tcW w:w="1440" w:type="dxa"/>
            <w:shd w:val="clear" w:color="auto" w:fill="EAF1DD" w:themeFill="accent3" w:themeFillTint="33"/>
          </w:tcPr>
          <w:p w14:paraId="1CC74D51" w14:textId="777FD385" w:rsidR="00726A44" w:rsidRPr="008858B4" w:rsidRDefault="004E672B" w:rsidP="00AB534D">
            <w:pPr>
              <w:rPr>
                <w:b/>
                <w:sz w:val="21"/>
                <w:szCs w:val="21"/>
              </w:rPr>
            </w:pPr>
            <w:r w:rsidRPr="00120F39">
              <w:rPr>
                <w:b/>
                <w:sz w:val="21"/>
                <w:szCs w:val="21"/>
              </w:rPr>
              <w:t>Addendum</w:t>
            </w:r>
          </w:p>
        </w:tc>
        <w:tc>
          <w:tcPr>
            <w:tcW w:w="1170" w:type="dxa"/>
          </w:tcPr>
          <w:p w14:paraId="24EDE94E" w14:textId="33E2E61F" w:rsidR="00726A44" w:rsidRPr="001A1B91" w:rsidRDefault="005B52B2" w:rsidP="00AB534D">
            <w:pPr>
              <w:rPr>
                <w:sz w:val="21"/>
                <w:szCs w:val="21"/>
              </w:rPr>
            </w:pPr>
            <w:r>
              <w:rPr>
                <w:rStyle w:val="105Calibri"/>
              </w:rPr>
              <w:t>1</w:t>
            </w:r>
            <w:r w:rsidR="004E672B" w:rsidRPr="001A1B91">
              <w:rPr>
                <w:rStyle w:val="105Calibri"/>
              </w:rPr>
              <w:t xml:space="preserve"> </w:t>
            </w:r>
            <w:r w:rsidR="004E672B" w:rsidRPr="001A1B91">
              <w:rPr>
                <w:sz w:val="21"/>
                <w:szCs w:val="21"/>
              </w:rPr>
              <w:t>page maximum</w:t>
            </w:r>
          </w:p>
        </w:tc>
        <w:tc>
          <w:tcPr>
            <w:tcW w:w="6390" w:type="dxa"/>
          </w:tcPr>
          <w:p w14:paraId="561C16BF" w14:textId="09E2B702" w:rsidR="00726A44" w:rsidRPr="008858B4" w:rsidRDefault="004E672B" w:rsidP="00AB534D">
            <w:pPr>
              <w:rPr>
                <w:sz w:val="21"/>
                <w:szCs w:val="21"/>
              </w:rPr>
            </w:pPr>
            <w:r w:rsidRPr="008858B4">
              <w:rPr>
                <w:sz w:val="21"/>
                <w:szCs w:val="21"/>
              </w:rPr>
              <w:t>Applicants are required to describe succinctly the qualifications, experience, and capabilities of the proposed Project Team, including:</w:t>
            </w:r>
          </w:p>
          <w:p w14:paraId="0EA18D2F" w14:textId="77777777" w:rsidR="00726A44" w:rsidRPr="008858B4" w:rsidRDefault="004E672B" w:rsidP="00F836F4">
            <w:pPr>
              <w:pStyle w:val="ListParagraph"/>
              <w:numPr>
                <w:ilvl w:val="0"/>
                <w:numId w:val="14"/>
              </w:numPr>
              <w:rPr>
                <w:sz w:val="21"/>
                <w:szCs w:val="21"/>
              </w:rPr>
            </w:pPr>
            <w:r w:rsidRPr="008858B4">
              <w:rPr>
                <w:sz w:val="21"/>
                <w:szCs w:val="21"/>
              </w:rPr>
              <w:t xml:space="preserve">Whether the Principal Investigator (PI) and Project Team have the skill and expertise needed to successfully execute the project </w:t>
            </w:r>
            <w:proofErr w:type="gramStart"/>
            <w:r w:rsidRPr="008858B4">
              <w:rPr>
                <w:sz w:val="21"/>
                <w:szCs w:val="21"/>
              </w:rPr>
              <w:t>plan;</w:t>
            </w:r>
            <w:proofErr w:type="gramEnd"/>
          </w:p>
          <w:p w14:paraId="66B1F7D9" w14:textId="77777777" w:rsidR="00726A44" w:rsidRPr="008858B4" w:rsidRDefault="004E672B" w:rsidP="00F836F4">
            <w:pPr>
              <w:pStyle w:val="ListParagraph"/>
              <w:numPr>
                <w:ilvl w:val="0"/>
                <w:numId w:val="14"/>
              </w:numPr>
              <w:rPr>
                <w:sz w:val="21"/>
                <w:szCs w:val="21"/>
              </w:rPr>
            </w:pPr>
            <w:r w:rsidRPr="008858B4">
              <w:rPr>
                <w:sz w:val="21"/>
                <w:szCs w:val="21"/>
              </w:rPr>
              <w:t xml:space="preserve">Whether the applicant has prior experience which demonstrates an ability to perform tasks of similar risk and </w:t>
            </w:r>
            <w:proofErr w:type="gramStart"/>
            <w:r w:rsidRPr="008858B4">
              <w:rPr>
                <w:sz w:val="21"/>
                <w:szCs w:val="21"/>
              </w:rPr>
              <w:t>complexity;</w:t>
            </w:r>
            <w:proofErr w:type="gramEnd"/>
          </w:p>
          <w:p w14:paraId="547E2D60" w14:textId="77777777" w:rsidR="00726A44" w:rsidRPr="008858B4" w:rsidRDefault="004E672B" w:rsidP="00F836F4">
            <w:pPr>
              <w:pStyle w:val="ListParagraph"/>
              <w:numPr>
                <w:ilvl w:val="0"/>
                <w:numId w:val="14"/>
              </w:numPr>
              <w:rPr>
                <w:sz w:val="21"/>
                <w:szCs w:val="21"/>
              </w:rPr>
            </w:pPr>
            <w:r w:rsidRPr="008858B4">
              <w:rPr>
                <w:sz w:val="21"/>
                <w:szCs w:val="21"/>
              </w:rPr>
              <w:t>Whether the applicant has worked together with its teaming partners on prior projects or programs; and</w:t>
            </w:r>
          </w:p>
          <w:p w14:paraId="079FAB26" w14:textId="5D60E381" w:rsidR="00726A44" w:rsidRDefault="004E672B" w:rsidP="00F836F4">
            <w:pPr>
              <w:pStyle w:val="ListParagraph"/>
              <w:numPr>
                <w:ilvl w:val="0"/>
                <w:numId w:val="14"/>
              </w:numPr>
              <w:rPr>
                <w:sz w:val="21"/>
                <w:szCs w:val="21"/>
              </w:rPr>
            </w:pPr>
            <w:r w:rsidRPr="008858B4">
              <w:rPr>
                <w:sz w:val="21"/>
                <w:szCs w:val="21"/>
              </w:rPr>
              <w:t>Whether the applicant has adequate access to equipment and facilities necessary to accomplish the effort and/or clearly explain how it intends to obtain access to the necessary equipment and facilities.</w:t>
            </w:r>
          </w:p>
          <w:p w14:paraId="5258BA2A" w14:textId="55CD764E" w:rsidR="00726A44" w:rsidRPr="000879EA" w:rsidRDefault="004E672B" w:rsidP="00F836F4">
            <w:pPr>
              <w:pStyle w:val="ListParagraph"/>
              <w:numPr>
                <w:ilvl w:val="0"/>
                <w:numId w:val="14"/>
              </w:numPr>
              <w:rPr>
                <w:sz w:val="21"/>
                <w:szCs w:val="21"/>
              </w:rPr>
            </w:pPr>
            <w:r w:rsidRPr="00F5097B">
              <w:rPr>
                <w:sz w:val="21"/>
                <w:szCs w:val="21"/>
              </w:rPr>
              <w:t>Applicants may provide graphs, charts, or other data to supplement their Technology Description.</w:t>
            </w:r>
          </w:p>
        </w:tc>
      </w:tr>
    </w:tbl>
    <w:p w14:paraId="5C5DEBB2" w14:textId="77777777" w:rsidR="006A24B8" w:rsidRPr="008858B4" w:rsidRDefault="006A24B8" w:rsidP="008858B4"/>
    <w:p w14:paraId="1A27F637" w14:textId="77777777" w:rsidR="006A24B8" w:rsidRPr="008858B4" w:rsidRDefault="004E672B" w:rsidP="00E42B15">
      <w:pPr>
        <w:ind w:left="1440"/>
      </w:pPr>
      <w:r w:rsidRPr="008858B4">
        <w:t xml:space="preserve">EERE makes an independent assessment of each Concept Paper based on the criteria in </w:t>
      </w:r>
      <w:r w:rsidRPr="0031434D">
        <w:t xml:space="preserve">Section </w:t>
      </w:r>
      <w:proofErr w:type="spellStart"/>
      <w:r w:rsidRPr="0031434D">
        <w:t>V.A.</w:t>
      </w:r>
      <w:r w:rsidR="00FC3D54" w:rsidRPr="0031434D">
        <w:t>i</w:t>
      </w:r>
      <w:r w:rsidR="00E2093D" w:rsidRPr="0031434D">
        <w:t>.</w:t>
      </w:r>
      <w:proofErr w:type="spellEnd"/>
      <w:r w:rsidRPr="008858B4">
        <w:t xml:space="preserve"> of the FOA. EERE will encourage a subset of applicants to submit Full Applications. Other applicants will be discouraged from submitting a Full Application. An applicant who receives a “discouraged” notification may still submit a Full Application. EERE will review all eligible Full Applications. However, by discouraging the submission of a Full Application, EERE intends to convey its lack of programmatic interest in the proposed project </w:t>
      </w:r>
      <w:proofErr w:type="gramStart"/>
      <w:r w:rsidRPr="008858B4">
        <w:t>in an effort to</w:t>
      </w:r>
      <w:proofErr w:type="gramEnd"/>
      <w:r w:rsidRPr="008858B4">
        <w:t xml:space="preserve"> save the applicant the time and expense of preparing an application that is unlikely to be selected for award negotiations. </w:t>
      </w:r>
    </w:p>
    <w:p w14:paraId="0A1D5AB3" w14:textId="77777777" w:rsidR="006A24B8" w:rsidRPr="008858B4" w:rsidRDefault="006A24B8" w:rsidP="00E42B15">
      <w:pPr>
        <w:ind w:left="1440"/>
      </w:pPr>
    </w:p>
    <w:p w14:paraId="232D39C7" w14:textId="68CED4B2" w:rsidR="006A24B8" w:rsidRPr="008858B4" w:rsidRDefault="004E672B" w:rsidP="00E42B15">
      <w:pPr>
        <w:ind w:left="1440"/>
      </w:pPr>
      <w:r w:rsidRPr="008858B4">
        <w:t xml:space="preserve">EERE may include general comments provided from reviewers on an applicant’s Concept Paper in the encourage/discourage notification </w:t>
      </w:r>
      <w:r w:rsidR="0038284A" w:rsidRPr="0038284A">
        <w:t xml:space="preserve">posted on </w:t>
      </w:r>
      <w:r w:rsidR="00A93673">
        <w:t>EERE Exchange</w:t>
      </w:r>
      <w:r w:rsidR="0038284A" w:rsidRPr="0038284A">
        <w:t xml:space="preserve"> at the close of that phase. </w:t>
      </w:r>
    </w:p>
    <w:p w14:paraId="190E5C57" w14:textId="77777777" w:rsidR="006A24B8" w:rsidRPr="008858B4" w:rsidRDefault="006A24B8" w:rsidP="008858B4"/>
    <w:p w14:paraId="56F92F4D" w14:textId="04E5DEA0" w:rsidR="006A24B8" w:rsidRPr="00872882" w:rsidRDefault="004E672B" w:rsidP="0017595D">
      <w:pPr>
        <w:pStyle w:val="FOAHeading2"/>
      </w:pPr>
      <w:bookmarkStart w:id="187" w:name="_Toc517798915"/>
      <w:bookmarkStart w:id="188" w:name="_Toc519602243"/>
      <w:bookmarkStart w:id="189" w:name="_Toc519602348"/>
      <w:bookmarkStart w:id="190" w:name="_Toc109921687"/>
      <w:r w:rsidRPr="00221643">
        <w:t>Content and Form of the Full Application</w:t>
      </w:r>
      <w:bookmarkEnd w:id="187"/>
      <w:bookmarkEnd w:id="188"/>
      <w:bookmarkEnd w:id="189"/>
      <w:bookmarkEnd w:id="190"/>
    </w:p>
    <w:p w14:paraId="203BD7F4" w14:textId="0108B45D" w:rsidR="00A93673" w:rsidRPr="00A93673" w:rsidRDefault="004E672B" w:rsidP="00E42B15">
      <w:pPr>
        <w:ind w:left="1440"/>
        <w:rPr>
          <w:rStyle w:val="Hyperlink"/>
        </w:rPr>
      </w:pPr>
      <w:r w:rsidRPr="008858B4">
        <w:t xml:space="preserve">Applicants must submit a Full Application by the specified due date and time to be considered for funding under this FOA. Applicants must complete the following application forms found on the </w:t>
      </w:r>
      <w:r w:rsidR="00A93673">
        <w:t>EERE Exchange</w:t>
      </w:r>
      <w:r w:rsidRPr="008858B4">
        <w:t xml:space="preserve"> website at</w:t>
      </w:r>
      <w:r w:rsidR="00A93673">
        <w:t xml:space="preserve"> </w:t>
      </w:r>
      <w:r w:rsidR="00A93673">
        <w:fldChar w:fldCharType="begin"/>
      </w:r>
      <w:r w:rsidR="00A93673">
        <w:instrText xml:space="preserve"> HYPERLINK "https://eere-Exchange.energy.gov" </w:instrText>
      </w:r>
      <w:r w:rsidR="00A93673">
        <w:fldChar w:fldCharType="separate"/>
      </w:r>
      <w:r w:rsidR="00A93673" w:rsidRPr="00A93673">
        <w:rPr>
          <w:rStyle w:val="Hyperlink"/>
        </w:rPr>
        <w:t>https://eere-</w:t>
      </w:r>
    </w:p>
    <w:p w14:paraId="30987191" w14:textId="45FC101A" w:rsidR="006A24B8" w:rsidRPr="008858B4" w:rsidRDefault="00A93673" w:rsidP="00E42B15">
      <w:pPr>
        <w:ind w:left="1440"/>
      </w:pPr>
      <w:r w:rsidRPr="00A93673">
        <w:rPr>
          <w:rStyle w:val="Hyperlink"/>
        </w:rPr>
        <w:t>Exchange.energy.gov/</w:t>
      </w:r>
      <w:r>
        <w:fldChar w:fldCharType="end"/>
      </w:r>
      <w:r w:rsidR="004E672B" w:rsidRPr="008858B4">
        <w:t>, in accordance with the instructions.</w:t>
      </w:r>
    </w:p>
    <w:p w14:paraId="6349A449" w14:textId="56CE8E1F" w:rsidR="006A24B8" w:rsidRPr="008858B4" w:rsidRDefault="006A24B8" w:rsidP="00E42B15">
      <w:pPr>
        <w:ind w:left="1440"/>
      </w:pPr>
    </w:p>
    <w:p w14:paraId="1B3071D8" w14:textId="709FAA09" w:rsidR="006A24B8" w:rsidRPr="008858B4" w:rsidRDefault="002D40FF" w:rsidP="00E42B15">
      <w:pPr>
        <w:ind w:left="1440"/>
      </w:pPr>
      <w:r>
        <w:t>Applicants</w:t>
      </w:r>
      <w:r w:rsidR="004F3014">
        <w:t xml:space="preserve"> </w:t>
      </w:r>
      <w:r w:rsidR="0038284A" w:rsidRPr="0038284A">
        <w:t xml:space="preserve">will have approximately </w:t>
      </w:r>
      <w:r w:rsidR="00AA26B2">
        <w:t>45</w:t>
      </w:r>
      <w:r w:rsidR="0038284A" w:rsidRPr="0038284A">
        <w:t xml:space="preserve"> days from receipt of the Concept Paper Encourage/Discourage notification on </w:t>
      </w:r>
      <w:r w:rsidR="00A93673">
        <w:t>EERE Exchange</w:t>
      </w:r>
      <w:r w:rsidR="0038284A" w:rsidRPr="0038284A">
        <w:t xml:space="preserve"> to prepare and submit a Full Application. Regardless of the date the applicant receives the Encourage/Discourage notification, the submission deadline for the Full Application remains the date and time stated on the FOA cover page. </w:t>
      </w:r>
    </w:p>
    <w:p w14:paraId="2C8C1F78" w14:textId="77777777" w:rsidR="006A24B8" w:rsidRPr="008858B4" w:rsidRDefault="006A24B8" w:rsidP="00E42B15">
      <w:pPr>
        <w:ind w:left="1440"/>
      </w:pPr>
    </w:p>
    <w:p w14:paraId="16A01AAF" w14:textId="6884920A" w:rsidR="006A24B8" w:rsidRPr="008858B4" w:rsidRDefault="004E672B" w:rsidP="00E42B15">
      <w:pPr>
        <w:pStyle w:val="CommentText"/>
        <w:ind w:left="1440"/>
      </w:pPr>
      <w:r w:rsidRPr="008858B4">
        <w:t>All Full Application documents must be marked with the Control Number issued to the applicant.</w:t>
      </w:r>
      <w:r w:rsidR="001A3502">
        <w:t xml:space="preserve"> </w:t>
      </w:r>
      <w:r w:rsidR="00AF2304">
        <w:t xml:space="preserve">Applicants will receive a control number upon clicking the “Create Concept Paper” button in </w:t>
      </w:r>
      <w:proofErr w:type="gramStart"/>
      <w:r w:rsidR="00A93673">
        <w:t>EERE Exchange</w:t>
      </w:r>
      <w:r w:rsidR="00AF2304">
        <w:t>, and</w:t>
      </w:r>
      <w:proofErr w:type="gramEnd"/>
      <w:r w:rsidR="00AF2304">
        <w:t xml:space="preserve"> should include that control number in the file name of their Full Application submission (i.e., </w:t>
      </w:r>
      <w:r w:rsidR="00AF2304">
        <w:rPr>
          <w:i/>
        </w:rPr>
        <w:t xml:space="preserve">Control </w:t>
      </w:r>
      <w:proofErr w:type="spellStart"/>
      <w:r w:rsidR="00AF2304">
        <w:rPr>
          <w:i/>
        </w:rPr>
        <w:t>number_Applicant</w:t>
      </w:r>
      <w:proofErr w:type="spellEnd"/>
      <w:r w:rsidR="00AF2304">
        <w:rPr>
          <w:i/>
        </w:rPr>
        <w:t xml:space="preserve"> </w:t>
      </w:r>
      <w:proofErr w:type="spellStart"/>
      <w:r w:rsidR="00AF2304">
        <w:rPr>
          <w:i/>
        </w:rPr>
        <w:t>Name_Full</w:t>
      </w:r>
      <w:proofErr w:type="spellEnd"/>
      <w:r w:rsidR="00AF2304">
        <w:rPr>
          <w:i/>
        </w:rPr>
        <w:t xml:space="preserve"> Application</w:t>
      </w:r>
      <w:r w:rsidR="00AF2304">
        <w:t>).</w:t>
      </w:r>
      <w:r w:rsidR="001A3502">
        <w:t xml:space="preserve"> </w:t>
      </w:r>
    </w:p>
    <w:p w14:paraId="172C681E" w14:textId="77777777" w:rsidR="006A24B8" w:rsidRPr="00A53BBC" w:rsidRDefault="006A24B8" w:rsidP="008858B4">
      <w:pPr>
        <w:rPr>
          <w:sz w:val="20"/>
        </w:rPr>
      </w:pPr>
    </w:p>
    <w:p w14:paraId="1DA317C0" w14:textId="208C0447" w:rsidR="006A24B8" w:rsidRPr="00872882" w:rsidRDefault="004E672B" w:rsidP="00F836F4">
      <w:pPr>
        <w:pStyle w:val="FOAHeading3"/>
        <w:numPr>
          <w:ilvl w:val="0"/>
          <w:numId w:val="31"/>
        </w:numPr>
        <w:ind w:left="1440"/>
        <w:outlineLvl w:val="2"/>
      </w:pPr>
      <w:bookmarkStart w:id="191" w:name="_Toc519602349"/>
      <w:bookmarkStart w:id="192" w:name="_Toc109921688"/>
      <w:r w:rsidRPr="00C72CE2">
        <w:t xml:space="preserve">Full Application Content </w:t>
      </w:r>
      <w:r w:rsidRPr="0022038E">
        <w:t>Requirements</w:t>
      </w:r>
      <w:bookmarkEnd w:id="191"/>
      <w:bookmarkEnd w:id="192"/>
    </w:p>
    <w:p w14:paraId="77162763" w14:textId="77777777" w:rsidR="006A24B8" w:rsidRPr="00A53BBC" w:rsidRDefault="006A24B8" w:rsidP="00A53BBC">
      <w:pPr>
        <w:ind w:left="1440" w:hanging="180"/>
        <w:rPr>
          <w:sz w:val="20"/>
        </w:rPr>
      </w:pPr>
    </w:p>
    <w:p w14:paraId="68258981" w14:textId="1DD522B9" w:rsidR="002D40FF" w:rsidRDefault="004E672B" w:rsidP="008A1BB6">
      <w:pPr>
        <w:ind w:left="1440"/>
      </w:pPr>
      <w:r w:rsidRPr="008858B4">
        <w:t>Each Full Application shall be limited to a single concept or technology. Full Applications must conform to the following requirements:</w:t>
      </w:r>
    </w:p>
    <w:p w14:paraId="6F7153B3" w14:textId="26E300D5" w:rsidR="00BE27EA" w:rsidRDefault="00BE27EA" w:rsidP="005A2864">
      <w:pPr>
        <w:keepNext/>
        <w:ind w:left="1440"/>
      </w:pPr>
    </w:p>
    <w:tbl>
      <w:tblPr>
        <w:tblStyle w:val="TableGrid"/>
        <w:tblW w:w="9360" w:type="dxa"/>
        <w:tblInd w:w="715" w:type="dxa"/>
        <w:tblLayout w:type="fixed"/>
        <w:tblLook w:val="04A0" w:firstRow="1" w:lastRow="0" w:firstColumn="1" w:lastColumn="0" w:noHBand="0" w:noVBand="1"/>
      </w:tblPr>
      <w:tblGrid>
        <w:gridCol w:w="3330"/>
        <w:gridCol w:w="1260"/>
        <w:gridCol w:w="810"/>
        <w:gridCol w:w="3960"/>
      </w:tblGrid>
      <w:tr w:rsidR="00853FCE" w14:paraId="0E6B1B8D" w14:textId="4BDAFCF1" w:rsidTr="009F07F7">
        <w:tc>
          <w:tcPr>
            <w:tcW w:w="3330" w:type="dxa"/>
            <w:shd w:val="clear" w:color="auto" w:fill="C6D9F1" w:themeFill="text2" w:themeFillTint="33"/>
            <w:vAlign w:val="center"/>
          </w:tcPr>
          <w:p w14:paraId="07D1B82C" w14:textId="15A6A612" w:rsidR="00853FCE" w:rsidRPr="008858B4" w:rsidRDefault="00853FCE" w:rsidP="0030520B">
            <w:pPr>
              <w:keepNext/>
              <w:keepLines/>
              <w:spacing w:before="120" w:after="120"/>
              <w:jc w:val="center"/>
              <w:rPr>
                <w:b/>
                <w:sz w:val="21"/>
                <w:szCs w:val="21"/>
              </w:rPr>
            </w:pPr>
            <w:r w:rsidRPr="6BB432CC">
              <w:rPr>
                <w:b/>
                <w:sz w:val="21"/>
                <w:szCs w:val="21"/>
              </w:rPr>
              <w:t>Component</w:t>
            </w:r>
          </w:p>
        </w:tc>
        <w:tc>
          <w:tcPr>
            <w:tcW w:w="1260" w:type="dxa"/>
            <w:shd w:val="clear" w:color="auto" w:fill="C6D9F1" w:themeFill="text2" w:themeFillTint="33"/>
            <w:vAlign w:val="center"/>
          </w:tcPr>
          <w:p w14:paraId="51527731" w14:textId="740362DF" w:rsidR="00853FCE" w:rsidRPr="6BB432CC" w:rsidRDefault="00853FCE" w:rsidP="0030520B">
            <w:pPr>
              <w:keepNext/>
              <w:keepLines/>
              <w:spacing w:before="120" w:after="120"/>
              <w:jc w:val="center"/>
              <w:rPr>
                <w:b/>
                <w:sz w:val="21"/>
                <w:szCs w:val="21"/>
              </w:rPr>
            </w:pPr>
            <w:r>
              <w:rPr>
                <w:b/>
                <w:sz w:val="21"/>
                <w:szCs w:val="21"/>
              </w:rPr>
              <w:t>File Format</w:t>
            </w:r>
          </w:p>
        </w:tc>
        <w:tc>
          <w:tcPr>
            <w:tcW w:w="810" w:type="dxa"/>
            <w:shd w:val="clear" w:color="auto" w:fill="C6D9F1" w:themeFill="text2" w:themeFillTint="33"/>
            <w:vAlign w:val="center"/>
          </w:tcPr>
          <w:p w14:paraId="18FB29AB" w14:textId="7719E628" w:rsidR="00853FCE" w:rsidRPr="6BB432CC" w:rsidRDefault="00853FCE" w:rsidP="0030520B">
            <w:pPr>
              <w:keepNext/>
              <w:keepLines/>
              <w:spacing w:before="120" w:after="120"/>
              <w:jc w:val="center"/>
              <w:rPr>
                <w:b/>
                <w:sz w:val="21"/>
                <w:szCs w:val="21"/>
              </w:rPr>
            </w:pPr>
            <w:r>
              <w:rPr>
                <w:b/>
                <w:sz w:val="21"/>
                <w:szCs w:val="21"/>
              </w:rPr>
              <w:t>Page Limit</w:t>
            </w:r>
          </w:p>
        </w:tc>
        <w:tc>
          <w:tcPr>
            <w:tcW w:w="3960" w:type="dxa"/>
            <w:shd w:val="clear" w:color="auto" w:fill="C6D9F1" w:themeFill="text2" w:themeFillTint="33"/>
          </w:tcPr>
          <w:p w14:paraId="2B269201" w14:textId="2177ADDB" w:rsidR="00853FCE" w:rsidRDefault="00853FCE" w:rsidP="005E2146">
            <w:pPr>
              <w:keepNext/>
              <w:keepLines/>
              <w:spacing w:before="120" w:after="120"/>
              <w:jc w:val="center"/>
              <w:rPr>
                <w:b/>
                <w:sz w:val="21"/>
                <w:szCs w:val="21"/>
              </w:rPr>
            </w:pPr>
            <w:r>
              <w:rPr>
                <w:b/>
                <w:sz w:val="21"/>
                <w:szCs w:val="21"/>
              </w:rPr>
              <w:t>File Name</w:t>
            </w:r>
          </w:p>
        </w:tc>
      </w:tr>
      <w:tr w:rsidR="00853FCE" w14:paraId="56705725" w14:textId="01BBEBC9" w:rsidTr="009F07F7">
        <w:tc>
          <w:tcPr>
            <w:tcW w:w="3330" w:type="dxa"/>
          </w:tcPr>
          <w:p w14:paraId="07C5669F" w14:textId="5D23A3F6" w:rsidR="00853FCE" w:rsidRPr="008858B4" w:rsidRDefault="00853FCE" w:rsidP="00853FCE">
            <w:pPr>
              <w:keepLines/>
              <w:rPr>
                <w:sz w:val="21"/>
                <w:szCs w:val="21"/>
              </w:rPr>
            </w:pPr>
            <w:r w:rsidRPr="008858B4">
              <w:rPr>
                <w:sz w:val="21"/>
                <w:szCs w:val="21"/>
              </w:rPr>
              <w:t xml:space="preserve">Technical Volume </w:t>
            </w:r>
          </w:p>
        </w:tc>
        <w:tc>
          <w:tcPr>
            <w:tcW w:w="1260" w:type="dxa"/>
          </w:tcPr>
          <w:p w14:paraId="7533630F" w14:textId="2D826166" w:rsidR="00853FCE" w:rsidRPr="008858B4" w:rsidRDefault="00853FCE" w:rsidP="00853FCE">
            <w:pPr>
              <w:keepLines/>
              <w:rPr>
                <w:sz w:val="21"/>
                <w:szCs w:val="21"/>
              </w:rPr>
            </w:pPr>
            <w:r>
              <w:rPr>
                <w:sz w:val="21"/>
                <w:szCs w:val="21"/>
              </w:rPr>
              <w:t>PDF</w:t>
            </w:r>
          </w:p>
        </w:tc>
        <w:tc>
          <w:tcPr>
            <w:tcW w:w="810" w:type="dxa"/>
          </w:tcPr>
          <w:p w14:paraId="491C5FCA" w14:textId="3245AD57" w:rsidR="00853FCE" w:rsidRPr="008858B4" w:rsidRDefault="005B52B2" w:rsidP="00853FCE">
            <w:pPr>
              <w:keepLines/>
              <w:rPr>
                <w:sz w:val="21"/>
                <w:szCs w:val="21"/>
              </w:rPr>
            </w:pPr>
            <w:r>
              <w:rPr>
                <w:sz w:val="21"/>
                <w:szCs w:val="21"/>
              </w:rPr>
              <w:t>15</w:t>
            </w:r>
          </w:p>
        </w:tc>
        <w:tc>
          <w:tcPr>
            <w:tcW w:w="3960" w:type="dxa"/>
          </w:tcPr>
          <w:p w14:paraId="21513312" w14:textId="504124CB" w:rsidR="00853FCE" w:rsidRPr="008858B4" w:rsidRDefault="00853FCE" w:rsidP="00853FCE">
            <w:pPr>
              <w:keepLines/>
              <w:rPr>
                <w:sz w:val="21"/>
                <w:szCs w:val="21"/>
              </w:rPr>
            </w:pPr>
            <w:proofErr w:type="spellStart"/>
            <w:r w:rsidRPr="008858B4">
              <w:rPr>
                <w:sz w:val="21"/>
                <w:szCs w:val="21"/>
              </w:rPr>
              <w:t>ControlNumber_LeadOrganization_TechnicalVolume</w:t>
            </w:r>
            <w:proofErr w:type="spellEnd"/>
          </w:p>
        </w:tc>
      </w:tr>
      <w:tr w:rsidR="00853FCE" w14:paraId="26F8F28F" w14:textId="43210418" w:rsidTr="009F07F7">
        <w:tc>
          <w:tcPr>
            <w:tcW w:w="3330" w:type="dxa"/>
          </w:tcPr>
          <w:p w14:paraId="670D8F78" w14:textId="21F8A9EF" w:rsidR="00853FCE" w:rsidRPr="008858B4" w:rsidRDefault="00853FCE" w:rsidP="00853FCE">
            <w:pPr>
              <w:keepLines/>
              <w:rPr>
                <w:sz w:val="21"/>
                <w:szCs w:val="21"/>
              </w:rPr>
            </w:pPr>
            <w:r>
              <w:rPr>
                <w:sz w:val="21"/>
                <w:szCs w:val="21"/>
              </w:rPr>
              <w:t>Resumes</w:t>
            </w:r>
          </w:p>
        </w:tc>
        <w:tc>
          <w:tcPr>
            <w:tcW w:w="1260" w:type="dxa"/>
          </w:tcPr>
          <w:p w14:paraId="028E180B" w14:textId="7C1896BD" w:rsidR="00853FCE" w:rsidRPr="008858B4" w:rsidRDefault="00853FCE" w:rsidP="00853FCE">
            <w:pPr>
              <w:keepLines/>
              <w:rPr>
                <w:sz w:val="21"/>
                <w:szCs w:val="21"/>
              </w:rPr>
            </w:pPr>
            <w:r>
              <w:rPr>
                <w:sz w:val="21"/>
                <w:szCs w:val="21"/>
              </w:rPr>
              <w:t>PDF</w:t>
            </w:r>
          </w:p>
        </w:tc>
        <w:tc>
          <w:tcPr>
            <w:tcW w:w="810" w:type="dxa"/>
          </w:tcPr>
          <w:p w14:paraId="1B363135" w14:textId="79A65DEF" w:rsidR="00853FCE" w:rsidRPr="008858B4" w:rsidRDefault="0003625A" w:rsidP="00853FCE">
            <w:pPr>
              <w:keepLines/>
              <w:rPr>
                <w:sz w:val="21"/>
                <w:szCs w:val="21"/>
              </w:rPr>
            </w:pPr>
            <w:r>
              <w:rPr>
                <w:sz w:val="21"/>
                <w:szCs w:val="21"/>
              </w:rPr>
              <w:t>2</w:t>
            </w:r>
            <w:r w:rsidR="00853FCE">
              <w:rPr>
                <w:sz w:val="21"/>
                <w:szCs w:val="21"/>
              </w:rPr>
              <w:t xml:space="preserve"> </w:t>
            </w:r>
            <w:r w:rsidR="005E2146">
              <w:rPr>
                <w:sz w:val="21"/>
                <w:szCs w:val="21"/>
              </w:rPr>
              <w:t>page</w:t>
            </w:r>
            <w:r w:rsidR="003354A1">
              <w:rPr>
                <w:sz w:val="21"/>
                <w:szCs w:val="21"/>
              </w:rPr>
              <w:t>s</w:t>
            </w:r>
            <w:r w:rsidR="005E2146">
              <w:rPr>
                <w:sz w:val="21"/>
                <w:szCs w:val="21"/>
              </w:rPr>
              <w:t xml:space="preserve"> each</w:t>
            </w:r>
          </w:p>
        </w:tc>
        <w:tc>
          <w:tcPr>
            <w:tcW w:w="3960" w:type="dxa"/>
          </w:tcPr>
          <w:p w14:paraId="64A6F34B" w14:textId="6E2D6E7D" w:rsidR="00853FCE" w:rsidRDefault="00853FCE" w:rsidP="00853FCE">
            <w:pPr>
              <w:keepLines/>
              <w:rPr>
                <w:sz w:val="21"/>
                <w:szCs w:val="21"/>
              </w:rPr>
            </w:pPr>
            <w:proofErr w:type="spellStart"/>
            <w:r w:rsidRPr="008858B4">
              <w:rPr>
                <w:sz w:val="21"/>
                <w:szCs w:val="21"/>
              </w:rPr>
              <w:t>ControlN</w:t>
            </w:r>
            <w:r>
              <w:rPr>
                <w:sz w:val="21"/>
                <w:szCs w:val="21"/>
              </w:rPr>
              <w:t>umber_LeadOrganization_Resumes</w:t>
            </w:r>
            <w:proofErr w:type="spellEnd"/>
          </w:p>
        </w:tc>
      </w:tr>
      <w:tr w:rsidR="00853FCE" w14:paraId="62C31BEF" w14:textId="73D077A2" w:rsidTr="009F07F7">
        <w:tc>
          <w:tcPr>
            <w:tcW w:w="3330" w:type="dxa"/>
          </w:tcPr>
          <w:p w14:paraId="7A60BC91" w14:textId="43FA079C" w:rsidR="00853FCE" w:rsidRPr="008858B4" w:rsidRDefault="00853FCE" w:rsidP="00853FCE">
            <w:pPr>
              <w:keepLines/>
              <w:rPr>
                <w:sz w:val="21"/>
                <w:szCs w:val="21"/>
              </w:rPr>
            </w:pPr>
            <w:r>
              <w:rPr>
                <w:sz w:val="21"/>
                <w:szCs w:val="21"/>
              </w:rPr>
              <w:t>Letters of Commitment</w:t>
            </w:r>
          </w:p>
        </w:tc>
        <w:tc>
          <w:tcPr>
            <w:tcW w:w="1260" w:type="dxa"/>
          </w:tcPr>
          <w:p w14:paraId="6266BA09" w14:textId="5425921F" w:rsidR="00853FCE" w:rsidRPr="008858B4" w:rsidRDefault="00853FCE" w:rsidP="00853FCE">
            <w:pPr>
              <w:keepLines/>
              <w:rPr>
                <w:sz w:val="21"/>
                <w:szCs w:val="21"/>
              </w:rPr>
            </w:pPr>
            <w:r>
              <w:rPr>
                <w:sz w:val="21"/>
                <w:szCs w:val="21"/>
              </w:rPr>
              <w:t>PDF</w:t>
            </w:r>
          </w:p>
        </w:tc>
        <w:tc>
          <w:tcPr>
            <w:tcW w:w="810" w:type="dxa"/>
          </w:tcPr>
          <w:p w14:paraId="74B376D2" w14:textId="67293ED4" w:rsidR="00853FCE" w:rsidRPr="008858B4" w:rsidRDefault="00853FCE" w:rsidP="00853FCE">
            <w:pPr>
              <w:keepLines/>
              <w:rPr>
                <w:sz w:val="21"/>
                <w:szCs w:val="21"/>
              </w:rPr>
            </w:pPr>
            <w:r>
              <w:rPr>
                <w:sz w:val="21"/>
                <w:szCs w:val="21"/>
              </w:rPr>
              <w:t>1</w:t>
            </w:r>
            <w:r w:rsidR="005E2146">
              <w:rPr>
                <w:sz w:val="21"/>
                <w:szCs w:val="21"/>
              </w:rPr>
              <w:t xml:space="preserve"> page each</w:t>
            </w:r>
          </w:p>
        </w:tc>
        <w:tc>
          <w:tcPr>
            <w:tcW w:w="3960" w:type="dxa"/>
          </w:tcPr>
          <w:p w14:paraId="1F8A7791" w14:textId="5FF49D15" w:rsidR="00853FCE" w:rsidRDefault="00853FCE" w:rsidP="00853FCE">
            <w:pPr>
              <w:keepLines/>
              <w:rPr>
                <w:sz w:val="21"/>
                <w:szCs w:val="21"/>
              </w:rPr>
            </w:pPr>
            <w:proofErr w:type="spellStart"/>
            <w:r w:rsidRPr="008858B4">
              <w:rPr>
                <w:sz w:val="21"/>
                <w:szCs w:val="21"/>
              </w:rPr>
              <w:t>ControlN</w:t>
            </w:r>
            <w:r>
              <w:rPr>
                <w:sz w:val="21"/>
                <w:szCs w:val="21"/>
              </w:rPr>
              <w:t>umber_LeadOrganization_LOCs</w:t>
            </w:r>
            <w:proofErr w:type="spellEnd"/>
          </w:p>
        </w:tc>
      </w:tr>
      <w:tr w:rsidR="00853FCE" w14:paraId="79377999" w14:textId="1E19B6F1" w:rsidTr="009F07F7">
        <w:tc>
          <w:tcPr>
            <w:tcW w:w="3330" w:type="dxa"/>
          </w:tcPr>
          <w:p w14:paraId="747F0EC4" w14:textId="5F823003" w:rsidR="00853FCE" w:rsidRPr="008858B4" w:rsidRDefault="00853FCE" w:rsidP="00853FCE">
            <w:pPr>
              <w:rPr>
                <w:sz w:val="21"/>
                <w:szCs w:val="21"/>
              </w:rPr>
            </w:pPr>
            <w:r w:rsidRPr="008858B4">
              <w:rPr>
                <w:sz w:val="21"/>
                <w:szCs w:val="21"/>
              </w:rPr>
              <w:t>Statement of Project Objectives</w:t>
            </w:r>
          </w:p>
        </w:tc>
        <w:tc>
          <w:tcPr>
            <w:tcW w:w="1260" w:type="dxa"/>
          </w:tcPr>
          <w:p w14:paraId="6B668D99" w14:textId="5E631F31" w:rsidR="00853FCE" w:rsidRPr="008858B4" w:rsidRDefault="00853FCE" w:rsidP="00853FCE">
            <w:pPr>
              <w:rPr>
                <w:sz w:val="21"/>
                <w:szCs w:val="21"/>
              </w:rPr>
            </w:pPr>
            <w:r>
              <w:rPr>
                <w:sz w:val="21"/>
                <w:szCs w:val="21"/>
              </w:rPr>
              <w:t>MS Word</w:t>
            </w:r>
          </w:p>
        </w:tc>
        <w:tc>
          <w:tcPr>
            <w:tcW w:w="810" w:type="dxa"/>
          </w:tcPr>
          <w:p w14:paraId="3CE3741B" w14:textId="4EF572F4" w:rsidR="00853FCE" w:rsidRPr="008858B4" w:rsidRDefault="005B52B2" w:rsidP="00853FCE">
            <w:pPr>
              <w:rPr>
                <w:sz w:val="21"/>
                <w:szCs w:val="21"/>
              </w:rPr>
            </w:pPr>
            <w:r>
              <w:rPr>
                <w:sz w:val="21"/>
                <w:szCs w:val="21"/>
              </w:rPr>
              <w:t>10</w:t>
            </w:r>
          </w:p>
        </w:tc>
        <w:tc>
          <w:tcPr>
            <w:tcW w:w="3960" w:type="dxa"/>
          </w:tcPr>
          <w:p w14:paraId="5B8BF70B" w14:textId="463B0938" w:rsidR="00853FCE" w:rsidRPr="008858B4" w:rsidRDefault="00853FCE" w:rsidP="00853FCE">
            <w:pPr>
              <w:rPr>
                <w:sz w:val="21"/>
                <w:szCs w:val="21"/>
              </w:rPr>
            </w:pPr>
            <w:proofErr w:type="spellStart"/>
            <w:r w:rsidRPr="008858B4">
              <w:rPr>
                <w:sz w:val="21"/>
                <w:szCs w:val="21"/>
              </w:rPr>
              <w:t>ControlNumber_LeadOrganization_SOPO</w:t>
            </w:r>
            <w:proofErr w:type="spellEnd"/>
          </w:p>
        </w:tc>
      </w:tr>
      <w:tr w:rsidR="00853FCE" w14:paraId="529231C9" w14:textId="23914361" w:rsidTr="009F07F7">
        <w:tc>
          <w:tcPr>
            <w:tcW w:w="3330" w:type="dxa"/>
          </w:tcPr>
          <w:p w14:paraId="308BD5E8" w14:textId="0255B33B" w:rsidR="00853FCE" w:rsidRPr="008858B4" w:rsidRDefault="00853FCE" w:rsidP="00853FCE">
            <w:pPr>
              <w:rPr>
                <w:sz w:val="21"/>
                <w:szCs w:val="21"/>
              </w:rPr>
            </w:pPr>
            <w:r w:rsidRPr="008858B4">
              <w:rPr>
                <w:sz w:val="21"/>
                <w:szCs w:val="21"/>
              </w:rPr>
              <w:t>SF-424</w:t>
            </w:r>
          </w:p>
        </w:tc>
        <w:tc>
          <w:tcPr>
            <w:tcW w:w="1260" w:type="dxa"/>
          </w:tcPr>
          <w:p w14:paraId="08DB8095" w14:textId="0164D7A3" w:rsidR="00853FCE" w:rsidRPr="008858B4" w:rsidRDefault="00853FCE" w:rsidP="00853FCE">
            <w:pPr>
              <w:rPr>
                <w:sz w:val="21"/>
                <w:szCs w:val="21"/>
              </w:rPr>
            </w:pPr>
            <w:r>
              <w:rPr>
                <w:sz w:val="21"/>
                <w:szCs w:val="21"/>
              </w:rPr>
              <w:t>PDF</w:t>
            </w:r>
          </w:p>
        </w:tc>
        <w:tc>
          <w:tcPr>
            <w:tcW w:w="810" w:type="dxa"/>
          </w:tcPr>
          <w:p w14:paraId="3B5581E6" w14:textId="2B2229F1" w:rsidR="00853FCE" w:rsidRPr="008858B4" w:rsidRDefault="00853FCE" w:rsidP="00853FCE">
            <w:pPr>
              <w:rPr>
                <w:sz w:val="21"/>
                <w:szCs w:val="21"/>
              </w:rPr>
            </w:pPr>
            <w:r>
              <w:rPr>
                <w:sz w:val="21"/>
                <w:szCs w:val="21"/>
              </w:rPr>
              <w:t>n/a</w:t>
            </w:r>
          </w:p>
        </w:tc>
        <w:tc>
          <w:tcPr>
            <w:tcW w:w="3960" w:type="dxa"/>
          </w:tcPr>
          <w:p w14:paraId="16D2A6AC" w14:textId="61DD73F8" w:rsidR="00853FCE" w:rsidRDefault="00853FCE" w:rsidP="00853FCE">
            <w:pPr>
              <w:rPr>
                <w:sz w:val="21"/>
                <w:szCs w:val="21"/>
              </w:rPr>
            </w:pPr>
            <w:r w:rsidRPr="008858B4">
              <w:rPr>
                <w:sz w:val="21"/>
                <w:szCs w:val="21"/>
              </w:rPr>
              <w:t>ControlNumber_LeadOrganization_App424</w:t>
            </w:r>
          </w:p>
        </w:tc>
      </w:tr>
      <w:tr w:rsidR="00853FCE" w14:paraId="30D0B003" w14:textId="2A50E46F" w:rsidTr="009F07F7">
        <w:tc>
          <w:tcPr>
            <w:tcW w:w="3330" w:type="dxa"/>
          </w:tcPr>
          <w:p w14:paraId="2DD70BDA" w14:textId="6940C672" w:rsidR="00853FCE" w:rsidRPr="008858B4" w:rsidRDefault="00853FCE" w:rsidP="00853FCE">
            <w:pPr>
              <w:rPr>
                <w:sz w:val="21"/>
                <w:szCs w:val="21"/>
              </w:rPr>
            </w:pPr>
            <w:r w:rsidRPr="008858B4">
              <w:rPr>
                <w:sz w:val="21"/>
                <w:szCs w:val="21"/>
              </w:rPr>
              <w:t>Budget Justification</w:t>
            </w:r>
            <w:r>
              <w:rPr>
                <w:sz w:val="21"/>
                <w:szCs w:val="21"/>
              </w:rPr>
              <w:t xml:space="preserve"> Workbook</w:t>
            </w:r>
          </w:p>
        </w:tc>
        <w:tc>
          <w:tcPr>
            <w:tcW w:w="1260" w:type="dxa"/>
          </w:tcPr>
          <w:p w14:paraId="29DF0C94" w14:textId="00C7080A" w:rsidR="00853FCE" w:rsidRPr="008858B4" w:rsidRDefault="00853FCE" w:rsidP="00853FCE">
            <w:pPr>
              <w:rPr>
                <w:sz w:val="21"/>
                <w:szCs w:val="21"/>
              </w:rPr>
            </w:pPr>
            <w:r>
              <w:rPr>
                <w:sz w:val="21"/>
                <w:szCs w:val="21"/>
              </w:rPr>
              <w:t>MS Excel</w:t>
            </w:r>
          </w:p>
        </w:tc>
        <w:tc>
          <w:tcPr>
            <w:tcW w:w="810" w:type="dxa"/>
          </w:tcPr>
          <w:p w14:paraId="73B50CC3" w14:textId="38AFC765" w:rsidR="00853FCE" w:rsidRPr="008858B4" w:rsidRDefault="00853FCE" w:rsidP="00853FCE">
            <w:pPr>
              <w:rPr>
                <w:sz w:val="21"/>
                <w:szCs w:val="21"/>
              </w:rPr>
            </w:pPr>
            <w:r>
              <w:rPr>
                <w:sz w:val="21"/>
                <w:szCs w:val="21"/>
              </w:rPr>
              <w:t>n/a</w:t>
            </w:r>
          </w:p>
        </w:tc>
        <w:tc>
          <w:tcPr>
            <w:tcW w:w="3960" w:type="dxa"/>
          </w:tcPr>
          <w:p w14:paraId="7C5848E4" w14:textId="07B6EE01" w:rsidR="00853FCE" w:rsidRDefault="00853FCE" w:rsidP="00853FCE">
            <w:pPr>
              <w:rPr>
                <w:sz w:val="21"/>
                <w:szCs w:val="21"/>
              </w:rPr>
            </w:pPr>
            <w:proofErr w:type="spellStart"/>
            <w:r w:rsidRPr="008858B4">
              <w:rPr>
                <w:sz w:val="21"/>
                <w:szCs w:val="21"/>
              </w:rPr>
              <w:t>ControlNumber_LeadOrganization_Budget_Justification</w:t>
            </w:r>
            <w:proofErr w:type="spellEnd"/>
          </w:p>
        </w:tc>
      </w:tr>
      <w:tr w:rsidR="00853FCE" w14:paraId="3E864DB0" w14:textId="61F15979" w:rsidTr="009F07F7">
        <w:tc>
          <w:tcPr>
            <w:tcW w:w="3330" w:type="dxa"/>
          </w:tcPr>
          <w:p w14:paraId="1F0E7D03" w14:textId="7D3401C9" w:rsidR="00853FCE" w:rsidRPr="008858B4" w:rsidRDefault="00853FCE" w:rsidP="00853FCE">
            <w:pPr>
              <w:rPr>
                <w:sz w:val="21"/>
                <w:szCs w:val="21"/>
              </w:rPr>
            </w:pPr>
            <w:r w:rsidRPr="008858B4">
              <w:rPr>
                <w:sz w:val="21"/>
                <w:szCs w:val="21"/>
              </w:rPr>
              <w:t>Summary</w:t>
            </w:r>
            <w:r>
              <w:rPr>
                <w:sz w:val="21"/>
                <w:szCs w:val="21"/>
              </w:rPr>
              <w:t>/Abstract</w:t>
            </w:r>
            <w:r w:rsidRPr="008858B4">
              <w:rPr>
                <w:sz w:val="21"/>
                <w:szCs w:val="21"/>
              </w:rPr>
              <w:t xml:space="preserve"> for Public Release</w:t>
            </w:r>
          </w:p>
        </w:tc>
        <w:tc>
          <w:tcPr>
            <w:tcW w:w="1260" w:type="dxa"/>
          </w:tcPr>
          <w:p w14:paraId="2979A7C4" w14:textId="7B01F492" w:rsidR="00853FCE" w:rsidRPr="008858B4" w:rsidRDefault="00853FCE" w:rsidP="00853FCE">
            <w:pPr>
              <w:rPr>
                <w:sz w:val="21"/>
                <w:szCs w:val="21"/>
              </w:rPr>
            </w:pPr>
            <w:r>
              <w:rPr>
                <w:sz w:val="21"/>
                <w:szCs w:val="21"/>
              </w:rPr>
              <w:t>PDF</w:t>
            </w:r>
          </w:p>
        </w:tc>
        <w:tc>
          <w:tcPr>
            <w:tcW w:w="810" w:type="dxa"/>
          </w:tcPr>
          <w:p w14:paraId="3259B5B7" w14:textId="610AEFE2" w:rsidR="00853FCE" w:rsidRPr="008858B4" w:rsidRDefault="00853FCE" w:rsidP="00853FCE">
            <w:pPr>
              <w:rPr>
                <w:sz w:val="21"/>
                <w:szCs w:val="21"/>
              </w:rPr>
            </w:pPr>
            <w:r>
              <w:rPr>
                <w:sz w:val="21"/>
                <w:szCs w:val="21"/>
              </w:rPr>
              <w:t>1</w:t>
            </w:r>
          </w:p>
        </w:tc>
        <w:tc>
          <w:tcPr>
            <w:tcW w:w="3960" w:type="dxa"/>
          </w:tcPr>
          <w:p w14:paraId="03026089" w14:textId="0FD547FA" w:rsidR="00853FCE" w:rsidRDefault="00853FCE" w:rsidP="00853FCE">
            <w:pPr>
              <w:rPr>
                <w:sz w:val="21"/>
                <w:szCs w:val="21"/>
              </w:rPr>
            </w:pPr>
            <w:proofErr w:type="spellStart"/>
            <w:r w:rsidRPr="008858B4">
              <w:rPr>
                <w:sz w:val="21"/>
                <w:szCs w:val="21"/>
              </w:rPr>
              <w:t>ControlNumber_LeadOrganization_Summary</w:t>
            </w:r>
            <w:proofErr w:type="spellEnd"/>
          </w:p>
        </w:tc>
      </w:tr>
      <w:tr w:rsidR="00853FCE" w14:paraId="70C7B663" w14:textId="0D3E18A0" w:rsidTr="009F07F7">
        <w:tc>
          <w:tcPr>
            <w:tcW w:w="3330" w:type="dxa"/>
          </w:tcPr>
          <w:p w14:paraId="7AAA9F4B" w14:textId="2CC78A2A" w:rsidR="00853FCE" w:rsidRPr="008858B4" w:rsidRDefault="00853FCE" w:rsidP="00853FCE">
            <w:pPr>
              <w:rPr>
                <w:sz w:val="21"/>
                <w:szCs w:val="21"/>
              </w:rPr>
            </w:pPr>
            <w:r>
              <w:rPr>
                <w:sz w:val="21"/>
                <w:szCs w:val="21"/>
              </w:rPr>
              <w:t>Summary Slide</w:t>
            </w:r>
          </w:p>
        </w:tc>
        <w:tc>
          <w:tcPr>
            <w:tcW w:w="1260" w:type="dxa"/>
          </w:tcPr>
          <w:p w14:paraId="37768DFF" w14:textId="6796F137" w:rsidR="00853FCE" w:rsidRPr="008858B4" w:rsidRDefault="00853FCE" w:rsidP="00853FCE">
            <w:pPr>
              <w:rPr>
                <w:sz w:val="21"/>
                <w:szCs w:val="21"/>
              </w:rPr>
            </w:pPr>
            <w:r>
              <w:rPr>
                <w:sz w:val="21"/>
                <w:szCs w:val="21"/>
              </w:rPr>
              <w:t xml:space="preserve">MS </w:t>
            </w:r>
            <w:proofErr w:type="spellStart"/>
            <w:r>
              <w:rPr>
                <w:sz w:val="21"/>
                <w:szCs w:val="21"/>
              </w:rPr>
              <w:t>Powerpoint</w:t>
            </w:r>
            <w:proofErr w:type="spellEnd"/>
          </w:p>
        </w:tc>
        <w:tc>
          <w:tcPr>
            <w:tcW w:w="810" w:type="dxa"/>
          </w:tcPr>
          <w:p w14:paraId="3CC4F949" w14:textId="6AB4992C" w:rsidR="00853FCE" w:rsidRPr="008858B4" w:rsidRDefault="00853FCE" w:rsidP="00853FCE">
            <w:pPr>
              <w:rPr>
                <w:sz w:val="21"/>
                <w:szCs w:val="21"/>
              </w:rPr>
            </w:pPr>
            <w:r>
              <w:rPr>
                <w:sz w:val="21"/>
                <w:szCs w:val="21"/>
              </w:rPr>
              <w:t>1</w:t>
            </w:r>
          </w:p>
        </w:tc>
        <w:tc>
          <w:tcPr>
            <w:tcW w:w="3960" w:type="dxa"/>
          </w:tcPr>
          <w:p w14:paraId="22437617" w14:textId="0436EA5C" w:rsidR="00853FCE" w:rsidRDefault="00853FCE" w:rsidP="00853FCE">
            <w:pPr>
              <w:rPr>
                <w:sz w:val="21"/>
                <w:szCs w:val="21"/>
              </w:rPr>
            </w:pPr>
            <w:proofErr w:type="spellStart"/>
            <w:r w:rsidRPr="008858B4">
              <w:rPr>
                <w:sz w:val="21"/>
                <w:szCs w:val="21"/>
              </w:rPr>
              <w:t>ControlNumber_LeadOrganization_Slide</w:t>
            </w:r>
            <w:proofErr w:type="spellEnd"/>
          </w:p>
        </w:tc>
      </w:tr>
      <w:tr w:rsidR="00853FCE" w14:paraId="07E9CE80" w14:textId="1116112A" w:rsidTr="009F07F7">
        <w:tc>
          <w:tcPr>
            <w:tcW w:w="3330" w:type="dxa"/>
          </w:tcPr>
          <w:p w14:paraId="5ECC5F9B" w14:textId="5D5A7715" w:rsidR="00853FCE" w:rsidRPr="008858B4" w:rsidRDefault="00853FCE" w:rsidP="00853FCE">
            <w:pPr>
              <w:rPr>
                <w:sz w:val="21"/>
                <w:szCs w:val="21"/>
              </w:rPr>
            </w:pPr>
            <w:r w:rsidRPr="008858B4">
              <w:rPr>
                <w:sz w:val="21"/>
                <w:szCs w:val="21"/>
              </w:rPr>
              <w:t>Sub</w:t>
            </w:r>
            <w:r>
              <w:rPr>
                <w:sz w:val="21"/>
                <w:szCs w:val="21"/>
              </w:rPr>
              <w:t>recipient</w:t>
            </w:r>
            <w:r w:rsidRPr="008858B4">
              <w:rPr>
                <w:sz w:val="21"/>
                <w:szCs w:val="21"/>
              </w:rPr>
              <w:t xml:space="preserve"> Budget Justification</w:t>
            </w:r>
          </w:p>
        </w:tc>
        <w:tc>
          <w:tcPr>
            <w:tcW w:w="1260" w:type="dxa"/>
          </w:tcPr>
          <w:p w14:paraId="55C6A42A" w14:textId="7719E533" w:rsidR="00853FCE" w:rsidRPr="008858B4" w:rsidRDefault="00853FCE" w:rsidP="00853FCE">
            <w:pPr>
              <w:rPr>
                <w:sz w:val="21"/>
                <w:szCs w:val="21"/>
              </w:rPr>
            </w:pPr>
            <w:r>
              <w:rPr>
                <w:sz w:val="21"/>
                <w:szCs w:val="21"/>
              </w:rPr>
              <w:t>MS Excel</w:t>
            </w:r>
          </w:p>
        </w:tc>
        <w:tc>
          <w:tcPr>
            <w:tcW w:w="810" w:type="dxa"/>
          </w:tcPr>
          <w:p w14:paraId="65655083" w14:textId="59C125AE" w:rsidR="00853FCE" w:rsidRPr="008858B4" w:rsidRDefault="00853FCE" w:rsidP="00853FCE">
            <w:pPr>
              <w:rPr>
                <w:sz w:val="21"/>
                <w:szCs w:val="21"/>
              </w:rPr>
            </w:pPr>
            <w:r>
              <w:rPr>
                <w:sz w:val="21"/>
                <w:szCs w:val="21"/>
              </w:rPr>
              <w:t>n/a</w:t>
            </w:r>
          </w:p>
        </w:tc>
        <w:tc>
          <w:tcPr>
            <w:tcW w:w="3960" w:type="dxa"/>
          </w:tcPr>
          <w:p w14:paraId="169D210F" w14:textId="49C9892A" w:rsidR="00853FCE" w:rsidRDefault="00853FCE" w:rsidP="00853FCE">
            <w:pPr>
              <w:rPr>
                <w:sz w:val="21"/>
                <w:szCs w:val="21"/>
              </w:rPr>
            </w:pPr>
            <w:r w:rsidRPr="008858B4">
              <w:rPr>
                <w:sz w:val="21"/>
                <w:szCs w:val="21"/>
              </w:rPr>
              <w:t>ControlNumber_LeadOrganization_Sub</w:t>
            </w:r>
            <w:r>
              <w:rPr>
                <w:sz w:val="21"/>
                <w:szCs w:val="21"/>
              </w:rPr>
              <w:t>recipient</w:t>
            </w:r>
            <w:r w:rsidRPr="008858B4">
              <w:rPr>
                <w:sz w:val="21"/>
                <w:szCs w:val="21"/>
              </w:rPr>
              <w:t>_Budget_Justification</w:t>
            </w:r>
          </w:p>
        </w:tc>
      </w:tr>
      <w:tr w:rsidR="00853FCE" w14:paraId="6ABAC179" w14:textId="2509FF66" w:rsidTr="009F07F7">
        <w:tc>
          <w:tcPr>
            <w:tcW w:w="3330" w:type="dxa"/>
          </w:tcPr>
          <w:p w14:paraId="379C1A92" w14:textId="4CE49FB2" w:rsidR="00853FCE" w:rsidRPr="008858B4" w:rsidRDefault="00853FCE" w:rsidP="00853FCE">
            <w:pPr>
              <w:rPr>
                <w:sz w:val="21"/>
                <w:szCs w:val="21"/>
              </w:rPr>
            </w:pPr>
            <w:r w:rsidRPr="005B1EEB">
              <w:rPr>
                <w:sz w:val="21"/>
                <w:szCs w:val="21"/>
              </w:rPr>
              <w:t xml:space="preserve">DOE Work Proposal </w:t>
            </w:r>
            <w:r>
              <w:rPr>
                <w:sz w:val="21"/>
                <w:szCs w:val="21"/>
              </w:rPr>
              <w:t xml:space="preserve">for FFRDC, if applicable (see </w:t>
            </w:r>
            <w:r w:rsidRPr="00E83F1F">
              <w:rPr>
                <w:sz w:val="21"/>
                <w:szCs w:val="21"/>
              </w:rPr>
              <w:t>DOE O 412.1A, Attachment 3</w:t>
            </w:r>
            <w:r>
              <w:rPr>
                <w:sz w:val="21"/>
                <w:szCs w:val="21"/>
              </w:rPr>
              <w:t>)</w:t>
            </w:r>
          </w:p>
        </w:tc>
        <w:tc>
          <w:tcPr>
            <w:tcW w:w="1260" w:type="dxa"/>
          </w:tcPr>
          <w:p w14:paraId="263172E0" w14:textId="0DC83935" w:rsidR="00853FCE" w:rsidRPr="008858B4" w:rsidRDefault="00853FCE" w:rsidP="00853FCE">
            <w:pPr>
              <w:rPr>
                <w:sz w:val="21"/>
                <w:szCs w:val="21"/>
              </w:rPr>
            </w:pPr>
            <w:r>
              <w:rPr>
                <w:sz w:val="21"/>
                <w:szCs w:val="21"/>
              </w:rPr>
              <w:t>PDF</w:t>
            </w:r>
          </w:p>
        </w:tc>
        <w:tc>
          <w:tcPr>
            <w:tcW w:w="810" w:type="dxa"/>
          </w:tcPr>
          <w:p w14:paraId="64DE1D8E" w14:textId="38819431" w:rsidR="00853FCE" w:rsidRPr="008858B4" w:rsidRDefault="00853FCE" w:rsidP="00853FCE">
            <w:pPr>
              <w:rPr>
                <w:sz w:val="21"/>
                <w:szCs w:val="21"/>
              </w:rPr>
            </w:pPr>
            <w:r>
              <w:rPr>
                <w:sz w:val="21"/>
                <w:szCs w:val="21"/>
              </w:rPr>
              <w:t>n/a</w:t>
            </w:r>
          </w:p>
        </w:tc>
        <w:tc>
          <w:tcPr>
            <w:tcW w:w="3960" w:type="dxa"/>
          </w:tcPr>
          <w:p w14:paraId="0B97BE11" w14:textId="539FDD82" w:rsidR="00853FCE" w:rsidRDefault="00853FCE" w:rsidP="00853FCE">
            <w:pPr>
              <w:rPr>
                <w:sz w:val="21"/>
                <w:szCs w:val="21"/>
              </w:rPr>
            </w:pPr>
            <w:proofErr w:type="spellStart"/>
            <w:r w:rsidRPr="008858B4">
              <w:rPr>
                <w:sz w:val="21"/>
                <w:szCs w:val="21"/>
              </w:rPr>
              <w:t>ControlNumber_LeadOrganization_WP</w:t>
            </w:r>
            <w:proofErr w:type="spellEnd"/>
          </w:p>
        </w:tc>
      </w:tr>
      <w:tr w:rsidR="00853FCE" w14:paraId="0DAA56D0" w14:textId="57635160" w:rsidTr="009F07F7">
        <w:tc>
          <w:tcPr>
            <w:tcW w:w="3330" w:type="dxa"/>
          </w:tcPr>
          <w:p w14:paraId="3C87C7DE" w14:textId="38E0EB3F" w:rsidR="00853FCE" w:rsidRPr="008858B4" w:rsidRDefault="00853FCE" w:rsidP="00853FCE">
            <w:pPr>
              <w:rPr>
                <w:sz w:val="21"/>
                <w:szCs w:val="21"/>
              </w:rPr>
            </w:pPr>
            <w:r w:rsidRPr="008858B4">
              <w:rPr>
                <w:sz w:val="21"/>
                <w:szCs w:val="21"/>
              </w:rPr>
              <w:t>Authorization from cognizant</w:t>
            </w:r>
            <w:r>
              <w:rPr>
                <w:sz w:val="21"/>
                <w:szCs w:val="21"/>
              </w:rPr>
              <w:t xml:space="preserve"> Contracting Officer for FFRDC</w:t>
            </w:r>
          </w:p>
        </w:tc>
        <w:tc>
          <w:tcPr>
            <w:tcW w:w="1260" w:type="dxa"/>
          </w:tcPr>
          <w:p w14:paraId="66D11EB1" w14:textId="7BCCA3F7" w:rsidR="00853FCE" w:rsidRPr="008858B4" w:rsidRDefault="00853FCE" w:rsidP="00853FCE">
            <w:pPr>
              <w:rPr>
                <w:sz w:val="21"/>
                <w:szCs w:val="21"/>
              </w:rPr>
            </w:pPr>
            <w:r>
              <w:rPr>
                <w:sz w:val="21"/>
                <w:szCs w:val="21"/>
              </w:rPr>
              <w:t>PDF</w:t>
            </w:r>
          </w:p>
        </w:tc>
        <w:tc>
          <w:tcPr>
            <w:tcW w:w="810" w:type="dxa"/>
          </w:tcPr>
          <w:p w14:paraId="5D55AE4C" w14:textId="382F5907" w:rsidR="00853FCE" w:rsidRPr="008858B4" w:rsidRDefault="00853FCE" w:rsidP="00853FCE">
            <w:pPr>
              <w:rPr>
                <w:sz w:val="21"/>
                <w:szCs w:val="21"/>
              </w:rPr>
            </w:pPr>
            <w:r>
              <w:rPr>
                <w:sz w:val="21"/>
                <w:szCs w:val="21"/>
              </w:rPr>
              <w:t>n/a</w:t>
            </w:r>
          </w:p>
        </w:tc>
        <w:tc>
          <w:tcPr>
            <w:tcW w:w="3960" w:type="dxa"/>
          </w:tcPr>
          <w:p w14:paraId="1835C51A" w14:textId="3701A87B" w:rsidR="00853FCE" w:rsidRDefault="00853FCE" w:rsidP="00853FCE">
            <w:pPr>
              <w:rPr>
                <w:sz w:val="21"/>
                <w:szCs w:val="21"/>
              </w:rPr>
            </w:pPr>
            <w:proofErr w:type="spellStart"/>
            <w:r w:rsidRPr="008858B4">
              <w:rPr>
                <w:sz w:val="21"/>
                <w:szCs w:val="21"/>
              </w:rPr>
              <w:t>ControlNumber_LeadOrganization_FFRDCAuth</w:t>
            </w:r>
            <w:proofErr w:type="spellEnd"/>
          </w:p>
        </w:tc>
      </w:tr>
      <w:tr w:rsidR="00853FCE" w14:paraId="27E8304D" w14:textId="61D743EB" w:rsidTr="009F07F7">
        <w:tc>
          <w:tcPr>
            <w:tcW w:w="3330" w:type="dxa"/>
          </w:tcPr>
          <w:p w14:paraId="262DF975" w14:textId="68762DD5" w:rsidR="00853FCE" w:rsidRPr="008858B4" w:rsidRDefault="00853FCE" w:rsidP="00853FCE">
            <w:pPr>
              <w:rPr>
                <w:sz w:val="21"/>
                <w:szCs w:val="21"/>
              </w:rPr>
            </w:pPr>
            <w:r w:rsidRPr="008858B4">
              <w:rPr>
                <w:sz w:val="21"/>
                <w:szCs w:val="21"/>
              </w:rPr>
              <w:t>SF-LLL Disclosure of Lobbying Activities</w:t>
            </w:r>
            <w:r w:rsidR="00B84B49">
              <w:rPr>
                <w:sz w:val="21"/>
                <w:szCs w:val="21"/>
              </w:rPr>
              <w:t xml:space="preserve"> (prime applicant and subrecipients)</w:t>
            </w:r>
          </w:p>
        </w:tc>
        <w:tc>
          <w:tcPr>
            <w:tcW w:w="1260" w:type="dxa"/>
          </w:tcPr>
          <w:p w14:paraId="5149D57D" w14:textId="6517D839" w:rsidR="00853FCE" w:rsidRPr="008858B4" w:rsidRDefault="00853FCE" w:rsidP="00853FCE">
            <w:pPr>
              <w:rPr>
                <w:sz w:val="21"/>
                <w:szCs w:val="21"/>
              </w:rPr>
            </w:pPr>
            <w:r>
              <w:rPr>
                <w:sz w:val="21"/>
                <w:szCs w:val="21"/>
              </w:rPr>
              <w:t>PDF</w:t>
            </w:r>
          </w:p>
        </w:tc>
        <w:tc>
          <w:tcPr>
            <w:tcW w:w="810" w:type="dxa"/>
          </w:tcPr>
          <w:p w14:paraId="67BB9430" w14:textId="52CB6AF0" w:rsidR="00853FCE" w:rsidRPr="008858B4" w:rsidRDefault="00853FCE" w:rsidP="00853FCE">
            <w:pPr>
              <w:rPr>
                <w:sz w:val="21"/>
                <w:szCs w:val="21"/>
              </w:rPr>
            </w:pPr>
            <w:r>
              <w:rPr>
                <w:sz w:val="21"/>
                <w:szCs w:val="21"/>
              </w:rPr>
              <w:t>n/a</w:t>
            </w:r>
          </w:p>
        </w:tc>
        <w:tc>
          <w:tcPr>
            <w:tcW w:w="3960" w:type="dxa"/>
          </w:tcPr>
          <w:p w14:paraId="1A558788" w14:textId="55A951DF" w:rsidR="00853FCE" w:rsidRDefault="00853FCE" w:rsidP="00853FCE">
            <w:pPr>
              <w:rPr>
                <w:sz w:val="21"/>
                <w:szCs w:val="21"/>
              </w:rPr>
            </w:pPr>
            <w:proofErr w:type="spellStart"/>
            <w:r w:rsidRPr="008858B4">
              <w:rPr>
                <w:sz w:val="21"/>
                <w:szCs w:val="21"/>
              </w:rPr>
              <w:t>ControlNumber_LeadOrganization_SF</w:t>
            </w:r>
            <w:proofErr w:type="spellEnd"/>
            <w:r w:rsidRPr="008858B4">
              <w:rPr>
                <w:sz w:val="21"/>
                <w:szCs w:val="21"/>
              </w:rPr>
              <w:t>-LLL</w:t>
            </w:r>
          </w:p>
        </w:tc>
      </w:tr>
      <w:tr w:rsidR="00B0254F" w14:paraId="5D8A34F2" w14:textId="77777777" w:rsidTr="009F07F7">
        <w:tc>
          <w:tcPr>
            <w:tcW w:w="3330" w:type="dxa"/>
          </w:tcPr>
          <w:p w14:paraId="4EA6944D" w14:textId="372AAA42" w:rsidR="00B0254F" w:rsidRPr="005B1EEB" w:rsidRDefault="00B0254F" w:rsidP="00B0254F">
            <w:pPr>
              <w:rPr>
                <w:sz w:val="21"/>
                <w:szCs w:val="21"/>
              </w:rPr>
            </w:pPr>
            <w:r>
              <w:rPr>
                <w:sz w:val="21"/>
              </w:rPr>
              <w:t>Buy</w:t>
            </w:r>
            <w:r>
              <w:rPr>
                <w:spacing w:val="-3"/>
                <w:sz w:val="21"/>
              </w:rPr>
              <w:t xml:space="preserve"> </w:t>
            </w:r>
            <w:r>
              <w:rPr>
                <w:sz w:val="21"/>
              </w:rPr>
              <w:t>America</w:t>
            </w:r>
            <w:r>
              <w:rPr>
                <w:spacing w:val="-2"/>
                <w:sz w:val="21"/>
              </w:rPr>
              <w:t xml:space="preserve"> </w:t>
            </w:r>
            <w:r w:rsidR="00DE15FC" w:rsidRPr="00DE15FC">
              <w:rPr>
                <w:rFonts w:eastAsia="TT13Et00" w:cstheme="minorHAnsi"/>
                <w:color w:val="000000" w:themeColor="text1"/>
                <w:sz w:val="21"/>
                <w:szCs w:val="21"/>
              </w:rPr>
              <w:t>Requirements for Infrastructure Projects Waiver Requests</w:t>
            </w:r>
          </w:p>
        </w:tc>
        <w:tc>
          <w:tcPr>
            <w:tcW w:w="1260" w:type="dxa"/>
          </w:tcPr>
          <w:p w14:paraId="67943A64" w14:textId="57F75B24" w:rsidR="00B0254F" w:rsidRDefault="00B0254F" w:rsidP="00B0254F">
            <w:pPr>
              <w:rPr>
                <w:sz w:val="21"/>
                <w:szCs w:val="21"/>
              </w:rPr>
            </w:pPr>
            <w:r>
              <w:rPr>
                <w:spacing w:val="-5"/>
                <w:sz w:val="21"/>
              </w:rPr>
              <w:t>PDF</w:t>
            </w:r>
          </w:p>
        </w:tc>
        <w:tc>
          <w:tcPr>
            <w:tcW w:w="810" w:type="dxa"/>
          </w:tcPr>
          <w:p w14:paraId="3C910829" w14:textId="4770542C" w:rsidR="00B0254F" w:rsidRDefault="00B0254F" w:rsidP="00B0254F">
            <w:pPr>
              <w:rPr>
                <w:sz w:val="21"/>
                <w:szCs w:val="21"/>
              </w:rPr>
            </w:pPr>
            <w:r>
              <w:rPr>
                <w:spacing w:val="-5"/>
                <w:sz w:val="21"/>
              </w:rPr>
              <w:t>n/a</w:t>
            </w:r>
          </w:p>
        </w:tc>
        <w:tc>
          <w:tcPr>
            <w:tcW w:w="3960" w:type="dxa"/>
          </w:tcPr>
          <w:p w14:paraId="3B5A0748" w14:textId="77777777" w:rsidR="00B0254F" w:rsidRDefault="00B0254F" w:rsidP="00B46BFF">
            <w:pPr>
              <w:pStyle w:val="TableParagraph"/>
              <w:ind w:left="0"/>
              <w:rPr>
                <w:sz w:val="21"/>
              </w:rPr>
            </w:pPr>
            <w:proofErr w:type="spellStart"/>
            <w:r>
              <w:rPr>
                <w:spacing w:val="-2"/>
                <w:sz w:val="21"/>
              </w:rPr>
              <w:t>ControlNumber_LeadOrganization_BA_W</w:t>
            </w:r>
            <w:proofErr w:type="spellEnd"/>
          </w:p>
          <w:p w14:paraId="22F2F413" w14:textId="07D63332" w:rsidR="00B0254F" w:rsidRPr="008858B4" w:rsidRDefault="00B0254F" w:rsidP="00B0254F">
            <w:pPr>
              <w:rPr>
                <w:sz w:val="21"/>
                <w:szCs w:val="21"/>
              </w:rPr>
            </w:pPr>
            <w:proofErr w:type="spellStart"/>
            <w:r>
              <w:rPr>
                <w:spacing w:val="-2"/>
                <w:sz w:val="21"/>
              </w:rPr>
              <w:t>aiver</w:t>
            </w:r>
            <w:proofErr w:type="spellEnd"/>
          </w:p>
        </w:tc>
      </w:tr>
      <w:tr w:rsidR="00853FCE" w14:paraId="6D9B37B1" w14:textId="5E3D3B3B" w:rsidTr="009F07F7">
        <w:tc>
          <w:tcPr>
            <w:tcW w:w="3330" w:type="dxa"/>
          </w:tcPr>
          <w:p w14:paraId="1E899180" w14:textId="626A822B" w:rsidR="00853FCE" w:rsidRPr="008858B4" w:rsidRDefault="00853FCE" w:rsidP="00853FCE">
            <w:pPr>
              <w:rPr>
                <w:sz w:val="21"/>
                <w:szCs w:val="21"/>
              </w:rPr>
            </w:pPr>
            <w:r w:rsidRPr="005B1EEB">
              <w:rPr>
                <w:sz w:val="21"/>
                <w:szCs w:val="21"/>
              </w:rPr>
              <w:t>Foreign Entit</w:t>
            </w:r>
            <w:r w:rsidR="00044EF8">
              <w:rPr>
                <w:sz w:val="21"/>
                <w:szCs w:val="21"/>
              </w:rPr>
              <w:t>y</w:t>
            </w:r>
            <w:r>
              <w:rPr>
                <w:sz w:val="21"/>
                <w:szCs w:val="21"/>
              </w:rPr>
              <w:t xml:space="preserve"> and Foreign Work Waivers</w:t>
            </w:r>
          </w:p>
        </w:tc>
        <w:tc>
          <w:tcPr>
            <w:tcW w:w="1260" w:type="dxa"/>
          </w:tcPr>
          <w:p w14:paraId="67B2B23A" w14:textId="6CAA9E20" w:rsidR="00853FCE" w:rsidRPr="008858B4" w:rsidRDefault="00853FCE" w:rsidP="00853FCE">
            <w:pPr>
              <w:rPr>
                <w:sz w:val="21"/>
                <w:szCs w:val="21"/>
              </w:rPr>
            </w:pPr>
            <w:r>
              <w:rPr>
                <w:sz w:val="21"/>
                <w:szCs w:val="21"/>
              </w:rPr>
              <w:t>PDF</w:t>
            </w:r>
          </w:p>
        </w:tc>
        <w:tc>
          <w:tcPr>
            <w:tcW w:w="810" w:type="dxa"/>
          </w:tcPr>
          <w:p w14:paraId="49FEF540" w14:textId="2DBC39D7" w:rsidR="00853FCE" w:rsidRPr="008858B4" w:rsidRDefault="00853FCE" w:rsidP="00853FCE">
            <w:pPr>
              <w:rPr>
                <w:sz w:val="21"/>
                <w:szCs w:val="21"/>
              </w:rPr>
            </w:pPr>
            <w:r>
              <w:rPr>
                <w:sz w:val="21"/>
                <w:szCs w:val="21"/>
              </w:rPr>
              <w:t>n/a</w:t>
            </w:r>
          </w:p>
        </w:tc>
        <w:tc>
          <w:tcPr>
            <w:tcW w:w="3960" w:type="dxa"/>
          </w:tcPr>
          <w:p w14:paraId="6E162391" w14:textId="5BB6B406" w:rsidR="00853FCE" w:rsidRDefault="00853FCE" w:rsidP="00853FCE">
            <w:pPr>
              <w:rPr>
                <w:sz w:val="21"/>
                <w:szCs w:val="21"/>
              </w:rPr>
            </w:pPr>
            <w:proofErr w:type="spellStart"/>
            <w:r w:rsidRPr="008858B4">
              <w:rPr>
                <w:sz w:val="21"/>
                <w:szCs w:val="21"/>
              </w:rPr>
              <w:t>ControlNumber_LeadOrganization_Waiver</w:t>
            </w:r>
            <w:proofErr w:type="spellEnd"/>
          </w:p>
        </w:tc>
      </w:tr>
      <w:tr w:rsidR="00BA7082" w14:paraId="1E18B768" w14:textId="77777777" w:rsidTr="009F07F7">
        <w:tc>
          <w:tcPr>
            <w:tcW w:w="3330" w:type="dxa"/>
          </w:tcPr>
          <w:p w14:paraId="1612EC6C" w14:textId="59F6EC64" w:rsidR="00BA7082" w:rsidRPr="005B1EEB" w:rsidRDefault="00BD2F95" w:rsidP="00BA7082">
            <w:pPr>
              <w:keepLines/>
              <w:rPr>
                <w:sz w:val="21"/>
                <w:szCs w:val="21"/>
              </w:rPr>
            </w:pPr>
            <w:r>
              <w:rPr>
                <w:sz w:val="21"/>
                <w:szCs w:val="21"/>
              </w:rPr>
              <w:t>Community Benefits</w:t>
            </w:r>
            <w:r w:rsidR="00BA7082">
              <w:rPr>
                <w:sz w:val="21"/>
                <w:szCs w:val="21"/>
              </w:rPr>
              <w:t xml:space="preserve"> Plan</w:t>
            </w:r>
            <w:r w:rsidR="00C4763E">
              <w:rPr>
                <w:sz w:val="21"/>
                <w:szCs w:val="21"/>
              </w:rPr>
              <w:t>: Job Quality and Equity</w:t>
            </w:r>
          </w:p>
        </w:tc>
        <w:tc>
          <w:tcPr>
            <w:tcW w:w="1260" w:type="dxa"/>
          </w:tcPr>
          <w:p w14:paraId="6F04A573" w14:textId="7BFE0A6B" w:rsidR="00BA7082" w:rsidRDefault="00BA7082" w:rsidP="00BA7082">
            <w:pPr>
              <w:keepLines/>
              <w:rPr>
                <w:sz w:val="21"/>
                <w:szCs w:val="21"/>
              </w:rPr>
            </w:pPr>
            <w:r>
              <w:rPr>
                <w:sz w:val="21"/>
                <w:szCs w:val="21"/>
              </w:rPr>
              <w:t>PDF</w:t>
            </w:r>
          </w:p>
        </w:tc>
        <w:tc>
          <w:tcPr>
            <w:tcW w:w="810" w:type="dxa"/>
          </w:tcPr>
          <w:p w14:paraId="204C3227" w14:textId="007DD773" w:rsidR="00BA7082" w:rsidRPr="008858B4" w:rsidRDefault="00A52F00" w:rsidP="00BA7082">
            <w:pPr>
              <w:keepLines/>
              <w:rPr>
                <w:sz w:val="21"/>
                <w:szCs w:val="21"/>
              </w:rPr>
            </w:pPr>
            <w:r>
              <w:rPr>
                <w:sz w:val="21"/>
                <w:szCs w:val="21"/>
              </w:rPr>
              <w:t>6</w:t>
            </w:r>
          </w:p>
        </w:tc>
        <w:tc>
          <w:tcPr>
            <w:tcW w:w="3960" w:type="dxa"/>
          </w:tcPr>
          <w:p w14:paraId="262CC1EF" w14:textId="5DCE809A" w:rsidR="00BA7082" w:rsidRPr="008858B4" w:rsidRDefault="00BA7082" w:rsidP="00BA7082">
            <w:pPr>
              <w:keepLines/>
              <w:rPr>
                <w:sz w:val="21"/>
                <w:szCs w:val="21"/>
              </w:rPr>
            </w:pPr>
            <w:proofErr w:type="spellStart"/>
            <w:r>
              <w:rPr>
                <w:sz w:val="21"/>
                <w:szCs w:val="21"/>
              </w:rPr>
              <w:t>ControlNumber_LeadOrganization_</w:t>
            </w:r>
            <w:r w:rsidR="004E47F7" w:rsidRPr="006628F7">
              <w:rPr>
                <w:rFonts w:ascii="TT13Et00" w:eastAsia="Segoe UI" w:hAnsi="TT13Et00" w:cs="Segoe UI"/>
                <w:bCs/>
                <w:szCs w:val="24"/>
              </w:rPr>
              <w:t>CBenefits</w:t>
            </w:r>
            <w:proofErr w:type="spellEnd"/>
          </w:p>
        </w:tc>
      </w:tr>
      <w:tr w:rsidR="00BA7082" w14:paraId="65F3E95D" w14:textId="77777777" w:rsidTr="009F07F7">
        <w:tc>
          <w:tcPr>
            <w:tcW w:w="3330" w:type="dxa"/>
          </w:tcPr>
          <w:p w14:paraId="08FC30C2" w14:textId="2E1FB64D" w:rsidR="00BA7082" w:rsidRDefault="00BA7082" w:rsidP="00BA7082">
            <w:pPr>
              <w:keepLines/>
              <w:rPr>
                <w:sz w:val="21"/>
                <w:szCs w:val="21"/>
              </w:rPr>
            </w:pPr>
            <w:r>
              <w:rPr>
                <w:sz w:val="21"/>
                <w:szCs w:val="21"/>
              </w:rPr>
              <w:t>Current and Pending Support</w:t>
            </w:r>
          </w:p>
        </w:tc>
        <w:tc>
          <w:tcPr>
            <w:tcW w:w="1260" w:type="dxa"/>
          </w:tcPr>
          <w:p w14:paraId="4DE735F4" w14:textId="6D659ACC" w:rsidR="00BA7082" w:rsidRDefault="00BA7082" w:rsidP="00BA7082">
            <w:pPr>
              <w:keepLines/>
              <w:rPr>
                <w:sz w:val="21"/>
                <w:szCs w:val="21"/>
              </w:rPr>
            </w:pPr>
            <w:r>
              <w:rPr>
                <w:sz w:val="21"/>
                <w:szCs w:val="21"/>
              </w:rPr>
              <w:t>PDF</w:t>
            </w:r>
          </w:p>
        </w:tc>
        <w:tc>
          <w:tcPr>
            <w:tcW w:w="810" w:type="dxa"/>
          </w:tcPr>
          <w:p w14:paraId="3A0DA350" w14:textId="7BF1DE92" w:rsidR="00BA7082" w:rsidRPr="008858B4" w:rsidRDefault="00BA7082" w:rsidP="00BA7082">
            <w:pPr>
              <w:keepLines/>
              <w:rPr>
                <w:sz w:val="21"/>
                <w:szCs w:val="21"/>
              </w:rPr>
            </w:pPr>
            <w:r>
              <w:rPr>
                <w:sz w:val="21"/>
                <w:szCs w:val="21"/>
              </w:rPr>
              <w:t>n/a</w:t>
            </w:r>
          </w:p>
        </w:tc>
        <w:tc>
          <w:tcPr>
            <w:tcW w:w="3960" w:type="dxa"/>
          </w:tcPr>
          <w:p w14:paraId="383F0D74" w14:textId="1B1E9D42" w:rsidR="00BA7082" w:rsidRPr="007E0282" w:rsidRDefault="00BA7082" w:rsidP="00BA7082">
            <w:pPr>
              <w:keepLines/>
              <w:rPr>
                <w:sz w:val="21"/>
                <w:szCs w:val="21"/>
              </w:rPr>
            </w:pPr>
            <w:proofErr w:type="spellStart"/>
            <w:r w:rsidRPr="00CC4880">
              <w:rPr>
                <w:rFonts w:cs="Calibri"/>
                <w:color w:val="000000"/>
                <w:sz w:val="21"/>
                <w:szCs w:val="21"/>
              </w:rPr>
              <w:t>ControlNumber_LeadOrganization</w:t>
            </w:r>
            <w:r>
              <w:rPr>
                <w:rFonts w:ascii="Calibri" w:hAnsi="Calibri"/>
                <w:color w:val="000000"/>
                <w:sz w:val="21"/>
                <w:szCs w:val="21"/>
              </w:rPr>
              <w:t>_</w:t>
            </w:r>
            <w:r w:rsidRPr="00CC4880">
              <w:rPr>
                <w:rFonts w:ascii="Calibri" w:hAnsi="Calibri"/>
                <w:color w:val="000000"/>
                <w:sz w:val="21"/>
                <w:szCs w:val="21"/>
              </w:rPr>
              <w:t>CPS</w:t>
            </w:r>
            <w:proofErr w:type="spellEnd"/>
          </w:p>
        </w:tc>
      </w:tr>
      <w:tr w:rsidR="00B0254F" w14:paraId="1B74DED4" w14:textId="77777777" w:rsidTr="009F07F7">
        <w:tc>
          <w:tcPr>
            <w:tcW w:w="3330" w:type="dxa"/>
          </w:tcPr>
          <w:p w14:paraId="0DF912B8" w14:textId="3F73B01A" w:rsidR="00B0254F" w:rsidRDefault="00B0254F" w:rsidP="00DB1DE6">
            <w:pPr>
              <w:pStyle w:val="TableParagraph"/>
              <w:ind w:left="0" w:right="91"/>
              <w:rPr>
                <w:sz w:val="21"/>
                <w:szCs w:val="21"/>
              </w:rPr>
            </w:pPr>
            <w:r>
              <w:rPr>
                <w:sz w:val="21"/>
              </w:rPr>
              <w:t xml:space="preserve">Environmental </w:t>
            </w:r>
            <w:r w:rsidR="00F52DC7">
              <w:rPr>
                <w:sz w:val="21"/>
              </w:rPr>
              <w:t xml:space="preserve">Information Summary </w:t>
            </w:r>
          </w:p>
        </w:tc>
        <w:tc>
          <w:tcPr>
            <w:tcW w:w="1260" w:type="dxa"/>
          </w:tcPr>
          <w:p w14:paraId="274FD0EC" w14:textId="6A925829" w:rsidR="00B0254F" w:rsidRDefault="00B0254F" w:rsidP="00B0254F">
            <w:pPr>
              <w:keepLines/>
              <w:rPr>
                <w:sz w:val="21"/>
                <w:szCs w:val="21"/>
              </w:rPr>
            </w:pPr>
            <w:r>
              <w:rPr>
                <w:spacing w:val="-5"/>
                <w:sz w:val="21"/>
              </w:rPr>
              <w:t>PDF</w:t>
            </w:r>
          </w:p>
        </w:tc>
        <w:tc>
          <w:tcPr>
            <w:tcW w:w="810" w:type="dxa"/>
          </w:tcPr>
          <w:p w14:paraId="3C0EAA6D" w14:textId="0B4CFFA7" w:rsidR="00B0254F" w:rsidRDefault="00B0254F" w:rsidP="00B0254F">
            <w:pPr>
              <w:keepLines/>
              <w:rPr>
                <w:sz w:val="21"/>
                <w:szCs w:val="21"/>
              </w:rPr>
            </w:pPr>
            <w:r>
              <w:rPr>
                <w:spacing w:val="-5"/>
                <w:sz w:val="21"/>
              </w:rPr>
              <w:t>n/a</w:t>
            </w:r>
          </w:p>
        </w:tc>
        <w:tc>
          <w:tcPr>
            <w:tcW w:w="3960" w:type="dxa"/>
          </w:tcPr>
          <w:p w14:paraId="19ACF662" w14:textId="23F86C95" w:rsidR="00B0254F" w:rsidRPr="00CC4880" w:rsidRDefault="00B0254F" w:rsidP="00B0254F">
            <w:pPr>
              <w:keepLines/>
              <w:rPr>
                <w:rFonts w:cs="Calibri"/>
                <w:color w:val="000000"/>
                <w:sz w:val="21"/>
                <w:szCs w:val="21"/>
              </w:rPr>
            </w:pPr>
            <w:proofErr w:type="spellStart"/>
            <w:r>
              <w:rPr>
                <w:spacing w:val="-2"/>
                <w:sz w:val="21"/>
              </w:rPr>
              <w:t>ControlNumber_LeadOrganization_EQ</w:t>
            </w:r>
            <w:proofErr w:type="spellEnd"/>
          </w:p>
        </w:tc>
      </w:tr>
    </w:tbl>
    <w:p w14:paraId="10513E07" w14:textId="77777777" w:rsidR="006A24B8" w:rsidRPr="008858B4" w:rsidRDefault="006A24B8" w:rsidP="008858B4"/>
    <w:p w14:paraId="17C53C22" w14:textId="22D6778C" w:rsidR="006A24B8" w:rsidRPr="008858B4" w:rsidRDefault="004E672B" w:rsidP="00622D6E">
      <w:pPr>
        <w:ind w:left="1440"/>
      </w:pPr>
      <w:r w:rsidRPr="00120F39">
        <w:rPr>
          <w:b/>
        </w:rPr>
        <w:t>Note</w:t>
      </w:r>
      <w:r w:rsidRPr="008858B4">
        <w:t xml:space="preserve">: The maximum file size that can be uploaded to the </w:t>
      </w:r>
      <w:r w:rsidR="00A93673">
        <w:t>EERE Exchange</w:t>
      </w:r>
      <w:r w:rsidRPr="008858B4">
        <w:t xml:space="preserve"> website is </w:t>
      </w:r>
      <w:r w:rsidR="00A93673">
        <w:t>1</w:t>
      </w:r>
      <w:r w:rsidRPr="008858B4">
        <w:t xml:space="preserve">0MB. Files </w:t>
      </w:r>
      <w:proofErr w:type="gramStart"/>
      <w:r w:rsidRPr="008858B4">
        <w:t>in excess of</w:t>
      </w:r>
      <w:proofErr w:type="gramEnd"/>
      <w:r w:rsidRPr="008858B4">
        <w:t xml:space="preserve"> </w:t>
      </w:r>
      <w:r w:rsidR="00A93673">
        <w:t>1</w:t>
      </w:r>
      <w:r w:rsidRPr="008858B4">
        <w:t xml:space="preserve">0MB cannot be uploaded, and hence cannot be submitted for review. If a file exceeds </w:t>
      </w:r>
      <w:r w:rsidR="00A93673">
        <w:t>1</w:t>
      </w:r>
      <w:r w:rsidRPr="008858B4">
        <w:t>0MB but is still within the maximum page limit specified in the FOA it must be broken into parts and denoted to that effect. For example:</w:t>
      </w:r>
    </w:p>
    <w:p w14:paraId="1ED69E3C" w14:textId="5E91C8C5" w:rsidR="006A24B8" w:rsidRPr="008858B4" w:rsidRDefault="004E672B" w:rsidP="000408E6">
      <w:pPr>
        <w:ind w:left="1800"/>
        <w:rPr>
          <w:b/>
        </w:rPr>
      </w:pPr>
      <w:r w:rsidRPr="00120F39">
        <w:rPr>
          <w:b/>
        </w:rPr>
        <w:t>TechnicalVolume_Part_1</w:t>
      </w:r>
    </w:p>
    <w:p w14:paraId="2A8126EF" w14:textId="19D01C03" w:rsidR="006A24B8" w:rsidRPr="008858B4" w:rsidRDefault="004E672B" w:rsidP="000408E6">
      <w:pPr>
        <w:ind w:left="1800"/>
      </w:pPr>
      <w:r w:rsidRPr="6BB432CC">
        <w:rPr>
          <w:b/>
        </w:rPr>
        <w:t>TechnicalVolume_Part_2</w:t>
      </w:r>
    </w:p>
    <w:p w14:paraId="37BF6F13" w14:textId="77777777" w:rsidR="006A24B8" w:rsidRPr="008858B4" w:rsidRDefault="006A24B8" w:rsidP="00CD718A">
      <w:pPr>
        <w:ind w:left="1440"/>
      </w:pPr>
    </w:p>
    <w:p w14:paraId="4614F3FC" w14:textId="18B50463" w:rsidR="006A24B8" w:rsidRPr="008858B4" w:rsidRDefault="004E672B" w:rsidP="00CD718A">
      <w:pPr>
        <w:ind w:left="1440"/>
      </w:pPr>
      <w:r w:rsidRPr="00120F39">
        <w:rPr>
          <w:b/>
          <w:u w:val="single"/>
        </w:rPr>
        <w:t xml:space="preserve">EERE will not accept late submissions that resulted from technical difficulties due to uploading files that exceed </w:t>
      </w:r>
      <w:r w:rsidR="00A93673">
        <w:rPr>
          <w:b/>
          <w:u w:val="single"/>
        </w:rPr>
        <w:t>1</w:t>
      </w:r>
      <w:r w:rsidRPr="00120F39">
        <w:rPr>
          <w:b/>
          <w:u w:val="single"/>
        </w:rPr>
        <w:t>0MB</w:t>
      </w:r>
      <w:r w:rsidRPr="008858B4">
        <w:t>.</w:t>
      </w:r>
    </w:p>
    <w:p w14:paraId="2CE0DA59" w14:textId="77777777" w:rsidR="006A24B8" w:rsidRPr="008858B4" w:rsidRDefault="006A24B8" w:rsidP="00CD718A">
      <w:pPr>
        <w:ind w:left="1440"/>
      </w:pPr>
    </w:p>
    <w:p w14:paraId="49254CF7" w14:textId="77777777" w:rsidR="006A24B8" w:rsidRPr="008858B4" w:rsidRDefault="004E672B" w:rsidP="00CD718A">
      <w:pPr>
        <w:ind w:left="1440"/>
      </w:pPr>
      <w:r w:rsidRPr="008858B4">
        <w:t>EERE provides detailed guidance on the content and form of each component below.</w:t>
      </w:r>
    </w:p>
    <w:p w14:paraId="37068842" w14:textId="79979E36" w:rsidR="0077764B" w:rsidRPr="008858B4" w:rsidRDefault="0077764B" w:rsidP="008858B4"/>
    <w:p w14:paraId="10A60E5E" w14:textId="77777777" w:rsidR="006A24B8" w:rsidRPr="00872882" w:rsidRDefault="004E672B" w:rsidP="00F836F4">
      <w:pPr>
        <w:pStyle w:val="FOAHeading3"/>
        <w:numPr>
          <w:ilvl w:val="0"/>
          <w:numId w:val="31"/>
        </w:numPr>
        <w:ind w:left="1440"/>
        <w:outlineLvl w:val="2"/>
      </w:pPr>
      <w:bookmarkStart w:id="193" w:name="_Toc519602350"/>
      <w:bookmarkStart w:id="194" w:name="_Toc109921689"/>
      <w:r w:rsidRPr="00C72CE2">
        <w:t>Technical Volume</w:t>
      </w:r>
      <w:bookmarkEnd w:id="193"/>
      <w:bookmarkEnd w:id="194"/>
    </w:p>
    <w:p w14:paraId="4D81DD13" w14:textId="471D15D8" w:rsidR="006A24B8" w:rsidRPr="008858B4" w:rsidRDefault="004E672B" w:rsidP="00A53BBC">
      <w:pPr>
        <w:ind w:left="1440"/>
      </w:pPr>
      <w:r w:rsidRPr="008858B4">
        <w:t xml:space="preserve">The Technical Volume must be submitted in </w:t>
      </w:r>
      <w:r w:rsidR="003A3D9E">
        <w:t>PDF</w:t>
      </w:r>
      <w:r w:rsidR="00D22773">
        <w:t xml:space="preserve"> </w:t>
      </w:r>
      <w:r w:rsidRPr="008858B4">
        <w:t xml:space="preserve">format. The Technical Volume must conform to the following content and form requirements, including maximum page lengths. If applicants exceed the maximum page lengths indicated below, EERE will review only the authorized number of pages and disregard any additional pages. This volume must address the Merit Review Criteria as discussed in </w:t>
      </w:r>
      <w:r w:rsidRPr="0031434D">
        <w:t xml:space="preserve">Section </w:t>
      </w:r>
      <w:proofErr w:type="spellStart"/>
      <w:r w:rsidRPr="0031434D">
        <w:t>V.</w:t>
      </w:r>
      <w:proofErr w:type="gramStart"/>
      <w:r w:rsidRPr="0031434D">
        <w:t>A.</w:t>
      </w:r>
      <w:r w:rsidR="00376783" w:rsidRPr="0031434D">
        <w:t>ii</w:t>
      </w:r>
      <w:proofErr w:type="spellEnd"/>
      <w:r w:rsidR="00E2093D" w:rsidRPr="0031434D">
        <w:t>.</w:t>
      </w:r>
      <w:proofErr w:type="gramEnd"/>
      <w:r w:rsidR="00376783" w:rsidRPr="008858B4">
        <w:t xml:space="preserve"> </w:t>
      </w:r>
      <w:r w:rsidRPr="008858B4">
        <w:t xml:space="preserve">of the FOA. Save the Technical Volume in a single </w:t>
      </w:r>
      <w:r w:rsidR="003A3D9E">
        <w:t>PDF</w:t>
      </w:r>
      <w:r w:rsidRPr="008858B4">
        <w:t xml:space="preserve"> file</w:t>
      </w:r>
      <w:r w:rsidR="00DB2B09">
        <w:t xml:space="preserve"> </w:t>
      </w:r>
      <w:r w:rsidR="00DB2B09">
        <w:rPr>
          <w:rFonts w:ascii="Calibri" w:hAnsi="Calibri" w:cs="Calibri"/>
          <w:color w:val="000000"/>
          <w:szCs w:val="24"/>
        </w:rPr>
        <w:t>using the following convention for the title “</w:t>
      </w:r>
      <w:proofErr w:type="spellStart"/>
      <w:r w:rsidR="00DB2B09">
        <w:rPr>
          <w:rFonts w:ascii="Calibri" w:hAnsi="Calibri" w:cs="Calibri"/>
          <w:color w:val="000000"/>
          <w:szCs w:val="24"/>
        </w:rPr>
        <w:t>ControlNumber_LeadOrganization_TechnicalVolume</w:t>
      </w:r>
      <w:proofErr w:type="spellEnd"/>
      <w:r w:rsidR="00DB2B09">
        <w:rPr>
          <w:rFonts w:ascii="Calibri" w:hAnsi="Calibri" w:cs="Calibri"/>
          <w:color w:val="000000"/>
          <w:szCs w:val="24"/>
        </w:rPr>
        <w:t>”</w:t>
      </w:r>
      <w:r w:rsidRPr="008858B4">
        <w:t>.</w:t>
      </w:r>
    </w:p>
    <w:p w14:paraId="0A0B1333" w14:textId="77777777" w:rsidR="006A24B8" w:rsidRPr="008858B4" w:rsidRDefault="006A24B8" w:rsidP="00A53BBC">
      <w:pPr>
        <w:ind w:left="1440"/>
      </w:pPr>
    </w:p>
    <w:p w14:paraId="65EC3137" w14:textId="77777777" w:rsidR="006A24B8" w:rsidRPr="008858B4" w:rsidRDefault="004E672B" w:rsidP="00A53BBC">
      <w:pPr>
        <w:ind w:left="1440"/>
      </w:pPr>
      <w:r w:rsidRPr="008858B4">
        <w:t>Applicants must provide sufficient citations and references to the primary research literature to justify the claims and approaches made in the Technical Volume. However, EERE and reviewers are under no obligation to review cited sources.</w:t>
      </w:r>
    </w:p>
    <w:p w14:paraId="3128F2D5" w14:textId="77777777" w:rsidR="006A24B8" w:rsidRPr="008858B4" w:rsidRDefault="006A24B8" w:rsidP="00A53BBC">
      <w:pPr>
        <w:ind w:left="1440"/>
      </w:pPr>
    </w:p>
    <w:p w14:paraId="7FFC994F" w14:textId="1FFCEDA8" w:rsidR="009B03E1" w:rsidRDefault="004E672B" w:rsidP="00A53BBC">
      <w:pPr>
        <w:ind w:left="1440"/>
      </w:pPr>
      <w:r w:rsidRPr="008858B4">
        <w:t>The Technical Volume to the Full Application may not be more than</w:t>
      </w:r>
      <w:r w:rsidR="00072A70">
        <w:t xml:space="preserve"> </w:t>
      </w:r>
      <w:bookmarkStart w:id="195" w:name="_Toc519602317"/>
      <w:bookmarkStart w:id="196" w:name="_Toc519602229"/>
      <w:bookmarkStart w:id="197" w:name="_Toc517798901"/>
      <w:bookmarkStart w:id="198" w:name="_Toc517798904"/>
      <w:bookmarkStart w:id="199" w:name="_Toc519602232"/>
      <w:bookmarkStart w:id="200" w:name="_Toc519602325"/>
      <w:bookmarkEnd w:id="128"/>
      <w:bookmarkEnd w:id="195"/>
      <w:bookmarkEnd w:id="196"/>
      <w:bookmarkEnd w:id="197"/>
      <w:bookmarkEnd w:id="198"/>
      <w:bookmarkEnd w:id="199"/>
      <w:bookmarkEnd w:id="200"/>
      <w:r w:rsidR="005B52B2">
        <w:rPr>
          <w:rStyle w:val="Style1"/>
        </w:rPr>
        <w:t>15</w:t>
      </w:r>
      <w:r w:rsidR="00ED1B21" w:rsidRPr="00ED1B21">
        <w:t xml:space="preserve"> pages</w:t>
      </w:r>
      <w:r w:rsidR="009C6087">
        <w:t>, i</w:t>
      </w:r>
      <w:r w:rsidRPr="008858B4">
        <w:t>ncluding the</w:t>
      </w:r>
      <w:r w:rsidR="000F5689">
        <w:t xml:space="preserve"> cover page,</w:t>
      </w:r>
      <w:r w:rsidRPr="008858B4">
        <w:t xml:space="preserve"> table of contents, and all citations, charts, graphs, maps, photos, or other graphics, and must include </w:t>
      </w:r>
      <w:proofErr w:type="gramStart"/>
      <w:r w:rsidRPr="008858B4">
        <w:t>all of</w:t>
      </w:r>
      <w:proofErr w:type="gramEnd"/>
      <w:r w:rsidRPr="008858B4">
        <w:t xml:space="preserve"> the information in the table below. The applicant should consider the weighting of each of the evaluation criteria (see </w:t>
      </w:r>
      <w:r w:rsidRPr="0031434D">
        <w:t xml:space="preserve">Section </w:t>
      </w:r>
      <w:proofErr w:type="spellStart"/>
      <w:r w:rsidRPr="0031434D">
        <w:t>V.</w:t>
      </w:r>
      <w:proofErr w:type="gramStart"/>
      <w:r w:rsidRPr="0031434D">
        <w:t>A.</w:t>
      </w:r>
      <w:r w:rsidR="00376783" w:rsidRPr="0031434D">
        <w:t>ii</w:t>
      </w:r>
      <w:proofErr w:type="spellEnd"/>
      <w:r w:rsidR="005B20D6" w:rsidRPr="0031434D">
        <w:t>.</w:t>
      </w:r>
      <w:proofErr w:type="gramEnd"/>
      <w:r w:rsidR="00376783" w:rsidRPr="008858B4">
        <w:t xml:space="preserve"> </w:t>
      </w:r>
      <w:r w:rsidRPr="008858B4">
        <w:t>of the FOA) when preparing the Technical Volume.</w:t>
      </w:r>
    </w:p>
    <w:p w14:paraId="6C2892EF" w14:textId="77777777" w:rsidR="00B97E49" w:rsidRDefault="00B97E49" w:rsidP="00A53BBC">
      <w:pPr>
        <w:ind w:left="1440"/>
      </w:pPr>
    </w:p>
    <w:p w14:paraId="1CB54F18" w14:textId="35ED66F1" w:rsidR="008D2989" w:rsidRDefault="009B03E1" w:rsidP="00FC7727">
      <w:pPr>
        <w:ind w:left="1440"/>
      </w:pPr>
      <w:r>
        <w:t>The Technical Volume should clearly describe and expand upon information provided in the Concept Paper.</w:t>
      </w:r>
      <w:r w:rsidR="00ED3591">
        <w:t xml:space="preserve"> </w:t>
      </w:r>
      <w:r>
        <w:t>The Technical Volume must conform to the following content requirements:</w:t>
      </w:r>
    </w:p>
    <w:p w14:paraId="1BF141C2" w14:textId="2C8987CC" w:rsidR="0091680F" w:rsidRDefault="0091680F">
      <w:r>
        <w:br w:type="page"/>
      </w:r>
    </w:p>
    <w:tbl>
      <w:tblPr>
        <w:tblStyle w:val="TableGrid"/>
        <w:tblW w:w="9000" w:type="dxa"/>
        <w:tblInd w:w="720" w:type="dxa"/>
        <w:tblLook w:val="04A0" w:firstRow="1" w:lastRow="0" w:firstColumn="1" w:lastColumn="0" w:noHBand="0" w:noVBand="1"/>
      </w:tblPr>
      <w:tblGrid>
        <w:gridCol w:w="2319"/>
        <w:gridCol w:w="6681"/>
      </w:tblGrid>
      <w:tr w:rsidR="00BF65D1" w14:paraId="63A76174" w14:textId="77777777" w:rsidTr="00ED3591">
        <w:tc>
          <w:tcPr>
            <w:tcW w:w="2319" w:type="dxa"/>
            <w:tcBorders>
              <w:bottom w:val="single" w:sz="4" w:space="0" w:color="auto"/>
            </w:tcBorders>
            <w:shd w:val="clear" w:color="auto" w:fill="C6D9F1" w:themeFill="text2" w:themeFillTint="33"/>
          </w:tcPr>
          <w:p w14:paraId="23B3C2CC" w14:textId="77777777" w:rsidR="006A24B8" w:rsidRPr="008858B4" w:rsidRDefault="004E672B" w:rsidP="00120F39">
            <w:pPr>
              <w:spacing w:before="120" w:after="120"/>
              <w:rPr>
                <w:b/>
                <w:color w:val="000000" w:themeColor="text1"/>
                <w:sz w:val="21"/>
                <w:szCs w:val="21"/>
              </w:rPr>
            </w:pPr>
            <w:r w:rsidRPr="00120F39">
              <w:rPr>
                <w:b/>
                <w:color w:val="000000" w:themeColor="text1"/>
                <w:sz w:val="21"/>
                <w:szCs w:val="21"/>
              </w:rPr>
              <w:t>SECTION/PAGE LIMIT</w:t>
            </w:r>
          </w:p>
        </w:tc>
        <w:tc>
          <w:tcPr>
            <w:tcW w:w="6681" w:type="dxa"/>
            <w:shd w:val="clear" w:color="auto" w:fill="C6D9F1" w:themeFill="text2" w:themeFillTint="33"/>
          </w:tcPr>
          <w:p w14:paraId="4244C787" w14:textId="77777777" w:rsidR="006A24B8" w:rsidRPr="008858B4" w:rsidRDefault="004E672B">
            <w:pPr>
              <w:spacing w:before="120" w:after="120"/>
              <w:rPr>
                <w:b/>
                <w:color w:val="000000" w:themeColor="text1"/>
                <w:sz w:val="21"/>
                <w:szCs w:val="21"/>
              </w:rPr>
            </w:pPr>
            <w:r w:rsidRPr="6BB432CC">
              <w:rPr>
                <w:b/>
                <w:color w:val="000000" w:themeColor="text1"/>
                <w:sz w:val="21"/>
                <w:szCs w:val="21"/>
              </w:rPr>
              <w:t>DESCRIPTION</w:t>
            </w:r>
          </w:p>
        </w:tc>
      </w:tr>
      <w:tr w:rsidR="00BF65D1" w14:paraId="6FE33F45" w14:textId="77777777" w:rsidTr="00ED3591">
        <w:tc>
          <w:tcPr>
            <w:tcW w:w="2319" w:type="dxa"/>
            <w:shd w:val="clear" w:color="auto" w:fill="EAF1DD" w:themeFill="accent3" w:themeFillTint="33"/>
          </w:tcPr>
          <w:p w14:paraId="2752900F" w14:textId="77777777" w:rsidR="00283227" w:rsidRPr="008858B4" w:rsidRDefault="004E672B" w:rsidP="009A02DB">
            <w:pPr>
              <w:spacing w:before="120" w:after="120"/>
              <w:rPr>
                <w:b/>
                <w:color w:val="000000" w:themeColor="text1"/>
                <w:sz w:val="21"/>
                <w:szCs w:val="21"/>
              </w:rPr>
            </w:pPr>
            <w:r>
              <w:rPr>
                <w:b/>
                <w:color w:val="000000" w:themeColor="text1"/>
                <w:sz w:val="21"/>
                <w:szCs w:val="21"/>
              </w:rPr>
              <w:t>Cover Page</w:t>
            </w:r>
          </w:p>
        </w:tc>
        <w:tc>
          <w:tcPr>
            <w:tcW w:w="6681" w:type="dxa"/>
          </w:tcPr>
          <w:p w14:paraId="256D5F06" w14:textId="769D5A0D" w:rsidR="006A24B8" w:rsidRPr="008858B4" w:rsidRDefault="004E672B" w:rsidP="00FF6EAF">
            <w:pPr>
              <w:spacing w:before="120" w:after="120"/>
              <w:rPr>
                <w:color w:val="000000" w:themeColor="text1"/>
                <w:sz w:val="21"/>
                <w:szCs w:val="21"/>
              </w:rPr>
            </w:pPr>
            <w:r w:rsidRPr="008858B4">
              <w:rPr>
                <w:rFonts w:ascii="Calibri" w:eastAsia="Calibri" w:hAnsi="Calibri" w:cs="Calibri"/>
                <w:color w:val="000000" w:themeColor="text1"/>
                <w:sz w:val="21"/>
                <w:szCs w:val="21"/>
              </w:rPr>
              <w:t>The cover page should include the project title, the specific FOA Topic Area being addressed</w:t>
            </w:r>
            <w:r w:rsidR="005E2146">
              <w:rPr>
                <w:rFonts w:ascii="Calibri" w:eastAsia="Calibri" w:hAnsi="Calibri" w:cs="Calibri"/>
                <w:color w:val="000000" w:themeColor="text1"/>
                <w:sz w:val="21"/>
                <w:szCs w:val="21"/>
              </w:rPr>
              <w:t xml:space="preserve"> (if applicable)</w:t>
            </w:r>
            <w:r w:rsidRPr="008858B4">
              <w:rPr>
                <w:rFonts w:ascii="Calibri" w:eastAsia="Calibri" w:hAnsi="Calibri" w:cs="Calibri"/>
                <w:color w:val="000000" w:themeColor="text1"/>
                <w:sz w:val="21"/>
                <w:szCs w:val="21"/>
              </w:rPr>
              <w:t xml:space="preserve">, both the technical and business points of contact, names of all team member organizations, </w:t>
            </w:r>
            <w:bookmarkStart w:id="201" w:name="_Hlk89356570"/>
            <w:r w:rsidR="00C127EF">
              <w:rPr>
                <w:rFonts w:ascii="Calibri" w:eastAsia="Calibri" w:hAnsi="Calibri" w:cs="Calibri"/>
                <w:color w:val="000000" w:themeColor="text1"/>
                <w:sz w:val="21"/>
                <w:szCs w:val="21"/>
              </w:rPr>
              <w:t xml:space="preserve">names of the </w:t>
            </w:r>
            <w:r w:rsidR="007E6E0D">
              <w:rPr>
                <w:rFonts w:ascii="Calibri" w:eastAsia="Calibri" w:hAnsi="Calibri" w:cs="Calibri"/>
                <w:color w:val="000000" w:themeColor="text1"/>
                <w:sz w:val="21"/>
                <w:szCs w:val="21"/>
              </w:rPr>
              <w:t>senior/key personnel</w:t>
            </w:r>
            <w:r w:rsidR="00C127EF">
              <w:rPr>
                <w:rFonts w:ascii="Calibri" w:eastAsia="Calibri" w:hAnsi="Calibri" w:cs="Calibri"/>
                <w:color w:val="000000" w:themeColor="text1"/>
                <w:sz w:val="21"/>
                <w:szCs w:val="21"/>
              </w:rPr>
              <w:t xml:space="preserve"> and their organizations</w:t>
            </w:r>
            <w:bookmarkEnd w:id="201"/>
            <w:r w:rsidR="00C127EF">
              <w:rPr>
                <w:rFonts w:ascii="Calibri" w:eastAsia="Calibri" w:hAnsi="Calibri" w:cs="Calibri"/>
                <w:color w:val="000000" w:themeColor="text1"/>
                <w:sz w:val="21"/>
                <w:szCs w:val="21"/>
              </w:rPr>
              <w:t xml:space="preserve">, </w:t>
            </w:r>
            <w:r w:rsidR="0096590C">
              <w:rPr>
                <w:rFonts w:ascii="Calibri" w:eastAsia="Calibri" w:hAnsi="Calibri" w:cs="Calibri"/>
                <w:color w:val="000000" w:themeColor="text1"/>
                <w:sz w:val="21"/>
                <w:szCs w:val="21"/>
              </w:rPr>
              <w:t xml:space="preserve">the project location(s), </w:t>
            </w:r>
            <w:r w:rsidRPr="008858B4">
              <w:rPr>
                <w:rFonts w:ascii="Calibri" w:eastAsia="Calibri" w:hAnsi="Calibri" w:cs="Calibri"/>
                <w:color w:val="000000" w:themeColor="text1"/>
                <w:sz w:val="21"/>
                <w:szCs w:val="21"/>
              </w:rPr>
              <w:t>and any statements regarding confidentiality.</w:t>
            </w:r>
          </w:p>
        </w:tc>
      </w:tr>
      <w:tr w:rsidR="00BF65D1" w14:paraId="565728F9" w14:textId="77777777" w:rsidTr="00A403B7">
        <w:trPr>
          <w:trHeight w:val="2060"/>
        </w:trPr>
        <w:tc>
          <w:tcPr>
            <w:tcW w:w="2319" w:type="dxa"/>
            <w:tcBorders>
              <w:bottom w:val="single" w:sz="4" w:space="0" w:color="auto"/>
            </w:tcBorders>
            <w:shd w:val="clear" w:color="auto" w:fill="EAF1DD" w:themeFill="accent3" w:themeFillTint="33"/>
          </w:tcPr>
          <w:p w14:paraId="07B92E45" w14:textId="38004F9E" w:rsidR="006A24B8" w:rsidRPr="00D4476D" w:rsidRDefault="004E672B" w:rsidP="00D4476D">
            <w:pPr>
              <w:spacing w:before="120" w:after="120"/>
              <w:rPr>
                <w:b/>
                <w:color w:val="000000" w:themeColor="text1"/>
                <w:sz w:val="21"/>
                <w:szCs w:val="21"/>
              </w:rPr>
            </w:pPr>
            <w:r w:rsidRPr="00120F39">
              <w:rPr>
                <w:b/>
                <w:color w:val="000000" w:themeColor="text1"/>
                <w:sz w:val="21"/>
                <w:szCs w:val="21"/>
              </w:rPr>
              <w:t>Project Overview</w:t>
            </w:r>
            <w:r w:rsidRPr="00120F39">
              <w:rPr>
                <w:color w:val="000000" w:themeColor="text1"/>
                <w:sz w:val="21"/>
                <w:szCs w:val="21"/>
              </w:rPr>
              <w:t xml:space="preserve"> </w:t>
            </w:r>
            <w:r w:rsidRPr="008858B4">
              <w:rPr>
                <w:color w:val="000000" w:themeColor="text1"/>
                <w:sz w:val="21"/>
                <w:szCs w:val="21"/>
              </w:rPr>
              <w:t>(</w:t>
            </w:r>
            <w:r w:rsidR="00ED3591">
              <w:rPr>
                <w:color w:val="000000" w:themeColor="text1"/>
                <w:sz w:val="21"/>
                <w:szCs w:val="21"/>
              </w:rPr>
              <w:t>A</w:t>
            </w:r>
            <w:r w:rsidRPr="008858B4">
              <w:rPr>
                <w:color w:val="000000" w:themeColor="text1"/>
                <w:sz w:val="21"/>
                <w:szCs w:val="21"/>
              </w:rPr>
              <w:t>pproximately 10% of the Technical Volume)</w:t>
            </w:r>
          </w:p>
        </w:tc>
        <w:tc>
          <w:tcPr>
            <w:tcW w:w="6681" w:type="dxa"/>
            <w:tcBorders>
              <w:bottom w:val="single" w:sz="4" w:space="0" w:color="auto"/>
            </w:tcBorders>
          </w:tcPr>
          <w:p w14:paraId="6630C8A2" w14:textId="77777777" w:rsidR="006A24B8" w:rsidRPr="00AF2304" w:rsidRDefault="004E672B" w:rsidP="00120F39">
            <w:p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The Project Overview should contain the following information:</w:t>
            </w:r>
          </w:p>
          <w:p w14:paraId="788DD833" w14:textId="77777777" w:rsidR="006A24B8" w:rsidRPr="00AF2304" w:rsidRDefault="004E672B" w:rsidP="00F836F4">
            <w:pPr>
              <w:numPr>
                <w:ilvl w:val="0"/>
                <w:numId w:val="57"/>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Background:</w:t>
            </w:r>
            <w:r w:rsidR="001A3502">
              <w:rPr>
                <w:rFonts w:ascii="Calibri" w:eastAsia="Calibri" w:hAnsi="Calibri" w:cs="Calibri"/>
                <w:color w:val="000000" w:themeColor="text1"/>
                <w:sz w:val="21"/>
                <w:szCs w:val="21"/>
              </w:rPr>
              <w:t xml:space="preserve"> </w:t>
            </w:r>
            <w:r w:rsidRPr="00AF2304">
              <w:rPr>
                <w:rFonts w:ascii="Calibri" w:eastAsia="Calibri" w:hAnsi="Calibri" w:cs="Calibri"/>
                <w:color w:val="000000" w:themeColor="text1"/>
                <w:sz w:val="21"/>
                <w:szCs w:val="21"/>
              </w:rPr>
              <w:t>The applicant should discuss the background of their organization, including the history, successes, and current research and development status (i.e., the technical baseline) relevant to the technical topic being addressed in the Full Application.</w:t>
            </w:r>
          </w:p>
          <w:p w14:paraId="74AC0533" w14:textId="309ED412" w:rsidR="006A24B8" w:rsidRPr="00AF2304" w:rsidRDefault="004E672B" w:rsidP="00F836F4">
            <w:pPr>
              <w:numPr>
                <w:ilvl w:val="0"/>
                <w:numId w:val="56"/>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Project Goal:</w:t>
            </w:r>
            <w:r w:rsidR="001A3502">
              <w:rPr>
                <w:rFonts w:ascii="Calibri" w:eastAsia="Calibri" w:hAnsi="Calibri" w:cs="Calibri"/>
                <w:color w:val="000000" w:themeColor="text1"/>
                <w:sz w:val="21"/>
                <w:szCs w:val="21"/>
              </w:rPr>
              <w:t xml:space="preserve"> </w:t>
            </w:r>
            <w:r w:rsidRPr="00AF2304">
              <w:rPr>
                <w:rFonts w:ascii="Calibri" w:eastAsia="Calibri" w:hAnsi="Calibri" w:cs="Calibri"/>
                <w:color w:val="000000" w:themeColor="text1"/>
                <w:sz w:val="21"/>
                <w:szCs w:val="21"/>
              </w:rPr>
              <w:t>The applicant should explicitly identify the targeted improvements to the baseline technology and the critical success factors in achieving that goal</w:t>
            </w:r>
            <w:r w:rsidR="006A06DD">
              <w:rPr>
                <w:rFonts w:ascii="Calibri" w:eastAsia="Calibri" w:hAnsi="Calibri" w:cs="Calibri"/>
                <w:color w:val="000000" w:themeColor="text1"/>
                <w:sz w:val="21"/>
                <w:szCs w:val="21"/>
              </w:rPr>
              <w:t xml:space="preserve">, </w:t>
            </w:r>
            <w:r w:rsidR="006A06DD" w:rsidRPr="00563B4B">
              <w:rPr>
                <w:rFonts w:ascii="Calibri" w:eastAsia="Calibri" w:hAnsi="Calibri" w:cs="Calibri"/>
                <w:color w:val="000000" w:themeColor="text1"/>
                <w:sz w:val="21"/>
                <w:szCs w:val="21"/>
              </w:rPr>
              <w:t>including the ways in which the proposed project location and related infrastructure, workforce, etc. will contribute to the success of the overall project.</w:t>
            </w:r>
          </w:p>
          <w:p w14:paraId="5533D556" w14:textId="77777777" w:rsidR="00725466" w:rsidRPr="00563B4B" w:rsidRDefault="004E672B" w:rsidP="00F836F4">
            <w:pPr>
              <w:numPr>
                <w:ilvl w:val="0"/>
                <w:numId w:val="56"/>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DOE Impact: The applicant should discuss the impact that DOE funding would have on the proposed project. Applicants should specifically explain how DOE funding, relative to prior, current, or anticipated funding from other public and private sources, is necessary to achieve the project objectives.</w:t>
            </w:r>
          </w:p>
          <w:p w14:paraId="623405F0" w14:textId="0E608285" w:rsidR="006A06DD" w:rsidRPr="00563B4B" w:rsidRDefault="006A06DD" w:rsidP="00F836F4">
            <w:pPr>
              <w:numPr>
                <w:ilvl w:val="0"/>
                <w:numId w:val="56"/>
              </w:numPr>
              <w:spacing w:after="120"/>
              <w:rPr>
                <w:rFonts w:eastAsia="Times New Roman"/>
                <w:color w:val="000000" w:themeColor="text1"/>
                <w:sz w:val="21"/>
                <w:szCs w:val="21"/>
              </w:rPr>
            </w:pPr>
            <w:r w:rsidRPr="00563B4B">
              <w:rPr>
                <w:rFonts w:eastAsia="TT13Et00" w:cstheme="minorHAnsi"/>
                <w:color w:val="000000" w:themeColor="text1"/>
                <w:sz w:val="21"/>
                <w:szCs w:val="21"/>
              </w:rPr>
              <w:t xml:space="preserve">Community Benefits Plan: Job Quality and Equity – The applicant should summarize the overall anticipated benefits that will accrue to the local community and </w:t>
            </w:r>
            <w:r w:rsidR="00BF115F">
              <w:rPr>
                <w:rFonts w:eastAsia="TT13Et00" w:cstheme="minorHAnsi"/>
                <w:color w:val="000000" w:themeColor="text1"/>
                <w:sz w:val="21"/>
                <w:szCs w:val="21"/>
              </w:rPr>
              <w:t>disadvantaged communities</w:t>
            </w:r>
            <w:r w:rsidRPr="00563B4B">
              <w:rPr>
                <w:rFonts w:eastAsia="TT13Et00" w:cstheme="minorHAnsi"/>
                <w:color w:val="000000" w:themeColor="text1"/>
                <w:sz w:val="21"/>
                <w:szCs w:val="21"/>
              </w:rPr>
              <w:t xml:space="preserve"> (including, but not limited to, the support of minority business enterprises). The applicant should summarize a plan to attract, train, and retain a skilled labor force with strong labor standards, ensure workers’ free and fair chance to join a union, and identify potential partners they are working with to support these objectives.</w:t>
            </w:r>
          </w:p>
          <w:p w14:paraId="00D4BD14" w14:textId="4817447A" w:rsidR="006A06DD" w:rsidRPr="00C960C9" w:rsidRDefault="006A06DD" w:rsidP="00F836F4">
            <w:pPr>
              <w:numPr>
                <w:ilvl w:val="0"/>
                <w:numId w:val="56"/>
              </w:numPr>
              <w:spacing w:after="120"/>
            </w:pPr>
            <w:r w:rsidRPr="00563B4B">
              <w:rPr>
                <w:rFonts w:eastAsia="TT13Et00" w:cstheme="minorHAnsi"/>
                <w:color w:val="000000" w:themeColor="text1"/>
                <w:sz w:val="21"/>
                <w:szCs w:val="21"/>
              </w:rPr>
              <w:t xml:space="preserve">The applicant should articulate a strategy for sharing and maximizing the project’s benefits across </w:t>
            </w:r>
            <w:r w:rsidR="00BF115F">
              <w:rPr>
                <w:rFonts w:eastAsia="TT13Et00" w:cstheme="minorHAnsi"/>
                <w:color w:val="000000" w:themeColor="text1"/>
                <w:sz w:val="21"/>
                <w:szCs w:val="21"/>
              </w:rPr>
              <w:t>disadvantaged communities</w:t>
            </w:r>
            <w:r w:rsidRPr="00563B4B">
              <w:rPr>
                <w:rFonts w:eastAsia="TT13Et00" w:cstheme="minorHAnsi"/>
                <w:color w:val="000000" w:themeColor="text1"/>
                <w:sz w:val="21"/>
                <w:szCs w:val="21"/>
              </w:rPr>
              <w:t xml:space="preserve"> and include a discussion of how resident and community leadership will be engaged throughout the project’s duration. </w:t>
            </w:r>
            <w:bookmarkStart w:id="202" w:name="_Hlk109904107"/>
            <w:r w:rsidRPr="00563B4B">
              <w:rPr>
                <w:rFonts w:eastAsia="TT13Et00" w:cstheme="minorHAnsi"/>
                <w:color w:val="000000" w:themeColor="text1"/>
                <w:sz w:val="21"/>
                <w:szCs w:val="21"/>
              </w:rPr>
              <w:t xml:space="preserve">DOE encourages efforts to reach historically underserved populations and </w:t>
            </w:r>
            <w:bookmarkEnd w:id="202"/>
            <w:r w:rsidR="00E82716">
              <w:rPr>
                <w:rFonts w:eastAsia="TT13Et00" w:cstheme="minorHAnsi"/>
                <w:color w:val="000000" w:themeColor="text1"/>
                <w:sz w:val="21"/>
                <w:szCs w:val="21"/>
              </w:rPr>
              <w:t>communities</w:t>
            </w:r>
            <w:r w:rsidRPr="00563B4B">
              <w:rPr>
                <w:rFonts w:eastAsia="TT13Et00" w:cstheme="minorHAnsi"/>
                <w:color w:val="000000" w:themeColor="text1"/>
                <w:sz w:val="21"/>
                <w:szCs w:val="21"/>
              </w:rPr>
              <w:t xml:space="preserve">. These strategies should create the connectivity and conditions for growth where they may not exist, such as in rural, </w:t>
            </w:r>
            <w:r w:rsidR="00BF115F">
              <w:rPr>
                <w:rFonts w:eastAsia="TT13Et00" w:cstheme="minorHAnsi"/>
                <w:color w:val="000000" w:themeColor="text1"/>
                <w:sz w:val="21"/>
                <w:szCs w:val="21"/>
              </w:rPr>
              <w:t>disadvantaged communities</w:t>
            </w:r>
            <w:r w:rsidRPr="00563B4B">
              <w:rPr>
                <w:rFonts w:eastAsia="TT13Et00" w:cstheme="minorHAnsi"/>
                <w:color w:val="000000" w:themeColor="text1"/>
                <w:sz w:val="21"/>
                <w:szCs w:val="21"/>
              </w:rPr>
              <w:t>, and underserved communities.</w:t>
            </w:r>
          </w:p>
          <w:p w14:paraId="6E8F5BB9" w14:textId="522CBAA5" w:rsidR="006A06DD" w:rsidRPr="00157354" w:rsidRDefault="006A06DD" w:rsidP="00F836F4">
            <w:pPr>
              <w:numPr>
                <w:ilvl w:val="0"/>
                <w:numId w:val="56"/>
              </w:numPr>
              <w:spacing w:after="120"/>
              <w:rPr>
                <w:rFonts w:eastAsia="Times New Roman"/>
                <w:color w:val="000000" w:themeColor="text1"/>
                <w:sz w:val="21"/>
                <w:szCs w:val="21"/>
              </w:rPr>
            </w:pPr>
            <w:r w:rsidRPr="00563B4B">
              <w:rPr>
                <w:rFonts w:eastAsia="TT13Et00" w:cstheme="minorHAnsi"/>
                <w:color w:val="000000" w:themeColor="text1"/>
                <w:sz w:val="21"/>
                <w:szCs w:val="21"/>
              </w:rPr>
              <w:t xml:space="preserve">Identify any potential long-term constraints project will have on community’s access to natural resources (e.g., water) and </w:t>
            </w:r>
            <w:r w:rsidR="00CC1AE2">
              <w:rPr>
                <w:rFonts w:eastAsia="TT13Et00" w:cstheme="minorHAnsi"/>
                <w:color w:val="000000" w:themeColor="text1"/>
                <w:sz w:val="21"/>
                <w:szCs w:val="21"/>
              </w:rPr>
              <w:t>T</w:t>
            </w:r>
            <w:r w:rsidRPr="00563B4B">
              <w:rPr>
                <w:rFonts w:eastAsia="TT13Et00" w:cstheme="minorHAnsi"/>
                <w:color w:val="000000" w:themeColor="text1"/>
                <w:sz w:val="21"/>
                <w:szCs w:val="21"/>
              </w:rPr>
              <w:t xml:space="preserve">ribal cultural resources. Describe a long-term cleanup strategy that ensures communities and neighborhoods remain healthy and safe and not burden with cleanup costs and waste. </w:t>
            </w:r>
          </w:p>
          <w:p w14:paraId="06506C4B" w14:textId="6F640D4B" w:rsidR="006A06DD" w:rsidRPr="00A403B7" w:rsidRDefault="00E43FCD" w:rsidP="00F836F4">
            <w:pPr>
              <w:numPr>
                <w:ilvl w:val="0"/>
                <w:numId w:val="56"/>
              </w:numPr>
              <w:spacing w:after="120"/>
              <w:rPr>
                <w:sz w:val="21"/>
                <w:szCs w:val="21"/>
              </w:rPr>
            </w:pPr>
            <w:r w:rsidRPr="00A403B7">
              <w:rPr>
                <w:rStyle w:val="PlaceholderText"/>
                <w:color w:val="auto"/>
                <w:sz w:val="21"/>
                <w:szCs w:val="21"/>
              </w:rPr>
              <w:t>The applicant should outline a climate resilience strategy that accounts for climate impacts and extreme weather patterns such as high winds (tornadoes and hurricanes), heat and freezing temperatures, drought, wildfire, and floods.</w:t>
            </w:r>
          </w:p>
        </w:tc>
      </w:tr>
      <w:tr w:rsidR="00BF65D1" w14:paraId="6949025E" w14:textId="77777777" w:rsidTr="00ED3591">
        <w:trPr>
          <w:trHeight w:val="3759"/>
        </w:trPr>
        <w:tc>
          <w:tcPr>
            <w:tcW w:w="2319" w:type="dxa"/>
            <w:tcBorders>
              <w:bottom w:val="single" w:sz="4" w:space="0" w:color="auto"/>
            </w:tcBorders>
            <w:shd w:val="clear" w:color="auto" w:fill="EAF1DD" w:themeFill="accent3" w:themeFillTint="33"/>
          </w:tcPr>
          <w:p w14:paraId="68CBCD58" w14:textId="7150F601" w:rsidR="006A24B8" w:rsidRPr="00120F39" w:rsidRDefault="004E672B" w:rsidP="00ED3591">
            <w:pPr>
              <w:spacing w:before="120" w:after="120"/>
              <w:rPr>
                <w:b/>
                <w:color w:val="000000" w:themeColor="text1"/>
                <w:sz w:val="21"/>
                <w:szCs w:val="21"/>
              </w:rPr>
            </w:pPr>
            <w:r w:rsidRPr="00120F39">
              <w:rPr>
                <w:b/>
                <w:color w:val="000000" w:themeColor="text1"/>
                <w:sz w:val="21"/>
                <w:szCs w:val="21"/>
              </w:rPr>
              <w:t>Technical Description, Innovation, and Impact</w:t>
            </w:r>
            <w:r w:rsidRPr="00120F39">
              <w:rPr>
                <w:color w:val="000000" w:themeColor="text1"/>
                <w:sz w:val="21"/>
                <w:szCs w:val="21"/>
              </w:rPr>
              <w:t xml:space="preserve"> </w:t>
            </w:r>
            <w:r w:rsidRPr="008858B4">
              <w:rPr>
                <w:color w:val="000000" w:themeColor="text1"/>
                <w:sz w:val="21"/>
                <w:szCs w:val="21"/>
              </w:rPr>
              <w:t>(</w:t>
            </w:r>
            <w:r w:rsidR="00ED3591">
              <w:rPr>
                <w:color w:val="000000" w:themeColor="text1"/>
                <w:sz w:val="21"/>
                <w:szCs w:val="21"/>
              </w:rPr>
              <w:t>A</w:t>
            </w:r>
            <w:r w:rsidRPr="008858B4">
              <w:rPr>
                <w:color w:val="000000" w:themeColor="text1"/>
                <w:sz w:val="21"/>
                <w:szCs w:val="21"/>
              </w:rPr>
              <w:t>pproximately 30% of the Technical Volume)</w:t>
            </w:r>
          </w:p>
        </w:tc>
        <w:tc>
          <w:tcPr>
            <w:tcW w:w="6681" w:type="dxa"/>
            <w:tcBorders>
              <w:bottom w:val="single" w:sz="4" w:space="0" w:color="auto"/>
            </w:tcBorders>
          </w:tcPr>
          <w:p w14:paraId="6D919098" w14:textId="77777777" w:rsidR="006A24B8" w:rsidRPr="00AF2304" w:rsidRDefault="004E672B">
            <w:p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The Technical Description should contain the following information:</w:t>
            </w:r>
          </w:p>
          <w:p w14:paraId="0464F914" w14:textId="77777777" w:rsidR="006A24B8" w:rsidRPr="00AF2304" w:rsidRDefault="004E672B" w:rsidP="00F836F4">
            <w:pPr>
              <w:numPr>
                <w:ilvl w:val="0"/>
                <w:numId w:val="59"/>
              </w:numPr>
              <w:spacing w:after="120"/>
              <w:rPr>
                <w:rFonts w:eastAsia="Times New Roman"/>
                <w:color w:val="000000" w:themeColor="text1"/>
                <w:sz w:val="21"/>
                <w:szCs w:val="21"/>
              </w:rPr>
            </w:pPr>
            <w:r w:rsidRPr="00027284">
              <w:rPr>
                <w:rFonts w:ascii="Calibri" w:eastAsia="Calibri" w:hAnsi="Calibri" w:cs="Calibri"/>
                <w:color w:val="000000" w:themeColor="text1"/>
                <w:sz w:val="21"/>
                <w:szCs w:val="21"/>
              </w:rPr>
              <w:t>Relevance and Outcomes:</w:t>
            </w:r>
            <w:r w:rsidR="001A3502">
              <w:rPr>
                <w:rFonts w:ascii="Calibri" w:eastAsia="Calibri" w:hAnsi="Calibri" w:cs="Calibri"/>
                <w:color w:val="000000" w:themeColor="text1"/>
                <w:sz w:val="21"/>
                <w:szCs w:val="21"/>
              </w:rPr>
              <w:t xml:space="preserve"> </w:t>
            </w:r>
            <w:r w:rsidRPr="00027284">
              <w:rPr>
                <w:rFonts w:ascii="Calibri" w:eastAsia="Calibri" w:hAnsi="Calibri" w:cs="Calibri"/>
                <w:color w:val="000000" w:themeColor="text1"/>
                <w:sz w:val="21"/>
                <w:szCs w:val="21"/>
              </w:rPr>
              <w:t>The applicant should provide a detailed description of the technology, including the scientific and other principles and objectives that will be pursued during the project. This section should describe the relevance of the proposed project to the goals and objectives of the FOA, including the potential to meet specific DOE technical targets or other relevant performance targets.</w:t>
            </w:r>
            <w:r w:rsidR="001A3502">
              <w:rPr>
                <w:rFonts w:ascii="Calibri" w:eastAsia="Calibri" w:hAnsi="Calibri" w:cs="Calibri"/>
                <w:color w:val="000000" w:themeColor="text1"/>
                <w:sz w:val="21"/>
                <w:szCs w:val="21"/>
              </w:rPr>
              <w:t xml:space="preserve"> </w:t>
            </w:r>
            <w:r w:rsidRPr="00027284">
              <w:rPr>
                <w:rFonts w:ascii="Calibri" w:eastAsia="Calibri" w:hAnsi="Calibri" w:cs="Calibri"/>
                <w:color w:val="000000" w:themeColor="text1"/>
                <w:sz w:val="21"/>
                <w:szCs w:val="21"/>
              </w:rPr>
              <w:t>The applicant should clearly specify the expected outcomes of the project.</w:t>
            </w:r>
          </w:p>
          <w:p w14:paraId="30B4306F" w14:textId="47218ECF" w:rsidR="00794EA2" w:rsidRDefault="004E672B" w:rsidP="00F836F4">
            <w:pPr>
              <w:numPr>
                <w:ilvl w:val="0"/>
                <w:numId w:val="58"/>
              </w:numPr>
              <w:spacing w:after="120"/>
              <w:rPr>
                <w:color w:val="000000" w:themeColor="text1"/>
                <w:sz w:val="21"/>
                <w:szCs w:val="21"/>
              </w:rPr>
            </w:pPr>
            <w:r w:rsidRPr="00027284">
              <w:rPr>
                <w:rFonts w:ascii="Calibri" w:eastAsia="Calibri" w:hAnsi="Calibri" w:cs="Calibri"/>
                <w:color w:val="000000" w:themeColor="text1"/>
                <w:sz w:val="21"/>
                <w:szCs w:val="21"/>
              </w:rPr>
              <w:t>Feasibility:</w:t>
            </w:r>
            <w:r w:rsidR="001A3502">
              <w:rPr>
                <w:rFonts w:ascii="Calibri" w:eastAsia="Calibri" w:hAnsi="Calibri" w:cs="Calibri"/>
                <w:color w:val="000000" w:themeColor="text1"/>
                <w:sz w:val="21"/>
                <w:szCs w:val="21"/>
              </w:rPr>
              <w:t xml:space="preserve"> </w:t>
            </w:r>
            <w:r w:rsidRPr="00027284">
              <w:rPr>
                <w:rFonts w:ascii="Calibri" w:eastAsia="Calibri" w:hAnsi="Calibri" w:cs="Calibri"/>
                <w:color w:val="000000" w:themeColor="text1"/>
                <w:sz w:val="21"/>
                <w:szCs w:val="21"/>
              </w:rPr>
              <w:t>The applicant should demonstrate the technical feasibility of the proposed technology and capability of achieving the anticipated performance targets, including a description of previous work done and prior results.</w:t>
            </w:r>
            <w:r w:rsidR="004C1302">
              <w:rPr>
                <w:rFonts w:ascii="Calibri" w:eastAsia="Calibri" w:hAnsi="Calibri" w:cs="Calibri"/>
                <w:color w:val="000000" w:themeColor="text1"/>
                <w:sz w:val="21"/>
                <w:szCs w:val="21"/>
              </w:rPr>
              <w:t xml:space="preserve"> </w:t>
            </w:r>
            <w:r w:rsidR="004C1302" w:rsidRPr="00563B4B">
              <w:rPr>
                <w:rFonts w:eastAsia="TT13Et00" w:cstheme="minorHAnsi"/>
                <w:color w:val="000000" w:themeColor="text1"/>
                <w:sz w:val="21"/>
                <w:szCs w:val="21"/>
              </w:rPr>
              <w:t>This section should also address how the project will secure and/or retain trained and qualified workers to meet the performance targets, as well as how the proposed project location and underlying infrastructure and workforce will contribute to the success of the overall project.</w:t>
            </w:r>
          </w:p>
          <w:p w14:paraId="0BB2E6B2" w14:textId="0B68BD6B" w:rsidR="00725466" w:rsidRPr="007646C9" w:rsidRDefault="004E672B" w:rsidP="00F836F4">
            <w:pPr>
              <w:numPr>
                <w:ilvl w:val="0"/>
                <w:numId w:val="58"/>
              </w:numPr>
              <w:spacing w:after="120"/>
              <w:rPr>
                <w:color w:val="000000" w:themeColor="text1"/>
                <w:sz w:val="21"/>
                <w:szCs w:val="21"/>
              </w:rPr>
            </w:pPr>
            <w:r w:rsidRPr="00027284">
              <w:rPr>
                <w:rFonts w:ascii="Calibri" w:eastAsia="Calibri" w:hAnsi="Calibri" w:cs="Calibri"/>
                <w:color w:val="000000" w:themeColor="text1"/>
                <w:sz w:val="21"/>
                <w:szCs w:val="21"/>
              </w:rPr>
              <w:t>Innovation and Impacts:</w:t>
            </w:r>
            <w:r w:rsidR="001A3502">
              <w:rPr>
                <w:rFonts w:ascii="Calibri" w:eastAsia="Calibri" w:hAnsi="Calibri" w:cs="Calibri"/>
                <w:color w:val="000000" w:themeColor="text1"/>
                <w:sz w:val="21"/>
                <w:szCs w:val="21"/>
              </w:rPr>
              <w:t xml:space="preserve"> </w:t>
            </w:r>
            <w:r w:rsidRPr="00027284">
              <w:rPr>
                <w:rFonts w:ascii="Calibri" w:eastAsia="Calibri" w:hAnsi="Calibri" w:cs="Calibri"/>
                <w:color w:val="000000" w:themeColor="text1"/>
                <w:sz w:val="21"/>
                <w:szCs w:val="21"/>
              </w:rPr>
              <w:t>The applicant should de</w:t>
            </w:r>
            <w:r w:rsidR="007A2D21">
              <w:rPr>
                <w:rFonts w:ascii="Calibri" w:eastAsia="Calibri" w:hAnsi="Calibri" w:cs="Calibri"/>
                <w:color w:val="000000" w:themeColor="text1"/>
                <w:sz w:val="21"/>
                <w:szCs w:val="21"/>
              </w:rPr>
              <w:t>scribe the current state-of-the-</w:t>
            </w:r>
            <w:r w:rsidRPr="00027284">
              <w:rPr>
                <w:rFonts w:ascii="Calibri" w:eastAsia="Calibri" w:hAnsi="Calibri" w:cs="Calibri"/>
                <w:color w:val="000000" w:themeColor="text1"/>
                <w:sz w:val="21"/>
                <w:szCs w:val="21"/>
              </w:rPr>
              <w:t>art in the applicable field, the specific innovation of the proposed technology, the advantages of proposed technology over current and emerging technologies, and the overall impact on advancing the state</w:t>
            </w:r>
            <w:r w:rsidR="00082423">
              <w:rPr>
                <w:rFonts w:ascii="Calibri" w:eastAsia="Calibri" w:hAnsi="Calibri" w:cs="Calibri"/>
                <w:color w:val="000000" w:themeColor="text1"/>
                <w:sz w:val="21"/>
                <w:szCs w:val="21"/>
              </w:rPr>
              <w:t>-</w:t>
            </w:r>
            <w:r w:rsidRPr="00027284">
              <w:rPr>
                <w:rFonts w:ascii="Calibri" w:eastAsia="Calibri" w:hAnsi="Calibri" w:cs="Calibri"/>
                <w:color w:val="000000" w:themeColor="text1"/>
                <w:sz w:val="21"/>
                <w:szCs w:val="21"/>
              </w:rPr>
              <w:t>of</w:t>
            </w:r>
            <w:r w:rsidR="00082423">
              <w:rPr>
                <w:rFonts w:ascii="Calibri" w:eastAsia="Calibri" w:hAnsi="Calibri" w:cs="Calibri"/>
                <w:color w:val="000000" w:themeColor="text1"/>
                <w:sz w:val="21"/>
                <w:szCs w:val="21"/>
              </w:rPr>
              <w:t>-</w:t>
            </w:r>
            <w:r w:rsidRPr="00027284">
              <w:rPr>
                <w:rFonts w:ascii="Calibri" w:eastAsia="Calibri" w:hAnsi="Calibri" w:cs="Calibri"/>
                <w:color w:val="000000" w:themeColor="text1"/>
                <w:sz w:val="21"/>
                <w:szCs w:val="21"/>
              </w:rPr>
              <w:t>the</w:t>
            </w:r>
            <w:r w:rsidR="00082423">
              <w:rPr>
                <w:rFonts w:ascii="Calibri" w:eastAsia="Calibri" w:hAnsi="Calibri" w:cs="Calibri"/>
                <w:color w:val="000000" w:themeColor="text1"/>
                <w:sz w:val="21"/>
                <w:szCs w:val="21"/>
              </w:rPr>
              <w:t>-</w:t>
            </w:r>
            <w:r w:rsidRPr="00027284">
              <w:rPr>
                <w:rFonts w:ascii="Calibri" w:eastAsia="Calibri" w:hAnsi="Calibri" w:cs="Calibri"/>
                <w:color w:val="000000" w:themeColor="text1"/>
                <w:sz w:val="21"/>
                <w:szCs w:val="21"/>
              </w:rPr>
              <w:t>art/technical baseline if the project is successful.</w:t>
            </w:r>
          </w:p>
        </w:tc>
      </w:tr>
      <w:tr w:rsidR="00BF65D1" w14:paraId="544E0176" w14:textId="77777777" w:rsidTr="00ED3591">
        <w:tc>
          <w:tcPr>
            <w:tcW w:w="2319" w:type="dxa"/>
            <w:tcBorders>
              <w:bottom w:val="single" w:sz="4" w:space="0" w:color="auto"/>
            </w:tcBorders>
            <w:shd w:val="clear" w:color="auto" w:fill="EAF1DD" w:themeFill="accent3" w:themeFillTint="33"/>
          </w:tcPr>
          <w:p w14:paraId="0707C99F" w14:textId="5876BC36" w:rsidR="006A24B8" w:rsidRPr="00D4476D" w:rsidRDefault="004E672B" w:rsidP="008858B4">
            <w:pPr>
              <w:rPr>
                <w:rFonts w:eastAsia="Times New Roman"/>
                <w:color w:val="000000" w:themeColor="text1"/>
                <w:sz w:val="21"/>
                <w:szCs w:val="21"/>
              </w:rPr>
            </w:pPr>
            <w:r w:rsidRPr="00120F39">
              <w:rPr>
                <w:b/>
                <w:color w:val="000000" w:themeColor="text1"/>
                <w:sz w:val="21"/>
                <w:szCs w:val="21"/>
              </w:rPr>
              <w:t>Workplan</w:t>
            </w:r>
            <w:r w:rsidRPr="00AF2304">
              <w:rPr>
                <w:b/>
                <w:bCs/>
                <w:color w:val="000000" w:themeColor="text1"/>
                <w:sz w:val="21"/>
                <w:szCs w:val="21"/>
              </w:rPr>
              <w:t xml:space="preserve"> and Market Transformation Plan</w:t>
            </w:r>
            <w:r w:rsidRPr="00120F39">
              <w:rPr>
                <w:bCs/>
                <w:color w:val="000000" w:themeColor="text1"/>
                <w:sz w:val="21"/>
                <w:szCs w:val="21"/>
              </w:rPr>
              <w:t xml:space="preserve"> </w:t>
            </w:r>
            <w:r w:rsidRPr="00AF2304">
              <w:rPr>
                <w:color w:val="000000" w:themeColor="text1"/>
                <w:sz w:val="21"/>
                <w:szCs w:val="21"/>
              </w:rPr>
              <w:t>(</w:t>
            </w:r>
            <w:r w:rsidR="00ED3591">
              <w:rPr>
                <w:color w:val="000000" w:themeColor="text1"/>
                <w:sz w:val="21"/>
                <w:szCs w:val="21"/>
              </w:rPr>
              <w:t>A</w:t>
            </w:r>
            <w:r w:rsidRPr="00283227">
              <w:rPr>
                <w:color w:val="000000" w:themeColor="text1"/>
                <w:sz w:val="21"/>
                <w:szCs w:val="21"/>
              </w:rPr>
              <w:t>pproximately</w:t>
            </w:r>
            <w:r w:rsidRPr="00AF2304">
              <w:rPr>
                <w:color w:val="000000" w:themeColor="text1"/>
                <w:sz w:val="21"/>
                <w:szCs w:val="21"/>
              </w:rPr>
              <w:t xml:space="preserve"> 40% of the Technical Volume)</w:t>
            </w:r>
          </w:p>
        </w:tc>
        <w:tc>
          <w:tcPr>
            <w:tcW w:w="6681" w:type="dxa"/>
            <w:tcBorders>
              <w:bottom w:val="single" w:sz="4" w:space="0" w:color="auto"/>
            </w:tcBorders>
          </w:tcPr>
          <w:p w14:paraId="50CE990D" w14:textId="77777777" w:rsidR="006A24B8" w:rsidRPr="00AF2304" w:rsidRDefault="004E672B" w:rsidP="00120F39">
            <w:p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The Workplan should include a summary of the Project Objectives, Technical Scope, Work Breakdown Structure</w:t>
            </w:r>
            <w:r w:rsidR="009F1B00">
              <w:rPr>
                <w:rFonts w:ascii="Calibri" w:eastAsia="Calibri" w:hAnsi="Calibri" w:cs="Calibri"/>
                <w:color w:val="000000" w:themeColor="text1"/>
                <w:sz w:val="21"/>
                <w:szCs w:val="21"/>
              </w:rPr>
              <w:t xml:space="preserve"> (WBS)</w:t>
            </w:r>
            <w:r w:rsidRPr="00AF2304">
              <w:rPr>
                <w:rFonts w:ascii="Calibri" w:eastAsia="Calibri" w:hAnsi="Calibri" w:cs="Calibri"/>
                <w:color w:val="000000" w:themeColor="text1"/>
                <w:sz w:val="21"/>
                <w:szCs w:val="21"/>
              </w:rPr>
              <w:t>, Milestones, Go/No-Go Decision Points, and Project Schedule.</w:t>
            </w:r>
            <w:r w:rsidR="001A3502">
              <w:rPr>
                <w:rFonts w:ascii="Calibri" w:eastAsia="Calibri" w:hAnsi="Calibri" w:cs="Calibri"/>
                <w:color w:val="000000" w:themeColor="text1"/>
                <w:sz w:val="21"/>
                <w:szCs w:val="21"/>
              </w:rPr>
              <w:t xml:space="preserve"> </w:t>
            </w:r>
            <w:r w:rsidRPr="00AF2304">
              <w:rPr>
                <w:rFonts w:ascii="Calibri" w:eastAsia="Calibri" w:hAnsi="Calibri" w:cs="Calibri"/>
                <w:color w:val="000000" w:themeColor="text1"/>
                <w:sz w:val="21"/>
                <w:szCs w:val="21"/>
              </w:rPr>
              <w:t>A detailed SOPO is separately requested.</w:t>
            </w:r>
            <w:r w:rsidR="001A3502">
              <w:rPr>
                <w:rFonts w:ascii="Calibri" w:eastAsia="Calibri" w:hAnsi="Calibri" w:cs="Calibri"/>
                <w:color w:val="000000" w:themeColor="text1"/>
                <w:sz w:val="21"/>
                <w:szCs w:val="21"/>
              </w:rPr>
              <w:t xml:space="preserve"> </w:t>
            </w:r>
            <w:r w:rsidRPr="00AF2304">
              <w:rPr>
                <w:rFonts w:ascii="Calibri" w:eastAsia="Calibri" w:hAnsi="Calibri" w:cs="Calibri"/>
                <w:color w:val="000000" w:themeColor="text1"/>
                <w:sz w:val="21"/>
                <w:szCs w:val="21"/>
              </w:rPr>
              <w:t>The Workplan should contain the following information:</w:t>
            </w:r>
          </w:p>
          <w:p w14:paraId="20D25BB8" w14:textId="77777777" w:rsidR="00BF65D1" w:rsidRPr="00AF2304" w:rsidRDefault="004E672B" w:rsidP="00F836F4">
            <w:pPr>
              <w:numPr>
                <w:ilvl w:val="0"/>
                <w:numId w:val="62"/>
              </w:numPr>
              <w:spacing w:after="120"/>
              <w:rPr>
                <w:color w:val="000000" w:themeColor="text1"/>
                <w:sz w:val="21"/>
                <w:szCs w:val="21"/>
              </w:rPr>
            </w:pPr>
            <w:r w:rsidRPr="00AF2304">
              <w:rPr>
                <w:rFonts w:ascii="Calibri" w:eastAsia="Calibri" w:hAnsi="Calibri" w:cs="Calibri"/>
                <w:color w:val="000000" w:themeColor="text1"/>
                <w:sz w:val="21"/>
                <w:szCs w:val="21"/>
              </w:rPr>
              <w:t>Project Objectives: The applicant should provide a clear and concise (high-level) statement of the goals and objectives of the project as well as the expected outcomes.</w:t>
            </w:r>
          </w:p>
          <w:p w14:paraId="41156D12" w14:textId="438240FD" w:rsidR="00BF65D1" w:rsidRPr="00AF2304" w:rsidRDefault="004E672B" w:rsidP="00F836F4">
            <w:pPr>
              <w:numPr>
                <w:ilvl w:val="0"/>
                <w:numId w:val="60"/>
              </w:numPr>
              <w:spacing w:after="120"/>
              <w:rPr>
                <w:color w:val="000000" w:themeColor="text1"/>
                <w:sz w:val="21"/>
                <w:szCs w:val="21"/>
              </w:rPr>
            </w:pPr>
            <w:r w:rsidRPr="00AF2304">
              <w:rPr>
                <w:rFonts w:ascii="Calibri" w:eastAsia="Calibri" w:hAnsi="Calibri" w:cs="Calibri"/>
                <w:color w:val="000000" w:themeColor="text1"/>
                <w:sz w:val="21"/>
                <w:szCs w:val="21"/>
              </w:rPr>
              <w:t xml:space="preserve">Technical Scope Summary: The applicant should provide a summary description of the overall work scope and approach to achieve the objective(s). The overall work scope is to be divided by performance periods that are separated by discrete, approximately annual decision points (see below for more information on Go/No-Go decision points). The applicant should describe the specific expected </w:t>
            </w:r>
            <w:proofErr w:type="gramStart"/>
            <w:r w:rsidRPr="00AF2304">
              <w:rPr>
                <w:rFonts w:ascii="Calibri" w:eastAsia="Calibri" w:hAnsi="Calibri" w:cs="Calibri"/>
                <w:color w:val="000000" w:themeColor="text1"/>
                <w:sz w:val="21"/>
                <w:szCs w:val="21"/>
              </w:rPr>
              <w:t>end result</w:t>
            </w:r>
            <w:proofErr w:type="gramEnd"/>
            <w:r w:rsidRPr="00AF2304">
              <w:rPr>
                <w:rFonts w:ascii="Calibri" w:eastAsia="Calibri" w:hAnsi="Calibri" w:cs="Calibri"/>
                <w:color w:val="000000" w:themeColor="text1"/>
                <w:sz w:val="21"/>
                <w:szCs w:val="21"/>
              </w:rPr>
              <w:t xml:space="preserve"> of each performance period</w:t>
            </w:r>
            <w:r w:rsidR="005D1F6F">
              <w:rPr>
                <w:rFonts w:ascii="Calibri" w:eastAsia="Calibri" w:hAnsi="Calibri" w:cs="Calibri"/>
                <w:color w:val="000000" w:themeColor="text1"/>
                <w:sz w:val="21"/>
                <w:szCs w:val="21"/>
              </w:rPr>
              <w:t>, including milestones detailed in the Community Benefits Plan</w:t>
            </w:r>
            <w:r w:rsidRPr="00AF2304">
              <w:rPr>
                <w:rFonts w:ascii="Calibri" w:eastAsia="Calibri" w:hAnsi="Calibri" w:cs="Calibri"/>
                <w:color w:val="000000" w:themeColor="text1"/>
                <w:sz w:val="21"/>
                <w:szCs w:val="21"/>
              </w:rPr>
              <w:t>.</w:t>
            </w:r>
          </w:p>
          <w:p w14:paraId="6E063376" w14:textId="56CB8667" w:rsidR="00BF65D1" w:rsidRPr="00AF2304" w:rsidRDefault="004E672B" w:rsidP="00F836F4">
            <w:pPr>
              <w:numPr>
                <w:ilvl w:val="0"/>
                <w:numId w:val="60"/>
              </w:numPr>
              <w:spacing w:after="120"/>
              <w:rPr>
                <w:color w:val="000000" w:themeColor="text1"/>
                <w:sz w:val="21"/>
                <w:szCs w:val="21"/>
              </w:rPr>
            </w:pPr>
            <w:r w:rsidRPr="00AF2304">
              <w:rPr>
                <w:rFonts w:ascii="Calibri" w:eastAsia="Calibri" w:hAnsi="Calibri" w:cs="Calibri"/>
                <w:color w:val="000000" w:themeColor="text1"/>
                <w:sz w:val="21"/>
                <w:szCs w:val="21"/>
              </w:rPr>
              <w:t>WBS and Task Description Summary: The Workplan should describe the work to be accomplished and how the applicant will achieve the milestones, will accomplish the final project goal(s), and will produce all deliverables</w:t>
            </w:r>
            <w:r w:rsidR="003B5D26">
              <w:rPr>
                <w:rFonts w:ascii="Calibri" w:eastAsia="Calibri" w:hAnsi="Calibri" w:cs="Calibri"/>
                <w:color w:val="000000" w:themeColor="text1"/>
                <w:sz w:val="21"/>
                <w:szCs w:val="21"/>
              </w:rPr>
              <w:t>, including a strategy for securing qualified workers and reducing risk of work stoppages due to labor and/or community disputes</w:t>
            </w:r>
            <w:r w:rsidRPr="00AF2304">
              <w:rPr>
                <w:rFonts w:ascii="Calibri" w:eastAsia="Calibri" w:hAnsi="Calibri" w:cs="Calibri"/>
                <w:color w:val="000000" w:themeColor="text1"/>
                <w:sz w:val="21"/>
                <w:szCs w:val="21"/>
              </w:rPr>
              <w:t>. The Workplan is to be structured with a hierarchy of performance period (approximately annual), task and subtasks, which is typical of a standard WBS for any project. The Workplan shall contain a concise description of the specific activities to be conducted over the life of the project. The description shall be a full explanation and disclosure of the project being proposed (i.e., a statement such as “we will then complete a proprietary process” is unacceptable). It is the applicant’s responsibility to prepare an adequately detailed task plan to describe the proposed project and the plan for addressing the objectives of this FOA. The summary provided should be consistent with the SOPO.</w:t>
            </w:r>
            <w:r w:rsidR="001A3502">
              <w:rPr>
                <w:rFonts w:ascii="Calibri" w:eastAsia="Calibri" w:hAnsi="Calibri" w:cs="Calibri"/>
                <w:color w:val="000000" w:themeColor="text1"/>
                <w:sz w:val="21"/>
                <w:szCs w:val="21"/>
              </w:rPr>
              <w:t xml:space="preserve"> </w:t>
            </w:r>
            <w:r w:rsidRPr="00AF2304">
              <w:rPr>
                <w:rFonts w:ascii="Calibri" w:eastAsia="Calibri" w:hAnsi="Calibri" w:cs="Calibri"/>
                <w:color w:val="000000" w:themeColor="text1"/>
                <w:sz w:val="21"/>
                <w:szCs w:val="21"/>
              </w:rPr>
              <w:t>The SOPO will contain a more detailed description of the WBS and tasks.</w:t>
            </w:r>
          </w:p>
          <w:p w14:paraId="7EF13398" w14:textId="1A573B67" w:rsidR="00BF65D1" w:rsidRPr="00AF2304" w:rsidRDefault="004E672B" w:rsidP="00F836F4">
            <w:pPr>
              <w:numPr>
                <w:ilvl w:val="0"/>
                <w:numId w:val="60"/>
              </w:numPr>
              <w:spacing w:after="120"/>
              <w:rPr>
                <w:color w:val="000000" w:themeColor="text1"/>
                <w:sz w:val="21"/>
                <w:szCs w:val="21"/>
              </w:rPr>
            </w:pPr>
            <w:r w:rsidRPr="00AF2304">
              <w:rPr>
                <w:rFonts w:ascii="Calibri" w:eastAsia="Calibri" w:hAnsi="Calibri" w:cs="Calibri"/>
                <w:color w:val="000000" w:themeColor="text1"/>
                <w:sz w:val="21"/>
                <w:szCs w:val="21"/>
              </w:rPr>
              <w:t xml:space="preserve">Milestone Summary: The applicant should provide a summary of appropriate milestones throughout the project to demonstrate success. A milestone may be either a progress measure (which can be activity based) or a SMART technical milestone. SMART milestones should be Specific, Measurable, Achievable, Relevant, and Timely, and must demonstrate a technical achievement rather than simply completing a task. Unless otherwise specified in the FOA, the minimum requirement is that each project must have at least one milestone per quarter for the duration of the project with at least one SMART technical milestone per year (depending on the project, more milestones may be necessary to comprehensively demonstrate progress). The applicant should also provide </w:t>
            </w:r>
            <w:proofErr w:type="gramStart"/>
            <w:r w:rsidRPr="00AF2304">
              <w:rPr>
                <w:rFonts w:ascii="Calibri" w:eastAsia="Calibri" w:hAnsi="Calibri" w:cs="Calibri"/>
                <w:color w:val="000000" w:themeColor="text1"/>
                <w:sz w:val="21"/>
                <w:szCs w:val="21"/>
              </w:rPr>
              <w:t>the means by which</w:t>
            </w:r>
            <w:proofErr w:type="gramEnd"/>
            <w:r w:rsidRPr="00AF2304">
              <w:rPr>
                <w:rFonts w:ascii="Calibri" w:eastAsia="Calibri" w:hAnsi="Calibri" w:cs="Calibri"/>
                <w:color w:val="000000" w:themeColor="text1"/>
                <w:sz w:val="21"/>
                <w:szCs w:val="21"/>
              </w:rPr>
              <w:t xml:space="preserve"> the milestone will be verified. The summary provided should be consistent with the Milestone Summary Table in the SOPO.</w:t>
            </w:r>
          </w:p>
          <w:p w14:paraId="065546A2" w14:textId="58F1C0DC" w:rsidR="00BF65D1" w:rsidRPr="00AF2304" w:rsidRDefault="004E672B" w:rsidP="00F836F4">
            <w:pPr>
              <w:numPr>
                <w:ilvl w:val="0"/>
                <w:numId w:val="60"/>
              </w:numPr>
              <w:spacing w:after="120"/>
              <w:rPr>
                <w:color w:val="000000" w:themeColor="text1"/>
                <w:sz w:val="21"/>
                <w:szCs w:val="21"/>
              </w:rPr>
            </w:pPr>
            <w:r w:rsidRPr="00AF2304">
              <w:rPr>
                <w:rFonts w:ascii="Calibri" w:eastAsia="Calibri" w:hAnsi="Calibri" w:cs="Calibri"/>
                <w:color w:val="000000" w:themeColor="text1"/>
                <w:sz w:val="21"/>
                <w:szCs w:val="21"/>
              </w:rPr>
              <w:t xml:space="preserve">Go/No-Go Decision Points: The applicant should provide a summary of project-wide Go/No-Go decision points at appropriate points in the Workplan. A Go/No-Go decision point is a risk management tool and a project management best practice to ensure that, for the current phase or period of performance, technical success is definitively achieved and potential for success in future phases or periods of performance is evaluated, prior to </w:t>
            </w:r>
            <w:proofErr w:type="gramStart"/>
            <w:r w:rsidRPr="00AF2304">
              <w:rPr>
                <w:rFonts w:ascii="Calibri" w:eastAsia="Calibri" w:hAnsi="Calibri" w:cs="Calibri"/>
                <w:color w:val="000000" w:themeColor="text1"/>
                <w:sz w:val="21"/>
                <w:szCs w:val="21"/>
              </w:rPr>
              <w:t>actually beginning</w:t>
            </w:r>
            <w:proofErr w:type="gramEnd"/>
            <w:r w:rsidRPr="00AF2304">
              <w:rPr>
                <w:rFonts w:ascii="Calibri" w:eastAsia="Calibri" w:hAnsi="Calibri" w:cs="Calibri"/>
                <w:color w:val="000000" w:themeColor="text1"/>
                <w:sz w:val="21"/>
                <w:szCs w:val="21"/>
              </w:rPr>
              <w:t xml:space="preserve"> the execution of future phases. At a minimum, each project must have at least one project-wide Go/No-Go decision point for each budget period (12 to 18-month period) of the project. See Section </w:t>
            </w:r>
            <w:proofErr w:type="spellStart"/>
            <w:r w:rsidRPr="00AF2304">
              <w:rPr>
                <w:rFonts w:ascii="Calibri" w:eastAsia="Calibri" w:hAnsi="Calibri" w:cs="Calibri"/>
                <w:color w:val="000000" w:themeColor="text1"/>
                <w:sz w:val="21"/>
                <w:szCs w:val="21"/>
              </w:rPr>
              <w:t>VI.B.xiv</w:t>
            </w:r>
            <w:proofErr w:type="spellEnd"/>
            <w:r w:rsidRPr="00AF2304">
              <w:rPr>
                <w:rFonts w:ascii="Calibri" w:eastAsia="Calibri" w:hAnsi="Calibri" w:cs="Calibri"/>
                <w:color w:val="000000" w:themeColor="text1"/>
                <w:sz w:val="21"/>
                <w:szCs w:val="21"/>
              </w:rPr>
              <w:t>. The applicant should also provide the specific technical criteria to be used to evaluate the project at the Go/No-Go decision point. The summary provided should be consistent with the SOPO. Go/No-Go decision points are considered “SMART” and can fulfill the requirement for an annual SMART milestone.</w:t>
            </w:r>
          </w:p>
          <w:p w14:paraId="1083646F" w14:textId="7D573901" w:rsidR="00BF65D1" w:rsidRPr="00AF2304" w:rsidRDefault="004E672B" w:rsidP="00F836F4">
            <w:pPr>
              <w:numPr>
                <w:ilvl w:val="0"/>
                <w:numId w:val="60"/>
              </w:numPr>
              <w:spacing w:after="120"/>
              <w:rPr>
                <w:color w:val="000000" w:themeColor="text1"/>
                <w:sz w:val="21"/>
                <w:szCs w:val="21"/>
              </w:rPr>
            </w:pPr>
            <w:r w:rsidRPr="00AF2304">
              <w:rPr>
                <w:rFonts w:ascii="Calibri" w:eastAsia="Calibri" w:hAnsi="Calibri" w:cs="Calibri"/>
                <w:color w:val="000000" w:themeColor="text1"/>
                <w:sz w:val="21"/>
                <w:szCs w:val="21"/>
              </w:rPr>
              <w:t>End of Project Goal: The applicant should provide a summary of the end of project goal(s). At a minimum, each project must have one SMART end of project goal. The summary provided should be consistent with the SOPO.</w:t>
            </w:r>
          </w:p>
          <w:p w14:paraId="1BB0B6EA" w14:textId="12FF1A33" w:rsidR="00BF65D1" w:rsidRPr="0096590C" w:rsidRDefault="004E672B" w:rsidP="00F836F4">
            <w:pPr>
              <w:numPr>
                <w:ilvl w:val="0"/>
                <w:numId w:val="60"/>
              </w:numPr>
              <w:spacing w:after="120"/>
              <w:rPr>
                <w:color w:val="000000" w:themeColor="text1"/>
                <w:sz w:val="21"/>
                <w:szCs w:val="21"/>
              </w:rPr>
            </w:pPr>
            <w:r w:rsidRPr="00AF2304">
              <w:rPr>
                <w:rFonts w:ascii="Calibri" w:eastAsia="Calibri" w:hAnsi="Calibri" w:cs="Calibri"/>
                <w:color w:val="000000" w:themeColor="text1"/>
                <w:sz w:val="21"/>
                <w:szCs w:val="21"/>
              </w:rPr>
              <w:t>Project Schedule (Gantt Chart or similar): The applicant should provide a schedule for the entire project, including task and subtask durations, milestones, and Go/No-Go decision points.</w:t>
            </w:r>
          </w:p>
          <w:p w14:paraId="1D9F52CC" w14:textId="77777777" w:rsidR="0096590C" w:rsidRPr="0096590C" w:rsidRDefault="0096590C" w:rsidP="00F836F4">
            <w:pPr>
              <w:numPr>
                <w:ilvl w:val="0"/>
                <w:numId w:val="60"/>
              </w:numPr>
              <w:spacing w:after="120"/>
              <w:rPr>
                <w:rFonts w:eastAsia="TT13Et00" w:cstheme="minorHAnsi"/>
                <w:color w:val="000000" w:themeColor="text1"/>
                <w:sz w:val="21"/>
                <w:szCs w:val="21"/>
              </w:rPr>
            </w:pPr>
            <w:r w:rsidRPr="0096590C">
              <w:rPr>
                <w:rFonts w:eastAsia="TT13Et00" w:cstheme="minorHAnsi"/>
                <w:color w:val="000000" w:themeColor="text1"/>
                <w:sz w:val="21"/>
                <w:szCs w:val="21"/>
              </w:rPr>
              <w:t>Buy America Requirements for Infrastructure Projects:  Within the first 2 pages of the Workplan, include a</w:t>
            </w:r>
            <w:r w:rsidRPr="0096590C">
              <w:rPr>
                <w:rFonts w:eastAsia="Times New Roman"/>
                <w:color w:val="000000" w:themeColor="text1"/>
                <w:sz w:val="21"/>
                <w:szCs w:val="21"/>
              </w:rPr>
              <w:t xml:space="preserve"> short statement on whether the project will involve the construction, alteration, and/or repair of infrastructure in the United States. See Appendix D for applicable definitions and other information to inform this statement.</w:t>
            </w:r>
          </w:p>
          <w:p w14:paraId="779D6AB0" w14:textId="77777777" w:rsidR="003E3B5C" w:rsidRPr="00E50BC7" w:rsidRDefault="003E3B5C" w:rsidP="00F836F4">
            <w:pPr>
              <w:numPr>
                <w:ilvl w:val="0"/>
                <w:numId w:val="60"/>
              </w:numPr>
              <w:spacing w:after="120"/>
              <w:rPr>
                <w:rFonts w:eastAsia="TT13Et00" w:cstheme="minorHAnsi"/>
                <w:color w:val="000000" w:themeColor="text1"/>
                <w:sz w:val="21"/>
                <w:szCs w:val="21"/>
              </w:rPr>
            </w:pPr>
            <w:r w:rsidRPr="00E50BC7">
              <w:rPr>
                <w:rFonts w:eastAsia="TT13Et00" w:cstheme="minorHAnsi"/>
                <w:color w:val="000000" w:themeColor="text1"/>
                <w:sz w:val="21"/>
                <w:szCs w:val="21"/>
              </w:rPr>
              <w:t>Davis Bacon Act Requirements for Infrastructure Projects:  Within the first 2 pages of the Workplan, include a</w:t>
            </w:r>
            <w:r w:rsidRPr="00E50BC7">
              <w:rPr>
                <w:color w:val="000000" w:themeColor="text1"/>
                <w:sz w:val="21"/>
                <w:szCs w:val="21"/>
              </w:rPr>
              <w:t xml:space="preserve"> short statement on whether the project will involve the construction, alteration, and/or repair of infrastructure in the United States. See Section </w:t>
            </w:r>
            <w:proofErr w:type="spellStart"/>
            <w:r w:rsidRPr="00E50BC7">
              <w:rPr>
                <w:color w:val="000000" w:themeColor="text1"/>
                <w:sz w:val="21"/>
                <w:szCs w:val="21"/>
              </w:rPr>
              <w:t>K.viii</w:t>
            </w:r>
            <w:proofErr w:type="spellEnd"/>
            <w:r w:rsidRPr="00E50BC7">
              <w:rPr>
                <w:color w:val="000000" w:themeColor="text1"/>
                <w:sz w:val="21"/>
                <w:szCs w:val="21"/>
              </w:rPr>
              <w:t xml:space="preserve"> for applicable definitions and other information to inform this statement.</w:t>
            </w:r>
          </w:p>
          <w:p w14:paraId="6565F883" w14:textId="386931DB" w:rsidR="00BF65D1" w:rsidRPr="00AF2304" w:rsidRDefault="004E672B" w:rsidP="00F836F4">
            <w:pPr>
              <w:numPr>
                <w:ilvl w:val="0"/>
                <w:numId w:val="60"/>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Project Management: The applicant should discuss the team’s proposed management plan, including the following:</w:t>
            </w:r>
          </w:p>
          <w:p w14:paraId="13FB9AB3" w14:textId="29F589F2" w:rsidR="00BF65D1" w:rsidRPr="00AF2304" w:rsidRDefault="004E672B" w:rsidP="00F836F4">
            <w:pPr>
              <w:numPr>
                <w:ilvl w:val="1"/>
                <w:numId w:val="63"/>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The overall approach to and organization for managing the work</w:t>
            </w:r>
          </w:p>
          <w:p w14:paraId="366A8817" w14:textId="7C3A2FFC" w:rsidR="00BF65D1" w:rsidRPr="00AF2304" w:rsidRDefault="004E672B" w:rsidP="00F836F4">
            <w:pPr>
              <w:numPr>
                <w:ilvl w:val="1"/>
                <w:numId w:val="60"/>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The roles of each project team member</w:t>
            </w:r>
          </w:p>
          <w:p w14:paraId="2FF3A3A3" w14:textId="0183E47D" w:rsidR="00BF65D1" w:rsidRPr="00AF2304" w:rsidRDefault="004E672B" w:rsidP="00F836F4">
            <w:pPr>
              <w:numPr>
                <w:ilvl w:val="1"/>
                <w:numId w:val="60"/>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Any critical handoffs/interdependencies among project team members</w:t>
            </w:r>
          </w:p>
          <w:p w14:paraId="30D9706B" w14:textId="5966689D" w:rsidR="00BF65D1" w:rsidRPr="00AF2304" w:rsidRDefault="004E672B" w:rsidP="00F836F4">
            <w:pPr>
              <w:numPr>
                <w:ilvl w:val="1"/>
                <w:numId w:val="60"/>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The technical and management aspects of the management plan, including systems and practices, such as financial and project management practices</w:t>
            </w:r>
          </w:p>
          <w:p w14:paraId="20BA884C" w14:textId="530E192B" w:rsidR="00BF65D1" w:rsidRPr="00AF2304" w:rsidRDefault="004E672B" w:rsidP="00F836F4">
            <w:pPr>
              <w:numPr>
                <w:ilvl w:val="1"/>
                <w:numId w:val="60"/>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The approach to project risk management</w:t>
            </w:r>
            <w:r w:rsidR="003B5D26">
              <w:rPr>
                <w:rFonts w:ascii="Calibri" w:eastAsia="Calibri" w:hAnsi="Calibri" w:cs="Calibri"/>
                <w:color w:val="000000" w:themeColor="text1"/>
                <w:sz w:val="21"/>
                <w:szCs w:val="21"/>
              </w:rPr>
              <w:t>, including labor disputes</w:t>
            </w:r>
          </w:p>
          <w:p w14:paraId="2F0B93C4" w14:textId="77777777" w:rsidR="00BF65D1" w:rsidRPr="00AF2304" w:rsidRDefault="004E672B" w:rsidP="00F836F4">
            <w:pPr>
              <w:numPr>
                <w:ilvl w:val="1"/>
                <w:numId w:val="60"/>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A description of how project changes will be handled</w:t>
            </w:r>
          </w:p>
          <w:p w14:paraId="6A309CF8" w14:textId="77777777" w:rsidR="00BF65D1" w:rsidRPr="00AF2304" w:rsidRDefault="004E672B" w:rsidP="00F836F4">
            <w:pPr>
              <w:numPr>
                <w:ilvl w:val="1"/>
                <w:numId w:val="60"/>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If applicable, the approach to Quality Assurance/Control</w:t>
            </w:r>
          </w:p>
          <w:p w14:paraId="12185EFF" w14:textId="5EE86661" w:rsidR="00BF65D1" w:rsidRPr="003B5D26" w:rsidRDefault="004E672B" w:rsidP="00F836F4">
            <w:pPr>
              <w:numPr>
                <w:ilvl w:val="1"/>
                <w:numId w:val="60"/>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How communications will be maintained among project team members</w:t>
            </w:r>
          </w:p>
          <w:p w14:paraId="14AC7653" w14:textId="40876484" w:rsidR="003B5D26" w:rsidRPr="00AF2304" w:rsidRDefault="003B5D26" w:rsidP="00F836F4">
            <w:pPr>
              <w:numPr>
                <w:ilvl w:val="1"/>
                <w:numId w:val="60"/>
              </w:numPr>
              <w:spacing w:after="120"/>
              <w:rPr>
                <w:rFonts w:eastAsia="Times New Roman"/>
                <w:color w:val="000000" w:themeColor="text1"/>
                <w:sz w:val="21"/>
                <w:szCs w:val="21"/>
              </w:rPr>
            </w:pPr>
            <w:r>
              <w:rPr>
                <w:rFonts w:ascii="Calibri" w:eastAsia="Calibri" w:hAnsi="Calibri" w:cs="Calibri"/>
                <w:color w:val="000000" w:themeColor="text1"/>
                <w:sz w:val="21"/>
                <w:szCs w:val="21"/>
              </w:rPr>
              <w:t>How community engagement will be managed over the life of the project</w:t>
            </w:r>
          </w:p>
          <w:p w14:paraId="4C011B80" w14:textId="36AA83A3" w:rsidR="00BF65D1" w:rsidRPr="00AF2304" w:rsidRDefault="004E672B" w:rsidP="00F836F4">
            <w:pPr>
              <w:numPr>
                <w:ilvl w:val="0"/>
                <w:numId w:val="60"/>
              </w:numPr>
              <w:spacing w:after="120"/>
              <w:rPr>
                <w:color w:val="000000" w:themeColor="text1"/>
                <w:sz w:val="21"/>
                <w:szCs w:val="21"/>
              </w:rPr>
            </w:pPr>
            <w:r w:rsidRPr="00AF2304">
              <w:rPr>
                <w:rFonts w:ascii="Calibri" w:eastAsia="Calibri" w:hAnsi="Calibri" w:cs="Calibri"/>
                <w:color w:val="000000" w:themeColor="text1"/>
                <w:sz w:val="21"/>
                <w:szCs w:val="21"/>
              </w:rPr>
              <w:t>Market Transformation Plan: The applicant should provide a market transformation plan, including the following:</w:t>
            </w:r>
          </w:p>
          <w:p w14:paraId="6188E68C" w14:textId="4128F31B" w:rsidR="00BF65D1" w:rsidRPr="00AF2304" w:rsidRDefault="004E672B" w:rsidP="00F836F4">
            <w:pPr>
              <w:numPr>
                <w:ilvl w:val="1"/>
                <w:numId w:val="64"/>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Identification of target market, competitors, and distribution channels for proposed technology along with known or perceived barriers to market penetration, including a mitigation plan</w:t>
            </w:r>
          </w:p>
          <w:p w14:paraId="3FFFD2FD" w14:textId="09FB51C3" w:rsidR="00BF65D1" w:rsidRPr="00AF2304" w:rsidRDefault="004E672B" w:rsidP="00F836F4">
            <w:pPr>
              <w:numPr>
                <w:ilvl w:val="1"/>
                <w:numId w:val="61"/>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 xml:space="preserve">Identification of a product development and/or service plan, commercialization timeline, </w:t>
            </w:r>
            <w:r w:rsidR="003B5D26">
              <w:rPr>
                <w:rFonts w:ascii="Calibri" w:eastAsia="Calibri" w:hAnsi="Calibri" w:cs="Calibri"/>
                <w:color w:val="000000" w:themeColor="text1"/>
                <w:sz w:val="21"/>
                <w:szCs w:val="21"/>
              </w:rPr>
              <w:t xml:space="preserve">workforce development, </w:t>
            </w:r>
            <w:r w:rsidRPr="00AF2304">
              <w:rPr>
                <w:rFonts w:ascii="Calibri" w:eastAsia="Calibri" w:hAnsi="Calibri" w:cs="Calibri"/>
                <w:color w:val="000000" w:themeColor="text1"/>
                <w:sz w:val="21"/>
                <w:szCs w:val="21"/>
              </w:rPr>
              <w:t>financing, product marketing, legal/regulatory considerations including intellectual property, infrastructure requirements, data dissemination, and product distribution.</w:t>
            </w:r>
          </w:p>
        </w:tc>
      </w:tr>
      <w:tr w:rsidR="00BF65D1" w14:paraId="57108594" w14:textId="77777777" w:rsidTr="00ED3591">
        <w:tc>
          <w:tcPr>
            <w:tcW w:w="2319" w:type="dxa"/>
            <w:shd w:val="clear" w:color="auto" w:fill="EAF1DD" w:themeFill="accent3" w:themeFillTint="33"/>
          </w:tcPr>
          <w:p w14:paraId="0468428F" w14:textId="28F1C5D7" w:rsidR="006A24B8" w:rsidRPr="00D4476D" w:rsidRDefault="004E672B" w:rsidP="00D4476D">
            <w:pPr>
              <w:rPr>
                <w:rFonts w:eastAsia="Times New Roman"/>
                <w:color w:val="000000" w:themeColor="text1"/>
                <w:sz w:val="21"/>
                <w:szCs w:val="21"/>
              </w:rPr>
            </w:pPr>
            <w:r w:rsidRPr="00AF2304">
              <w:rPr>
                <w:b/>
                <w:bCs/>
                <w:color w:val="000000" w:themeColor="text1"/>
                <w:sz w:val="21"/>
                <w:szCs w:val="21"/>
              </w:rPr>
              <w:t>Technical Qualifications and Resources</w:t>
            </w:r>
            <w:r w:rsidRPr="00AF2304">
              <w:rPr>
                <w:color w:val="000000" w:themeColor="text1"/>
                <w:sz w:val="21"/>
                <w:szCs w:val="21"/>
              </w:rPr>
              <w:t xml:space="preserve"> (Approximately 20% of the Technical Volume)</w:t>
            </w:r>
          </w:p>
        </w:tc>
        <w:tc>
          <w:tcPr>
            <w:tcW w:w="6681" w:type="dxa"/>
          </w:tcPr>
          <w:p w14:paraId="2ECE1F19" w14:textId="77777777" w:rsidR="006A24B8" w:rsidRPr="00AF2304" w:rsidRDefault="004E672B" w:rsidP="00120F39">
            <w:p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The Technical Qualifications and Resources should contain the following information:</w:t>
            </w:r>
          </w:p>
          <w:p w14:paraId="348BCFEF" w14:textId="097C4C46" w:rsidR="006A24B8" w:rsidRPr="003B5D26" w:rsidRDefault="004E672B" w:rsidP="00F836F4">
            <w:pPr>
              <w:numPr>
                <w:ilvl w:val="0"/>
                <w:numId w:val="66"/>
              </w:numPr>
              <w:spacing w:after="120"/>
              <w:rPr>
                <w:rFonts w:eastAsia="Times New Roman"/>
                <w:color w:val="000000" w:themeColor="text1"/>
                <w:sz w:val="21"/>
                <w:szCs w:val="21"/>
              </w:rPr>
            </w:pPr>
            <w:r>
              <w:rPr>
                <w:rFonts w:ascii="Calibri" w:eastAsia="Calibri" w:hAnsi="Calibri" w:cs="Calibri"/>
                <w:color w:val="000000" w:themeColor="text1"/>
                <w:sz w:val="21"/>
                <w:szCs w:val="21"/>
              </w:rPr>
              <w:t>Describe the p</w:t>
            </w:r>
            <w:r w:rsidRPr="00AF2304">
              <w:rPr>
                <w:rFonts w:ascii="Calibri" w:eastAsia="Calibri" w:hAnsi="Calibri" w:cs="Calibri"/>
                <w:color w:val="000000" w:themeColor="text1"/>
                <w:sz w:val="21"/>
                <w:szCs w:val="21"/>
              </w:rPr>
              <w:t xml:space="preserve">roject </w:t>
            </w:r>
            <w:r>
              <w:rPr>
                <w:rFonts w:ascii="Calibri" w:eastAsia="Calibri" w:hAnsi="Calibri" w:cs="Calibri"/>
                <w:color w:val="000000" w:themeColor="text1"/>
                <w:sz w:val="21"/>
                <w:szCs w:val="21"/>
              </w:rPr>
              <w:t>t</w:t>
            </w:r>
            <w:r w:rsidRPr="00AF2304">
              <w:rPr>
                <w:rFonts w:ascii="Calibri" w:eastAsia="Calibri" w:hAnsi="Calibri" w:cs="Calibri"/>
                <w:color w:val="000000" w:themeColor="text1"/>
                <w:sz w:val="21"/>
                <w:szCs w:val="21"/>
              </w:rPr>
              <w:t xml:space="preserve">eam’s unique qualifications and expertise, including those of key </w:t>
            </w:r>
            <w:r w:rsidR="001A6434">
              <w:rPr>
                <w:rFonts w:ascii="Calibri" w:eastAsia="Calibri" w:hAnsi="Calibri" w:cs="Calibri"/>
                <w:color w:val="000000" w:themeColor="text1"/>
                <w:sz w:val="21"/>
                <w:szCs w:val="21"/>
              </w:rPr>
              <w:t>s</w:t>
            </w:r>
            <w:r w:rsidR="001A6434" w:rsidRPr="00AF2304">
              <w:rPr>
                <w:rFonts w:ascii="Calibri" w:eastAsia="Calibri" w:hAnsi="Calibri" w:cs="Calibri"/>
                <w:color w:val="000000" w:themeColor="text1"/>
                <w:sz w:val="21"/>
                <w:szCs w:val="21"/>
              </w:rPr>
              <w:t>ubrecipients</w:t>
            </w:r>
            <w:r w:rsidRPr="00AF2304">
              <w:rPr>
                <w:rFonts w:ascii="Calibri" w:eastAsia="Calibri" w:hAnsi="Calibri" w:cs="Calibri"/>
                <w:color w:val="000000" w:themeColor="text1"/>
                <w:sz w:val="21"/>
                <w:szCs w:val="21"/>
              </w:rPr>
              <w:t>.</w:t>
            </w:r>
          </w:p>
          <w:p w14:paraId="0086C49F" w14:textId="24363E19" w:rsidR="003B5D26" w:rsidRPr="00AF2304" w:rsidRDefault="003B5D26" w:rsidP="00F836F4">
            <w:pPr>
              <w:numPr>
                <w:ilvl w:val="0"/>
                <w:numId w:val="66"/>
              </w:numPr>
              <w:spacing w:after="120"/>
              <w:rPr>
                <w:rFonts w:eastAsia="Times New Roman"/>
                <w:color w:val="000000" w:themeColor="text1"/>
                <w:sz w:val="21"/>
                <w:szCs w:val="21"/>
              </w:rPr>
            </w:pPr>
            <w:r>
              <w:rPr>
                <w:rFonts w:ascii="Calibri" w:eastAsia="Calibri" w:hAnsi="Calibri" w:cs="Calibri"/>
                <w:color w:val="000000" w:themeColor="text1"/>
                <w:sz w:val="21"/>
                <w:szCs w:val="21"/>
              </w:rPr>
              <w:t>Describe required skill certifications and credentials for construction or production workforce.</w:t>
            </w:r>
          </w:p>
          <w:p w14:paraId="72B4D318" w14:textId="2FE6480C" w:rsidR="006A24B8" w:rsidRPr="00AF2304" w:rsidRDefault="004E672B" w:rsidP="00F836F4">
            <w:pPr>
              <w:numPr>
                <w:ilvl w:val="0"/>
                <w:numId w:val="65"/>
              </w:numPr>
              <w:spacing w:after="120"/>
              <w:rPr>
                <w:rFonts w:eastAsia="Times New Roman"/>
                <w:color w:val="000000" w:themeColor="text1"/>
                <w:sz w:val="21"/>
                <w:szCs w:val="21"/>
              </w:rPr>
            </w:pPr>
            <w:r>
              <w:rPr>
                <w:rFonts w:ascii="Calibri" w:eastAsia="Calibri" w:hAnsi="Calibri" w:cs="Calibri"/>
                <w:color w:val="000000" w:themeColor="text1"/>
                <w:sz w:val="21"/>
                <w:szCs w:val="21"/>
              </w:rPr>
              <w:t>Describe the project t</w:t>
            </w:r>
            <w:r w:rsidRPr="00AF2304">
              <w:rPr>
                <w:rFonts w:ascii="Calibri" w:eastAsia="Calibri" w:hAnsi="Calibri" w:cs="Calibri"/>
                <w:color w:val="000000" w:themeColor="text1"/>
                <w:sz w:val="21"/>
                <w:szCs w:val="21"/>
              </w:rPr>
              <w:t>eam’s existing equipment and facilities that will facilitate the successful completion of the proposed project; include a justification of any new equipment or facilities requested as part of the project.</w:t>
            </w:r>
          </w:p>
          <w:p w14:paraId="1E1346AB" w14:textId="77777777" w:rsidR="006A24B8" w:rsidRPr="00AF2304" w:rsidRDefault="004E672B" w:rsidP="00F836F4">
            <w:pPr>
              <w:numPr>
                <w:ilvl w:val="0"/>
                <w:numId w:val="65"/>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This section should also include relevant, previous work efforts, demonstrated innovations, and how these enable the applicant to achieve the project objectives.</w:t>
            </w:r>
          </w:p>
          <w:p w14:paraId="648AC6D7" w14:textId="21AFD709" w:rsidR="006A24B8" w:rsidRPr="00AF2304" w:rsidRDefault="004E672B" w:rsidP="00F836F4">
            <w:pPr>
              <w:numPr>
                <w:ilvl w:val="0"/>
                <w:numId w:val="65"/>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 xml:space="preserve">Describe the time commitment of the key team </w:t>
            </w:r>
            <w:r w:rsidR="00AB7451">
              <w:rPr>
                <w:rFonts w:ascii="Calibri" w:eastAsia="Calibri" w:hAnsi="Calibri" w:cs="Calibri"/>
                <w:color w:val="000000" w:themeColor="text1"/>
                <w:sz w:val="21"/>
                <w:szCs w:val="21"/>
              </w:rPr>
              <w:t>members to support the project.</w:t>
            </w:r>
          </w:p>
          <w:p w14:paraId="4D1C7759" w14:textId="1900C90A" w:rsidR="006A24B8" w:rsidRPr="00AF2304" w:rsidRDefault="004E672B" w:rsidP="00F836F4">
            <w:pPr>
              <w:numPr>
                <w:ilvl w:val="0"/>
                <w:numId w:val="65"/>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 xml:space="preserve">Describe the technical services to be provided by </w:t>
            </w:r>
            <w:r w:rsidR="00AB7451">
              <w:rPr>
                <w:rFonts w:ascii="Calibri" w:eastAsia="Calibri" w:hAnsi="Calibri" w:cs="Calibri"/>
                <w:color w:val="000000" w:themeColor="text1"/>
                <w:sz w:val="21"/>
                <w:szCs w:val="21"/>
              </w:rPr>
              <w:t>DOE/NNSA FFRDCs, if applicable.</w:t>
            </w:r>
          </w:p>
          <w:p w14:paraId="12F1D71A" w14:textId="4688DF54" w:rsidR="006A24B8" w:rsidRPr="00AF2304" w:rsidRDefault="004E672B" w:rsidP="00F836F4">
            <w:pPr>
              <w:numPr>
                <w:ilvl w:val="0"/>
                <w:numId w:val="65"/>
              </w:numPr>
              <w:spacing w:after="120"/>
              <w:rPr>
                <w:rFonts w:eastAsia="Times New Roman"/>
                <w:color w:val="000000" w:themeColor="text1"/>
                <w:sz w:val="21"/>
                <w:szCs w:val="21"/>
              </w:rPr>
            </w:pPr>
            <w:r w:rsidRPr="00027284">
              <w:rPr>
                <w:rFonts w:ascii="Calibri" w:eastAsia="Calibri" w:hAnsi="Calibri" w:cs="Calibri"/>
                <w:color w:val="000000" w:themeColor="text1"/>
                <w:sz w:val="21"/>
                <w:szCs w:val="21"/>
              </w:rPr>
              <w:t>For multi-organizational or multi-investigator projects, describe succinctly:</w:t>
            </w:r>
          </w:p>
          <w:p w14:paraId="62D5CAFF" w14:textId="4A415EB0" w:rsidR="006A24B8" w:rsidRPr="00AF2304" w:rsidRDefault="004E672B" w:rsidP="00F836F4">
            <w:pPr>
              <w:numPr>
                <w:ilvl w:val="1"/>
                <w:numId w:val="67"/>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 xml:space="preserve">The roles and the work to be performed by each PI and </w:t>
            </w:r>
            <w:r w:rsidR="007E6E0D">
              <w:rPr>
                <w:rFonts w:ascii="Calibri" w:eastAsia="Calibri" w:hAnsi="Calibri" w:cs="Calibri"/>
                <w:color w:val="000000" w:themeColor="text1"/>
                <w:sz w:val="21"/>
                <w:szCs w:val="21"/>
              </w:rPr>
              <w:t xml:space="preserve">senior/key </w:t>
            </w:r>
            <w:proofErr w:type="gramStart"/>
            <w:r w:rsidR="007E6E0D">
              <w:rPr>
                <w:rFonts w:ascii="Calibri" w:eastAsia="Calibri" w:hAnsi="Calibri" w:cs="Calibri"/>
                <w:color w:val="000000" w:themeColor="text1"/>
                <w:sz w:val="21"/>
                <w:szCs w:val="21"/>
              </w:rPr>
              <w:t>personnel</w:t>
            </w:r>
            <w:r w:rsidRPr="00AF2304">
              <w:rPr>
                <w:rFonts w:ascii="Calibri" w:eastAsia="Calibri" w:hAnsi="Calibri" w:cs="Calibri"/>
                <w:color w:val="000000" w:themeColor="text1"/>
                <w:sz w:val="21"/>
                <w:szCs w:val="21"/>
              </w:rPr>
              <w:t>;</w:t>
            </w:r>
            <w:proofErr w:type="gramEnd"/>
          </w:p>
          <w:p w14:paraId="3ED98E93" w14:textId="4FF913D5" w:rsidR="006A24B8" w:rsidRPr="003B5D26" w:rsidRDefault="004E672B" w:rsidP="00F836F4">
            <w:pPr>
              <w:numPr>
                <w:ilvl w:val="1"/>
                <w:numId w:val="65"/>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 xml:space="preserve">Business agreements between the applicant and each PI and </w:t>
            </w:r>
            <w:r w:rsidR="007E6E0D">
              <w:rPr>
                <w:rFonts w:ascii="Calibri" w:eastAsia="Calibri" w:hAnsi="Calibri" w:cs="Calibri"/>
                <w:color w:val="000000" w:themeColor="text1"/>
                <w:sz w:val="21"/>
                <w:szCs w:val="21"/>
              </w:rPr>
              <w:t xml:space="preserve">senior/key </w:t>
            </w:r>
            <w:proofErr w:type="gramStart"/>
            <w:r w:rsidR="007E6E0D">
              <w:rPr>
                <w:rFonts w:ascii="Calibri" w:eastAsia="Calibri" w:hAnsi="Calibri" w:cs="Calibri"/>
                <w:color w:val="000000" w:themeColor="text1"/>
                <w:sz w:val="21"/>
                <w:szCs w:val="21"/>
              </w:rPr>
              <w:t>personnel</w:t>
            </w:r>
            <w:r w:rsidRPr="00AF2304">
              <w:rPr>
                <w:rFonts w:ascii="Calibri" w:eastAsia="Calibri" w:hAnsi="Calibri" w:cs="Calibri"/>
                <w:color w:val="000000" w:themeColor="text1"/>
                <w:sz w:val="21"/>
                <w:szCs w:val="21"/>
              </w:rPr>
              <w:t>;</w:t>
            </w:r>
            <w:proofErr w:type="gramEnd"/>
          </w:p>
          <w:p w14:paraId="217AA88C" w14:textId="6696C6AB" w:rsidR="003B5D26" w:rsidRDefault="003B5D26" w:rsidP="00F836F4">
            <w:pPr>
              <w:numPr>
                <w:ilvl w:val="1"/>
                <w:numId w:val="65"/>
              </w:numPr>
              <w:spacing w:after="120"/>
              <w:rPr>
                <w:rFonts w:eastAsia="Times New Roman"/>
                <w:color w:val="000000" w:themeColor="text1"/>
                <w:sz w:val="21"/>
                <w:szCs w:val="21"/>
              </w:rPr>
            </w:pPr>
            <w:r>
              <w:rPr>
                <w:rFonts w:eastAsia="Times New Roman"/>
                <w:color w:val="000000" w:themeColor="text1"/>
                <w:sz w:val="21"/>
                <w:szCs w:val="21"/>
              </w:rPr>
              <w:t xml:space="preserve">Relationships with relevant labor </w:t>
            </w:r>
            <w:proofErr w:type="gramStart"/>
            <w:r>
              <w:rPr>
                <w:rFonts w:eastAsia="Times New Roman"/>
                <w:color w:val="000000" w:themeColor="text1"/>
                <w:sz w:val="21"/>
                <w:szCs w:val="21"/>
              </w:rPr>
              <w:t>unions;</w:t>
            </w:r>
            <w:proofErr w:type="gramEnd"/>
          </w:p>
          <w:p w14:paraId="41507FB6" w14:textId="452FAA7B" w:rsidR="003B5D26" w:rsidRPr="00AF2304" w:rsidRDefault="003B5D26" w:rsidP="00F836F4">
            <w:pPr>
              <w:numPr>
                <w:ilvl w:val="1"/>
                <w:numId w:val="65"/>
              </w:numPr>
              <w:spacing w:after="120"/>
              <w:rPr>
                <w:rFonts w:eastAsia="Times New Roman"/>
                <w:color w:val="000000" w:themeColor="text1"/>
                <w:sz w:val="21"/>
                <w:szCs w:val="21"/>
              </w:rPr>
            </w:pPr>
            <w:r>
              <w:rPr>
                <w:rFonts w:eastAsia="Times New Roman"/>
                <w:color w:val="000000" w:themeColor="text1"/>
                <w:sz w:val="21"/>
                <w:szCs w:val="21"/>
              </w:rPr>
              <w:t xml:space="preserve">Type of employment relationship with construction or production workforce, i.e., direct hires, contracted workers, temporary workers, </w:t>
            </w:r>
            <w:proofErr w:type="gramStart"/>
            <w:r>
              <w:rPr>
                <w:rFonts w:eastAsia="Times New Roman"/>
                <w:color w:val="000000" w:themeColor="text1"/>
                <w:sz w:val="21"/>
                <w:szCs w:val="21"/>
              </w:rPr>
              <w:t>etc.;</w:t>
            </w:r>
            <w:proofErr w:type="gramEnd"/>
          </w:p>
          <w:p w14:paraId="3B3F737F" w14:textId="77777777" w:rsidR="006A24B8" w:rsidRPr="00AF2304" w:rsidRDefault="004E672B" w:rsidP="00F836F4">
            <w:pPr>
              <w:numPr>
                <w:ilvl w:val="1"/>
                <w:numId w:val="65"/>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 xml:space="preserve">How the various efforts will be integrated and </w:t>
            </w:r>
            <w:proofErr w:type="gramStart"/>
            <w:r w:rsidRPr="00AF2304">
              <w:rPr>
                <w:rFonts w:ascii="Calibri" w:eastAsia="Calibri" w:hAnsi="Calibri" w:cs="Calibri"/>
                <w:color w:val="000000" w:themeColor="text1"/>
                <w:sz w:val="21"/>
                <w:szCs w:val="21"/>
              </w:rPr>
              <w:t>managed;</w:t>
            </w:r>
            <w:proofErr w:type="gramEnd"/>
          </w:p>
          <w:p w14:paraId="0C3E9DAA" w14:textId="77777777" w:rsidR="006A24B8" w:rsidRPr="00AF2304" w:rsidRDefault="004E672B" w:rsidP="00F836F4">
            <w:pPr>
              <w:numPr>
                <w:ilvl w:val="1"/>
                <w:numId w:val="65"/>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 xml:space="preserve">Process for making decisions on scientific/technical </w:t>
            </w:r>
            <w:proofErr w:type="gramStart"/>
            <w:r w:rsidRPr="00AF2304">
              <w:rPr>
                <w:rFonts w:ascii="Calibri" w:eastAsia="Calibri" w:hAnsi="Calibri" w:cs="Calibri"/>
                <w:color w:val="000000" w:themeColor="text1"/>
                <w:sz w:val="21"/>
                <w:szCs w:val="21"/>
              </w:rPr>
              <w:t>direction;</w:t>
            </w:r>
            <w:proofErr w:type="gramEnd"/>
          </w:p>
          <w:p w14:paraId="59334405" w14:textId="77777777" w:rsidR="006A24B8" w:rsidRPr="00AF2304" w:rsidRDefault="004E672B" w:rsidP="00F836F4">
            <w:pPr>
              <w:numPr>
                <w:ilvl w:val="1"/>
                <w:numId w:val="65"/>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 xml:space="preserve">Publication </w:t>
            </w:r>
            <w:proofErr w:type="gramStart"/>
            <w:r w:rsidRPr="00AF2304">
              <w:rPr>
                <w:rFonts w:ascii="Calibri" w:eastAsia="Calibri" w:hAnsi="Calibri" w:cs="Calibri"/>
                <w:color w:val="000000" w:themeColor="text1"/>
                <w:sz w:val="21"/>
                <w:szCs w:val="21"/>
              </w:rPr>
              <w:t>arrangements;</w:t>
            </w:r>
            <w:proofErr w:type="gramEnd"/>
          </w:p>
          <w:p w14:paraId="1EC555AD" w14:textId="77777777" w:rsidR="006A24B8" w:rsidRPr="00AF2304" w:rsidRDefault="004E672B" w:rsidP="00F836F4">
            <w:pPr>
              <w:numPr>
                <w:ilvl w:val="1"/>
                <w:numId w:val="65"/>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Intellectual Property issues; and</w:t>
            </w:r>
          </w:p>
          <w:p w14:paraId="78D9D014" w14:textId="5571DFE2" w:rsidR="006A24B8" w:rsidRPr="007646C9" w:rsidRDefault="004E672B" w:rsidP="00F836F4">
            <w:pPr>
              <w:numPr>
                <w:ilvl w:val="1"/>
                <w:numId w:val="65"/>
              </w:numPr>
              <w:spacing w:after="120"/>
              <w:rPr>
                <w:rFonts w:eastAsia="Times New Roman"/>
                <w:color w:val="000000" w:themeColor="text1"/>
                <w:sz w:val="21"/>
                <w:szCs w:val="21"/>
              </w:rPr>
            </w:pPr>
            <w:r w:rsidRPr="00AF2304">
              <w:rPr>
                <w:rFonts w:ascii="Calibri" w:eastAsia="Calibri" w:hAnsi="Calibri" w:cs="Calibri"/>
                <w:color w:val="000000" w:themeColor="text1"/>
                <w:sz w:val="21"/>
                <w:szCs w:val="21"/>
              </w:rPr>
              <w:t>Communication plans</w:t>
            </w:r>
          </w:p>
        </w:tc>
      </w:tr>
    </w:tbl>
    <w:p w14:paraId="61EFFB3C" w14:textId="33F1ED5C" w:rsidR="006A24B8" w:rsidRPr="008858B4" w:rsidRDefault="006A24B8" w:rsidP="008858B4"/>
    <w:p w14:paraId="4E861EB0" w14:textId="3499BC38" w:rsidR="008C2429" w:rsidRDefault="004E672B" w:rsidP="00F836F4">
      <w:pPr>
        <w:pStyle w:val="FOAHeading3"/>
        <w:numPr>
          <w:ilvl w:val="0"/>
          <w:numId w:val="31"/>
        </w:numPr>
        <w:ind w:left="1440"/>
        <w:outlineLvl w:val="2"/>
      </w:pPr>
      <w:bookmarkStart w:id="203" w:name="_Toc109921690"/>
      <w:bookmarkStart w:id="204" w:name="_Hlk87959336"/>
      <w:bookmarkStart w:id="205" w:name="_Toc519602351"/>
      <w:r>
        <w:t>Resumes</w:t>
      </w:r>
      <w:bookmarkEnd w:id="203"/>
    </w:p>
    <w:p w14:paraId="29AB1BC6" w14:textId="66BA986F" w:rsidR="0003625A" w:rsidRDefault="0003625A" w:rsidP="00E42BDB">
      <w:pPr>
        <w:ind w:left="1440"/>
      </w:pPr>
      <w:r>
        <w:t xml:space="preserve">A resume provides information that can be used by reviewers to evaluate the individual’s skills, experience, and potential for leadership within the scientific community. Applicants are required to </w:t>
      </w:r>
      <w:r w:rsidRPr="00E42BDB">
        <w:t>submit two-page resumes</w:t>
      </w:r>
      <w:r w:rsidRPr="008C2429">
        <w:t xml:space="preserve"> for </w:t>
      </w:r>
      <w:r>
        <w:t xml:space="preserve">the Principal Investigator and all </w:t>
      </w:r>
      <w:r w:rsidR="00BB1856">
        <w:t>Senior/Key Personnel</w:t>
      </w:r>
      <w:r>
        <w:t xml:space="preserve"> that include the following:</w:t>
      </w:r>
    </w:p>
    <w:p w14:paraId="20D3ECDE" w14:textId="77777777" w:rsidR="0003625A" w:rsidRDefault="0003625A" w:rsidP="00F836F4">
      <w:pPr>
        <w:pStyle w:val="ListParagraph"/>
        <w:numPr>
          <w:ilvl w:val="0"/>
          <w:numId w:val="84"/>
        </w:numPr>
      </w:pPr>
      <w:r>
        <w:t xml:space="preserve">Contact </w:t>
      </w:r>
      <w:proofErr w:type="gramStart"/>
      <w:r>
        <w:t>Information;</w:t>
      </w:r>
      <w:proofErr w:type="gramEnd"/>
    </w:p>
    <w:p w14:paraId="5C7FD943" w14:textId="5F3559BF" w:rsidR="0003625A" w:rsidRDefault="0003625A" w:rsidP="00F836F4">
      <w:pPr>
        <w:pStyle w:val="ListParagraph"/>
        <w:numPr>
          <w:ilvl w:val="0"/>
          <w:numId w:val="84"/>
        </w:numPr>
      </w:pPr>
      <w:r>
        <w:t>Education and training: Provide institution, major/area, degree, and year for undergraduate, graduate, and postdoctoral training</w:t>
      </w:r>
      <w:r w:rsidR="00B32E16">
        <w:t xml:space="preserve"> </w:t>
      </w:r>
      <w:r w:rsidR="00B32E16" w:rsidRPr="007854D2">
        <w:t xml:space="preserve">including a </w:t>
      </w:r>
      <w:r w:rsidR="00B32E16" w:rsidRPr="00B32E16">
        <w:t xml:space="preserve">certification or graduate credential for a Registered Apprenticeship or Labor Management </w:t>
      </w:r>
      <w:proofErr w:type="gramStart"/>
      <w:r w:rsidR="00B32E16" w:rsidRPr="00B32E16">
        <w:t>Partnership</w:t>
      </w:r>
      <w:r w:rsidRPr="00B32E16">
        <w:t>;</w:t>
      </w:r>
      <w:proofErr w:type="gramEnd"/>
    </w:p>
    <w:p w14:paraId="12911118" w14:textId="77777777" w:rsidR="0003625A" w:rsidRDefault="0003625A" w:rsidP="00F836F4">
      <w:pPr>
        <w:pStyle w:val="ListParagraph"/>
        <w:numPr>
          <w:ilvl w:val="0"/>
          <w:numId w:val="84"/>
        </w:numPr>
      </w:pPr>
      <w:r>
        <w:t xml:space="preserve">Research and Professional Experience: Beginning with the current position, list professional/academic positions in chronological order with a brief description. List all current academic, professional, or institutional appointments, foreign or domestic, at the applicant institution or elsewhere, whether or not remuneration is received, and, whether full-time, part-time, or </w:t>
      </w:r>
      <w:proofErr w:type="gramStart"/>
      <w:r>
        <w:t>voluntary;</w:t>
      </w:r>
      <w:proofErr w:type="gramEnd"/>
    </w:p>
    <w:p w14:paraId="71B747B9" w14:textId="77777777" w:rsidR="0003625A" w:rsidRDefault="0003625A" w:rsidP="00F836F4">
      <w:pPr>
        <w:pStyle w:val="ListParagraph"/>
        <w:numPr>
          <w:ilvl w:val="0"/>
          <w:numId w:val="84"/>
        </w:numPr>
      </w:pPr>
      <w:r w:rsidRPr="00700C95">
        <w:t xml:space="preserve">Awards and </w:t>
      </w:r>
      <w:proofErr w:type="gramStart"/>
      <w:r w:rsidRPr="00700C95">
        <w:t>honors</w:t>
      </w:r>
      <w:r>
        <w:t>;</w:t>
      </w:r>
      <w:proofErr w:type="gramEnd"/>
    </w:p>
    <w:p w14:paraId="44068978" w14:textId="77777777" w:rsidR="0003625A" w:rsidRDefault="0003625A" w:rsidP="00F836F4">
      <w:pPr>
        <w:pStyle w:val="ListParagraph"/>
        <w:numPr>
          <w:ilvl w:val="0"/>
          <w:numId w:val="84"/>
        </w:numPr>
      </w:pPr>
      <w:r>
        <w:t xml:space="preserve">A list of up to 10 publications most closely related to the proposed project. For each publication, identify the names of all authors (in the same sequence in which they appear in the publication), the article title, book or journal title, volume number, page numbers, year of publication, and website address if available electronically. Patents, copyrights, and software systems developed may be provided in addition to or substituted for publications. An abbreviated style such as the Physical Review Letters (PRL) convention for citations (list only the first author) may be used for publications with more than 10 </w:t>
      </w:r>
      <w:proofErr w:type="gramStart"/>
      <w:r>
        <w:t>authors;</w:t>
      </w:r>
      <w:proofErr w:type="gramEnd"/>
      <w:r>
        <w:t xml:space="preserve"> and</w:t>
      </w:r>
    </w:p>
    <w:p w14:paraId="5BA6D92D" w14:textId="7B92A666" w:rsidR="0003625A" w:rsidRDefault="0003625A" w:rsidP="00F836F4">
      <w:pPr>
        <w:pStyle w:val="ListParagraph"/>
        <w:numPr>
          <w:ilvl w:val="0"/>
          <w:numId w:val="84"/>
        </w:numPr>
      </w:pPr>
      <w:r>
        <w:t xml:space="preserve">Synergistic Activities: List up to five professional and scholarly activities related to the proposed effort. </w:t>
      </w:r>
    </w:p>
    <w:p w14:paraId="7955E56F" w14:textId="77777777" w:rsidR="0003625A" w:rsidRDefault="0003625A" w:rsidP="0003625A">
      <w:pPr>
        <w:ind w:left="1440"/>
      </w:pPr>
    </w:p>
    <w:p w14:paraId="2AE6768E" w14:textId="287A5D31" w:rsidR="0003625A" w:rsidRDefault="0003625A" w:rsidP="0003625A">
      <w:pPr>
        <w:ind w:left="1440"/>
      </w:pPr>
      <w:r w:rsidRPr="008858B4">
        <w:t xml:space="preserve">Save the </w:t>
      </w:r>
      <w:r>
        <w:t>resumes</w:t>
      </w:r>
      <w:r w:rsidRPr="008858B4">
        <w:t xml:space="preserve"> in a single</w:t>
      </w:r>
      <w:r>
        <w:t xml:space="preserve"> PDF </w:t>
      </w:r>
      <w:r w:rsidRPr="008858B4">
        <w:t>file</w:t>
      </w:r>
      <w:r>
        <w:t xml:space="preserve"> </w:t>
      </w:r>
      <w:r w:rsidRPr="0003625A">
        <w:t>using the following convention for the title “</w:t>
      </w:r>
      <w:proofErr w:type="spellStart"/>
      <w:r w:rsidRPr="0003625A">
        <w:t>ControlNumber_LeadOrganization_Resumes</w:t>
      </w:r>
      <w:proofErr w:type="spellEnd"/>
      <w:r w:rsidRPr="0003625A">
        <w:t>”</w:t>
      </w:r>
      <w:r>
        <w:t>.</w:t>
      </w:r>
    </w:p>
    <w:p w14:paraId="600C89A1" w14:textId="77777777" w:rsidR="0003625A" w:rsidRDefault="0003625A" w:rsidP="0003625A">
      <w:pPr>
        <w:ind w:left="1440"/>
      </w:pPr>
    </w:p>
    <w:p w14:paraId="665EEBF1" w14:textId="747B44D6" w:rsidR="0003625A" w:rsidRDefault="0003625A" w:rsidP="0003625A">
      <w:pPr>
        <w:ind w:left="1440"/>
      </w:pPr>
      <w:r>
        <w:t xml:space="preserve">In future FOAs, EERE may require a biographical sketch for the PI and </w:t>
      </w:r>
      <w:r w:rsidR="00F13469">
        <w:t>senior/key personnel</w:t>
      </w:r>
      <w:r>
        <w:t>. In the meantime, in lieu of a resume, it is acceptable to use the biographical sketch format approved by the National Science Foundation (NSF). The biographical sketch format may be generated by the Science Experts Network Curriculum Vita (</w:t>
      </w:r>
      <w:proofErr w:type="spellStart"/>
      <w:r>
        <w:t>SciENcv</w:t>
      </w:r>
      <w:proofErr w:type="spellEnd"/>
      <w:r>
        <w:t xml:space="preserve">), a cooperative venture maintained at </w:t>
      </w:r>
      <w:hyperlink r:id="rId47" w:history="1">
        <w:r w:rsidRPr="0032302A">
          <w:rPr>
            <w:rStyle w:val="Hyperlink"/>
          </w:rPr>
          <w:t>https://www.ncbi.nlm.nih.gov/sciencv/</w:t>
        </w:r>
      </w:hyperlink>
      <w:r>
        <w:t xml:space="preserve">, and is also available at </w:t>
      </w:r>
      <w:hyperlink r:id="rId48" w:history="1">
        <w:r w:rsidRPr="0032302A">
          <w:rPr>
            <w:rStyle w:val="Hyperlink"/>
          </w:rPr>
          <w:t>https://nsf.gov/bfa/dias/policy/nsfapprovedformats/biosketch.pdf</w:t>
        </w:r>
      </w:hyperlink>
      <w:r>
        <w:t>. The use of a format required by another agency is intended to reduce the administrative burden to researchers by promoting the use of common formats.</w:t>
      </w:r>
    </w:p>
    <w:bookmarkEnd w:id="204"/>
    <w:p w14:paraId="58DDE0C2" w14:textId="10786E6B" w:rsidR="008C2429" w:rsidRDefault="008C2429" w:rsidP="008C2429"/>
    <w:p w14:paraId="530445DF" w14:textId="77777777" w:rsidR="008C2429" w:rsidRDefault="004E672B" w:rsidP="00F836F4">
      <w:pPr>
        <w:pStyle w:val="FOAHeading3"/>
        <w:numPr>
          <w:ilvl w:val="0"/>
          <w:numId w:val="31"/>
        </w:numPr>
        <w:ind w:left="1440"/>
        <w:outlineLvl w:val="2"/>
      </w:pPr>
      <w:bookmarkStart w:id="206" w:name="_Toc109921691"/>
      <w:r>
        <w:t>Letters of Commitment</w:t>
      </w:r>
      <w:bookmarkEnd w:id="206"/>
    </w:p>
    <w:p w14:paraId="11DDDB9A" w14:textId="583A733B" w:rsidR="002114F3" w:rsidRDefault="004E672B" w:rsidP="002114F3">
      <w:pPr>
        <w:ind w:left="1440"/>
      </w:pPr>
      <w:r>
        <w:t xml:space="preserve">Submit letters of commitment from all subrecipient and </w:t>
      </w:r>
      <w:proofErr w:type="gramStart"/>
      <w:r>
        <w:t>third party</w:t>
      </w:r>
      <w:proofErr w:type="gramEnd"/>
      <w:r>
        <w:t xml:space="preserve"> cost share providers. If applicable, also include any letters of commitment from partners/end users</w:t>
      </w:r>
      <w:r w:rsidR="004D69B6">
        <w:t xml:space="preserve"> </w:t>
      </w:r>
      <w:r>
        <w:t>(</w:t>
      </w:r>
      <w:r w:rsidR="005E2146">
        <w:rPr>
          <w:rStyle w:val="Style1"/>
        </w:rPr>
        <w:t>one</w:t>
      </w:r>
      <w:r w:rsidR="002C1B54">
        <w:t>-page maximum per letter</w:t>
      </w:r>
      <w:r w:rsidR="002C1B54" w:rsidRPr="004C1302">
        <w:t>)</w:t>
      </w:r>
      <w:r w:rsidR="003B5D26" w:rsidRPr="004C1302">
        <w:t xml:space="preserve"> </w:t>
      </w:r>
      <w:r w:rsidR="0096590C" w:rsidRPr="00563B4B">
        <w:t>suppliers/partners/end users/future customers/labor unions/community-based organizations</w:t>
      </w:r>
      <w:r w:rsidR="002C1B54">
        <w:t>.</w:t>
      </w:r>
      <w:r>
        <w:t xml:space="preserve"> Save the le</w:t>
      </w:r>
      <w:r w:rsidR="002C1B54">
        <w:t xml:space="preserve">tters of commitment in a single </w:t>
      </w:r>
      <w:r w:rsidR="00405796">
        <w:t xml:space="preserve">PDF </w:t>
      </w:r>
      <w:r>
        <w:t>file</w:t>
      </w:r>
      <w:r w:rsidR="00DB2B09">
        <w:t xml:space="preserve"> </w:t>
      </w:r>
      <w:r w:rsidR="00DB2B09">
        <w:rPr>
          <w:rFonts w:ascii="Calibri" w:hAnsi="Calibri" w:cs="Calibri"/>
          <w:color w:val="000000"/>
          <w:szCs w:val="24"/>
        </w:rPr>
        <w:t>using the following convention for the title “</w:t>
      </w:r>
      <w:proofErr w:type="spellStart"/>
      <w:r w:rsidR="00DB2B09">
        <w:rPr>
          <w:rFonts w:ascii="Calibri" w:hAnsi="Calibri" w:cs="Calibri"/>
          <w:color w:val="000000"/>
          <w:szCs w:val="24"/>
        </w:rPr>
        <w:t>ControlNumber_LeadOrganization_LOC</w:t>
      </w:r>
      <w:r w:rsidR="005E2146">
        <w:rPr>
          <w:rFonts w:ascii="Calibri" w:hAnsi="Calibri" w:cs="Calibri"/>
          <w:color w:val="000000"/>
          <w:szCs w:val="24"/>
        </w:rPr>
        <w:t>s</w:t>
      </w:r>
      <w:proofErr w:type="spellEnd"/>
      <w:r w:rsidR="00DB2B09">
        <w:rPr>
          <w:rFonts w:ascii="Calibri" w:hAnsi="Calibri" w:cs="Calibri"/>
          <w:color w:val="000000"/>
          <w:szCs w:val="24"/>
        </w:rPr>
        <w:t>”</w:t>
      </w:r>
      <w:r>
        <w:t>.</w:t>
      </w:r>
    </w:p>
    <w:p w14:paraId="2A53B2E0" w14:textId="3A52AD69" w:rsidR="008C2429" w:rsidRDefault="008C2429" w:rsidP="009A279F"/>
    <w:p w14:paraId="68020FBE" w14:textId="77777777" w:rsidR="006A24B8" w:rsidRPr="00872882" w:rsidRDefault="004E672B" w:rsidP="00F836F4">
      <w:pPr>
        <w:pStyle w:val="FOAHeading3"/>
        <w:numPr>
          <w:ilvl w:val="0"/>
          <w:numId w:val="31"/>
        </w:numPr>
        <w:ind w:left="1440"/>
        <w:outlineLvl w:val="2"/>
      </w:pPr>
      <w:bookmarkStart w:id="207" w:name="_Toc109921692"/>
      <w:r w:rsidRPr="00C72CE2">
        <w:t>Statement of Project Objectives</w:t>
      </w:r>
      <w:bookmarkEnd w:id="205"/>
      <w:r w:rsidR="00D0390A">
        <w:t xml:space="preserve"> (SOPO)</w:t>
      </w:r>
      <w:bookmarkEnd w:id="207"/>
    </w:p>
    <w:p w14:paraId="0307A4A9" w14:textId="07541278" w:rsidR="00A93673" w:rsidRDefault="00A93673" w:rsidP="00EC2698">
      <w:pPr>
        <w:autoSpaceDE w:val="0"/>
        <w:autoSpaceDN w:val="0"/>
        <w:adjustRightInd w:val="0"/>
        <w:ind w:left="1440"/>
      </w:pPr>
      <w:r>
        <w:rPr>
          <w:rFonts w:ascii="Calibri" w:hAnsi="Calibri" w:cs="Calibri"/>
          <w:color w:val="000000"/>
          <w:szCs w:val="24"/>
        </w:rPr>
        <w:t>Applicants are required to complete a SOPO. A SOPO template is available on</w:t>
      </w:r>
      <w:r w:rsidR="003E220B">
        <w:rPr>
          <w:rFonts w:ascii="Calibri" w:hAnsi="Calibri" w:cs="Calibri"/>
          <w:color w:val="000000"/>
          <w:szCs w:val="24"/>
        </w:rPr>
        <w:t xml:space="preserve"> </w:t>
      </w:r>
      <w:r>
        <w:rPr>
          <w:rFonts w:ascii="Calibri" w:hAnsi="Calibri" w:cs="Calibri"/>
          <w:color w:val="000000"/>
          <w:szCs w:val="24"/>
        </w:rPr>
        <w:t xml:space="preserve">EERE Exchange at </w:t>
      </w:r>
      <w:hyperlink r:id="rId49" w:history="1">
        <w:r w:rsidRPr="00A93673">
          <w:rPr>
            <w:rStyle w:val="Hyperlink"/>
            <w:rFonts w:ascii="Calibri" w:hAnsi="Calibri" w:cs="Calibri"/>
            <w:szCs w:val="24"/>
          </w:rPr>
          <w:t>https://eere-Exchange.energy.gov/</w:t>
        </w:r>
      </w:hyperlink>
      <w:r>
        <w:rPr>
          <w:rFonts w:ascii="Calibri" w:hAnsi="Calibri" w:cs="Calibri"/>
          <w:color w:val="000000"/>
          <w:szCs w:val="24"/>
        </w:rPr>
        <w:t>. The SOPO, including the</w:t>
      </w:r>
      <w:r w:rsidR="003E220B">
        <w:rPr>
          <w:rFonts w:ascii="Calibri" w:hAnsi="Calibri" w:cs="Calibri"/>
          <w:color w:val="000000"/>
          <w:szCs w:val="24"/>
        </w:rPr>
        <w:t xml:space="preserve"> </w:t>
      </w:r>
      <w:r>
        <w:rPr>
          <w:rFonts w:ascii="Calibri" w:hAnsi="Calibri" w:cs="Calibri"/>
          <w:color w:val="000000"/>
          <w:szCs w:val="24"/>
        </w:rPr>
        <w:t xml:space="preserve">Milestone Table, must not exceed </w:t>
      </w:r>
      <w:r w:rsidR="005B52B2">
        <w:rPr>
          <w:rStyle w:val="Style1"/>
        </w:rPr>
        <w:t>10</w:t>
      </w:r>
      <w:r w:rsidR="00DB2B09" w:rsidDel="00DB2B09">
        <w:rPr>
          <w:rFonts w:ascii="Calibri" w:hAnsi="Calibri" w:cs="Calibri"/>
          <w:color w:val="000000"/>
          <w:szCs w:val="24"/>
        </w:rPr>
        <w:t xml:space="preserve"> </w:t>
      </w:r>
      <w:r>
        <w:rPr>
          <w:rFonts w:ascii="Calibri" w:hAnsi="Calibri" w:cs="Calibri"/>
          <w:color w:val="000000"/>
          <w:szCs w:val="24"/>
        </w:rPr>
        <w:t>pages when printed using standard 8.5 x 11</w:t>
      </w:r>
      <w:r w:rsidR="003E220B">
        <w:rPr>
          <w:rFonts w:ascii="Calibri" w:hAnsi="Calibri" w:cs="Calibri"/>
          <w:color w:val="000000"/>
          <w:szCs w:val="24"/>
        </w:rPr>
        <w:t xml:space="preserve"> </w:t>
      </w:r>
      <w:r>
        <w:rPr>
          <w:rFonts w:ascii="Calibri" w:hAnsi="Calibri" w:cs="Calibri"/>
          <w:color w:val="000000"/>
          <w:szCs w:val="24"/>
        </w:rPr>
        <w:t>paper with 1” margins (top, bottom, left, and right) with font not smaller than 12</w:t>
      </w:r>
      <w:r w:rsidR="003E220B">
        <w:rPr>
          <w:rFonts w:ascii="Calibri" w:hAnsi="Calibri" w:cs="Calibri"/>
          <w:color w:val="000000"/>
          <w:szCs w:val="24"/>
        </w:rPr>
        <w:t xml:space="preserve"> </w:t>
      </w:r>
      <w:proofErr w:type="gramStart"/>
      <w:r>
        <w:rPr>
          <w:rFonts w:ascii="Calibri" w:hAnsi="Calibri" w:cs="Calibri"/>
          <w:color w:val="000000"/>
          <w:szCs w:val="24"/>
        </w:rPr>
        <w:t>point</w:t>
      </w:r>
      <w:proofErr w:type="gramEnd"/>
      <w:r w:rsidR="00DF2FE0">
        <w:rPr>
          <w:rFonts w:ascii="Calibri" w:hAnsi="Calibri" w:cs="Calibri"/>
          <w:color w:val="000000"/>
          <w:szCs w:val="24"/>
        </w:rPr>
        <w:t xml:space="preserve"> </w:t>
      </w:r>
      <w:r w:rsidR="00DE722E" w:rsidRPr="008858B4">
        <w:t>(except in figures or tables, which may be 10 point font)</w:t>
      </w:r>
      <w:r>
        <w:rPr>
          <w:rFonts w:ascii="Calibri" w:hAnsi="Calibri" w:cs="Calibri"/>
          <w:color w:val="000000"/>
          <w:szCs w:val="24"/>
        </w:rPr>
        <w:t>. Save the SOPO in a single Microsoft Word file using the following convention for the title “</w:t>
      </w:r>
      <w:proofErr w:type="spellStart"/>
      <w:r>
        <w:rPr>
          <w:rFonts w:ascii="Calibri" w:hAnsi="Calibri" w:cs="Calibri"/>
          <w:color w:val="000000"/>
          <w:szCs w:val="24"/>
        </w:rPr>
        <w:t>ControlNumber_LeadOrganization_SOPO</w:t>
      </w:r>
      <w:proofErr w:type="spellEnd"/>
      <w:r>
        <w:rPr>
          <w:rFonts w:ascii="Calibri" w:hAnsi="Calibri" w:cs="Calibri"/>
          <w:color w:val="000000"/>
          <w:szCs w:val="24"/>
        </w:rPr>
        <w:t>”.</w:t>
      </w:r>
    </w:p>
    <w:p w14:paraId="7E159E09" w14:textId="610D931D" w:rsidR="006A24B8" w:rsidRPr="008858B4" w:rsidRDefault="006A24B8" w:rsidP="008858B4">
      <w:pPr>
        <w:pStyle w:val="FOATemplateBody"/>
        <w:rPr>
          <w:rFonts w:asciiTheme="minorHAnsi" w:hAnsiTheme="minorHAnsi"/>
        </w:rPr>
      </w:pPr>
    </w:p>
    <w:p w14:paraId="1E5CBEE0" w14:textId="77777777" w:rsidR="006A24B8" w:rsidRPr="00872882" w:rsidRDefault="004E672B" w:rsidP="00F836F4">
      <w:pPr>
        <w:pStyle w:val="FOAHeading3"/>
        <w:numPr>
          <w:ilvl w:val="0"/>
          <w:numId w:val="31"/>
        </w:numPr>
        <w:ind w:left="1440"/>
        <w:outlineLvl w:val="2"/>
      </w:pPr>
      <w:bookmarkStart w:id="208" w:name="_Toc519602352"/>
      <w:bookmarkStart w:id="209" w:name="_Toc109921693"/>
      <w:r w:rsidRPr="00C72CE2">
        <w:t>SF-424: Application for Federal Assistance</w:t>
      </w:r>
      <w:bookmarkEnd w:id="208"/>
      <w:bookmarkEnd w:id="209"/>
    </w:p>
    <w:p w14:paraId="671357BD" w14:textId="6E5695B3" w:rsidR="006A24B8" w:rsidRPr="008858B4" w:rsidRDefault="004E672B" w:rsidP="00A53BBC">
      <w:pPr>
        <w:ind w:left="1440"/>
      </w:pPr>
      <w:r w:rsidRPr="008858B4">
        <w:t xml:space="preserve">Complete all required fields in accordance with the instructions on the form. The list of certifications and assurances in Field 21 can be found at </w:t>
      </w:r>
      <w:hyperlink r:id="rId50" w:history="1">
        <w:r w:rsidRPr="008858B4">
          <w:rPr>
            <w:rStyle w:val="Hyperlink"/>
          </w:rPr>
          <w:t>http://energy.gov/management/office-management/operational-management/financial-assistance/financial-assistance-forms</w:t>
        </w:r>
      </w:hyperlink>
      <w:r w:rsidRPr="008858B4">
        <w:t xml:space="preserve">, under Certifications and Assurances. Note: The dates and dollar </w:t>
      </w:r>
      <w:proofErr w:type="gramStart"/>
      <w:r w:rsidRPr="008858B4">
        <w:t>amounts</w:t>
      </w:r>
      <w:proofErr w:type="gramEnd"/>
      <w:r w:rsidRPr="008858B4">
        <w:t xml:space="preserve"> on the SF-424 are for the complete project period and not just the first project year, first phase or other subset of the project period.</w:t>
      </w:r>
      <w:r w:rsidR="00604DB0">
        <w:t xml:space="preserve"> </w:t>
      </w:r>
      <w:r w:rsidR="00405796">
        <w:t>Save the SF-</w:t>
      </w:r>
      <w:r w:rsidR="004F4A85">
        <w:t>424</w:t>
      </w:r>
      <w:r w:rsidR="00405796">
        <w:t xml:space="preserve"> in a single PDF file </w:t>
      </w:r>
      <w:r w:rsidR="00405796">
        <w:rPr>
          <w:rFonts w:ascii="Calibri" w:hAnsi="Calibri" w:cs="Calibri"/>
          <w:color w:val="000000"/>
          <w:szCs w:val="24"/>
        </w:rPr>
        <w:t>using the following convention for the title “ControlNumber_LeadOrganization_424”</w:t>
      </w:r>
      <w:r w:rsidR="00405796">
        <w:t>.</w:t>
      </w:r>
    </w:p>
    <w:p w14:paraId="6C19C89F" w14:textId="4A5620C8" w:rsidR="006A24B8" w:rsidRPr="008858B4" w:rsidRDefault="006A24B8" w:rsidP="008858B4"/>
    <w:p w14:paraId="3432693C" w14:textId="77777777" w:rsidR="006A24B8" w:rsidRPr="00872882" w:rsidRDefault="004E672B" w:rsidP="00F836F4">
      <w:pPr>
        <w:pStyle w:val="FOAHeading3"/>
        <w:numPr>
          <w:ilvl w:val="0"/>
          <w:numId w:val="31"/>
        </w:numPr>
        <w:ind w:left="1440"/>
        <w:outlineLvl w:val="2"/>
      </w:pPr>
      <w:bookmarkStart w:id="210" w:name="_Toc109921694"/>
      <w:bookmarkStart w:id="211" w:name="_Toc519602353"/>
      <w:r w:rsidRPr="00C72CE2">
        <w:t>Budget Justification Workbook</w:t>
      </w:r>
      <w:bookmarkEnd w:id="210"/>
      <w:r w:rsidRPr="00C72CE2">
        <w:t xml:space="preserve"> </w:t>
      </w:r>
      <w:bookmarkEnd w:id="211"/>
    </w:p>
    <w:p w14:paraId="35F081B7" w14:textId="7B9AE9EB" w:rsidR="00B96293" w:rsidRDefault="00B96293" w:rsidP="00AC3873">
      <w:pPr>
        <w:autoSpaceDE w:val="0"/>
        <w:autoSpaceDN w:val="0"/>
        <w:adjustRightInd w:val="0"/>
        <w:ind w:left="1440"/>
      </w:pPr>
      <w:r>
        <w:rPr>
          <w:rFonts w:ascii="Calibri" w:hAnsi="Calibri" w:cs="Calibri"/>
          <w:color w:val="000000"/>
          <w:szCs w:val="24"/>
        </w:rPr>
        <w:t>Applicants are required to complete the Budget Justification Workbook. This</w:t>
      </w:r>
      <w:r w:rsidR="003E220B">
        <w:rPr>
          <w:rFonts w:ascii="Calibri" w:hAnsi="Calibri" w:cs="Calibri"/>
          <w:color w:val="000000"/>
          <w:szCs w:val="24"/>
        </w:rPr>
        <w:t xml:space="preserve"> </w:t>
      </w:r>
      <w:r>
        <w:rPr>
          <w:rFonts w:ascii="Calibri" w:hAnsi="Calibri" w:cs="Calibri"/>
          <w:color w:val="000000"/>
          <w:szCs w:val="24"/>
        </w:rPr>
        <w:t xml:space="preserve">form is available on EERE Exchange at </w:t>
      </w:r>
      <w:hyperlink r:id="rId51" w:history="1">
        <w:r w:rsidRPr="00B96293">
          <w:rPr>
            <w:rStyle w:val="Hyperlink"/>
            <w:rFonts w:ascii="Calibri" w:hAnsi="Calibri" w:cs="Calibri"/>
            <w:szCs w:val="24"/>
          </w:rPr>
          <w:t>https://eere-Exchange.energy.gov/</w:t>
        </w:r>
      </w:hyperlink>
      <w:r>
        <w:rPr>
          <w:rFonts w:ascii="Calibri" w:hAnsi="Calibri" w:cs="Calibri"/>
          <w:color w:val="000000"/>
          <w:szCs w:val="24"/>
        </w:rPr>
        <w:t>. Prime</w:t>
      </w:r>
      <w:r w:rsidR="003E220B">
        <w:rPr>
          <w:rFonts w:ascii="Calibri" w:hAnsi="Calibri" w:cs="Calibri"/>
          <w:color w:val="000000"/>
          <w:szCs w:val="24"/>
        </w:rPr>
        <w:t xml:space="preserve"> </w:t>
      </w:r>
      <w:r>
        <w:rPr>
          <w:rFonts w:ascii="Calibri" w:hAnsi="Calibri" w:cs="Calibri"/>
          <w:color w:val="000000"/>
          <w:szCs w:val="24"/>
        </w:rPr>
        <w:t>recipients must complete each tab of the Budget Justification Workbook for the</w:t>
      </w:r>
      <w:r w:rsidR="003E220B">
        <w:rPr>
          <w:rFonts w:ascii="Calibri" w:hAnsi="Calibri" w:cs="Calibri"/>
          <w:color w:val="000000"/>
          <w:szCs w:val="24"/>
        </w:rPr>
        <w:t xml:space="preserve"> </w:t>
      </w:r>
      <w:proofErr w:type="gramStart"/>
      <w:r>
        <w:rPr>
          <w:rFonts w:ascii="Calibri" w:hAnsi="Calibri" w:cs="Calibri"/>
          <w:color w:val="000000"/>
          <w:szCs w:val="24"/>
        </w:rPr>
        <w:t>project as a whole, including</w:t>
      </w:r>
      <w:proofErr w:type="gramEnd"/>
      <w:r>
        <w:rPr>
          <w:rFonts w:ascii="Calibri" w:hAnsi="Calibri" w:cs="Calibri"/>
          <w:color w:val="000000"/>
          <w:szCs w:val="24"/>
        </w:rPr>
        <w:t xml:space="preserve"> all work to be performed by the prime recipient and</w:t>
      </w:r>
      <w:r w:rsidR="003E220B">
        <w:rPr>
          <w:rFonts w:ascii="Calibri" w:hAnsi="Calibri" w:cs="Calibri"/>
          <w:color w:val="000000"/>
          <w:szCs w:val="24"/>
        </w:rPr>
        <w:t xml:space="preserve"> </w:t>
      </w:r>
      <w:r>
        <w:rPr>
          <w:rFonts w:ascii="Calibri" w:hAnsi="Calibri" w:cs="Calibri"/>
          <w:color w:val="000000"/>
          <w:szCs w:val="24"/>
        </w:rPr>
        <w:t>its subrecipients and contractors. Applicants should include costs associated with</w:t>
      </w:r>
      <w:r w:rsidR="003E220B">
        <w:rPr>
          <w:rFonts w:ascii="Calibri" w:hAnsi="Calibri" w:cs="Calibri"/>
          <w:color w:val="000000"/>
          <w:szCs w:val="24"/>
        </w:rPr>
        <w:t xml:space="preserve"> </w:t>
      </w:r>
      <w:r>
        <w:rPr>
          <w:rFonts w:ascii="Calibri" w:hAnsi="Calibri" w:cs="Calibri"/>
          <w:color w:val="000000"/>
          <w:szCs w:val="24"/>
        </w:rPr>
        <w:t>required annual audits and incurred cost proposals in their proposed budget</w:t>
      </w:r>
      <w:r w:rsidR="003E220B">
        <w:rPr>
          <w:rFonts w:ascii="Calibri" w:hAnsi="Calibri" w:cs="Calibri"/>
          <w:color w:val="000000"/>
          <w:szCs w:val="24"/>
        </w:rPr>
        <w:t xml:space="preserve"> </w:t>
      </w:r>
      <w:r>
        <w:rPr>
          <w:rFonts w:ascii="Calibri" w:hAnsi="Calibri" w:cs="Calibri"/>
          <w:color w:val="000000"/>
          <w:szCs w:val="24"/>
        </w:rPr>
        <w:t xml:space="preserve">documents. </w:t>
      </w:r>
      <w:r w:rsidR="003B5D26">
        <w:rPr>
          <w:rFonts w:ascii="Calibri" w:hAnsi="Calibri" w:cs="Calibri"/>
          <w:color w:val="000000"/>
          <w:szCs w:val="24"/>
        </w:rPr>
        <w:t xml:space="preserve">Applicants should include costs associated with domestic procurement of materials and supplies and implementation of the good jobs plan. Any price proposal submitted shall clearly identify whether it is subject to such PLA requirements. </w:t>
      </w:r>
      <w:r>
        <w:rPr>
          <w:rFonts w:ascii="Calibri" w:hAnsi="Calibri" w:cs="Calibri"/>
          <w:color w:val="000000"/>
          <w:szCs w:val="24"/>
        </w:rPr>
        <w:t>The “Instructions and Summary” included with the Budget</w:t>
      </w:r>
      <w:r w:rsidR="003E220B">
        <w:rPr>
          <w:rFonts w:ascii="Calibri" w:hAnsi="Calibri" w:cs="Calibri"/>
          <w:color w:val="000000"/>
          <w:szCs w:val="24"/>
        </w:rPr>
        <w:t xml:space="preserve"> </w:t>
      </w:r>
      <w:r>
        <w:rPr>
          <w:rFonts w:ascii="Calibri" w:hAnsi="Calibri" w:cs="Calibri"/>
          <w:color w:val="000000"/>
          <w:szCs w:val="24"/>
        </w:rPr>
        <w:t>Justification Workbook will auto-populate as the applicant enters information</w:t>
      </w:r>
      <w:r w:rsidR="003E220B">
        <w:rPr>
          <w:rFonts w:ascii="Calibri" w:hAnsi="Calibri" w:cs="Calibri"/>
          <w:color w:val="000000"/>
          <w:szCs w:val="24"/>
        </w:rPr>
        <w:t xml:space="preserve"> </w:t>
      </w:r>
      <w:r>
        <w:rPr>
          <w:rFonts w:ascii="Calibri" w:hAnsi="Calibri" w:cs="Calibri"/>
          <w:color w:val="000000"/>
          <w:szCs w:val="24"/>
        </w:rPr>
        <w:t>into the Workbook. Applicants must carefully read the “Instructions and</w:t>
      </w:r>
      <w:r w:rsidR="003E220B">
        <w:rPr>
          <w:rFonts w:ascii="Calibri" w:hAnsi="Calibri" w:cs="Calibri"/>
          <w:color w:val="000000"/>
          <w:szCs w:val="24"/>
        </w:rPr>
        <w:t xml:space="preserve"> </w:t>
      </w:r>
      <w:r>
        <w:rPr>
          <w:rFonts w:ascii="Calibri" w:hAnsi="Calibri" w:cs="Calibri"/>
          <w:color w:val="000000"/>
          <w:szCs w:val="24"/>
        </w:rPr>
        <w:t>Summary” tab provided within the Budget Justification Workbook. Save the</w:t>
      </w:r>
      <w:r w:rsidR="003E220B">
        <w:rPr>
          <w:rFonts w:ascii="Calibri" w:hAnsi="Calibri" w:cs="Calibri"/>
          <w:color w:val="000000"/>
          <w:szCs w:val="24"/>
        </w:rPr>
        <w:t xml:space="preserve"> </w:t>
      </w:r>
      <w:r>
        <w:rPr>
          <w:rFonts w:ascii="Calibri" w:hAnsi="Calibri" w:cs="Calibri"/>
          <w:color w:val="000000"/>
          <w:szCs w:val="24"/>
        </w:rPr>
        <w:t>Budget Justification Workbook in a single Microsoft Excel file using the following</w:t>
      </w:r>
      <w:r w:rsidR="003E220B">
        <w:rPr>
          <w:rFonts w:ascii="Calibri" w:hAnsi="Calibri" w:cs="Calibri"/>
          <w:color w:val="000000"/>
          <w:szCs w:val="24"/>
        </w:rPr>
        <w:t xml:space="preserve"> </w:t>
      </w:r>
      <w:r>
        <w:rPr>
          <w:rFonts w:ascii="Calibri" w:hAnsi="Calibri" w:cs="Calibri"/>
          <w:color w:val="000000"/>
          <w:szCs w:val="24"/>
        </w:rPr>
        <w:t>convention for the title</w:t>
      </w:r>
      <w:r w:rsidR="003E220B">
        <w:rPr>
          <w:rFonts w:ascii="Calibri" w:hAnsi="Calibri" w:cs="Calibri"/>
          <w:color w:val="000000"/>
          <w:szCs w:val="24"/>
        </w:rPr>
        <w:t xml:space="preserve"> </w:t>
      </w:r>
      <w:r w:rsidRPr="00B96293">
        <w:rPr>
          <w:rFonts w:ascii="Calibri" w:hAnsi="Calibri" w:cs="Calibri"/>
          <w:color w:val="000000"/>
          <w:szCs w:val="24"/>
        </w:rPr>
        <w:t>“</w:t>
      </w:r>
      <w:proofErr w:type="spellStart"/>
      <w:r w:rsidRPr="00B96293">
        <w:rPr>
          <w:rFonts w:ascii="Calibri" w:hAnsi="Calibri" w:cs="Calibri"/>
          <w:color w:val="000000"/>
          <w:szCs w:val="24"/>
        </w:rPr>
        <w:t>ControlNumber_LeadOrganization_Budget_Justification</w:t>
      </w:r>
      <w:proofErr w:type="spellEnd"/>
      <w:r w:rsidRPr="00B96293">
        <w:rPr>
          <w:rFonts w:ascii="Calibri" w:hAnsi="Calibri" w:cs="Calibri"/>
          <w:color w:val="000000"/>
          <w:szCs w:val="24"/>
        </w:rPr>
        <w:t>”.</w:t>
      </w:r>
    </w:p>
    <w:p w14:paraId="1AEF6FA9" w14:textId="5A34DE5C" w:rsidR="006A24B8" w:rsidRPr="008858B4" w:rsidRDefault="006A24B8" w:rsidP="008858B4"/>
    <w:p w14:paraId="6E9B730B" w14:textId="77777777" w:rsidR="006A24B8" w:rsidRPr="00872882" w:rsidRDefault="004E672B" w:rsidP="00F836F4">
      <w:pPr>
        <w:pStyle w:val="FOAHeading3"/>
        <w:numPr>
          <w:ilvl w:val="0"/>
          <w:numId w:val="31"/>
        </w:numPr>
        <w:ind w:left="1440"/>
        <w:outlineLvl w:val="2"/>
      </w:pPr>
      <w:bookmarkStart w:id="212" w:name="_Toc519602354"/>
      <w:bookmarkStart w:id="213" w:name="_Toc109921695"/>
      <w:r w:rsidRPr="00C72CE2">
        <w:t>Summary/Abstract for Public Release</w:t>
      </w:r>
      <w:bookmarkEnd w:id="212"/>
      <w:bookmarkEnd w:id="213"/>
    </w:p>
    <w:p w14:paraId="2FEA87AA" w14:textId="0AA3243B" w:rsidR="008626AF" w:rsidRDefault="004E672B" w:rsidP="00A53BBC">
      <w:pPr>
        <w:ind w:left="1440"/>
      </w:pPr>
      <w:r w:rsidRPr="008858B4">
        <w:t>Applicants are required to submit a</w:t>
      </w:r>
      <w:r w:rsidR="001B772D">
        <w:t xml:space="preserve"> one-page</w:t>
      </w:r>
      <w:r w:rsidRPr="008858B4">
        <w:t xml:space="preserve"> summary/abstract of their project. The project summary/abstract must contain a summary of the proposed activity suitable for dissemination to the public. It should be a self-contained document that identifies the name of the applicant, the project director/principal investigator(s), the project title, the objectives of the project, a description of the project, including methods to be employed, the potential impact of the project (e.g., benefits, outcomes</w:t>
      </w:r>
      <w:r w:rsidR="003B5D26">
        <w:t>, including good jobs, equity, and economic development benefits</w:t>
      </w:r>
      <w:r w:rsidRPr="008858B4">
        <w:t>), and major participants</w:t>
      </w:r>
      <w:r w:rsidR="00016817">
        <w:t>, including labor unions</w:t>
      </w:r>
      <w:r w:rsidRPr="008858B4">
        <w:t xml:space="preserve"> (for collaborative projects). This document must not include any proprietary or sensitive business information as DOE may make it available to the public after selections are made.</w:t>
      </w:r>
      <w:r w:rsidR="004D01F2">
        <w:t xml:space="preserve"> </w:t>
      </w:r>
      <w:r w:rsidRPr="008858B4">
        <w:t xml:space="preserve">The </w:t>
      </w:r>
      <w:r w:rsidR="004D01F2">
        <w:t>project summary must not exceed</w:t>
      </w:r>
      <w:r w:rsidR="001B772D">
        <w:t xml:space="preserve"> 1 page </w:t>
      </w:r>
      <w:r w:rsidRPr="008858B4">
        <w:t xml:space="preserve">when printed using standard 8.5 x 11 paper with 1” margins (top, bottom, left, and right) with font not smaller than 12 </w:t>
      </w:r>
      <w:proofErr w:type="gramStart"/>
      <w:r w:rsidRPr="008858B4">
        <w:t>point</w:t>
      </w:r>
      <w:proofErr w:type="gramEnd"/>
      <w:r w:rsidRPr="008858B4">
        <w:t xml:space="preserve">. Save the Summary for Public Release in a single </w:t>
      </w:r>
      <w:r w:rsidR="00405796">
        <w:t xml:space="preserve">PDF </w:t>
      </w:r>
      <w:r w:rsidRPr="008858B4">
        <w:t>file</w:t>
      </w:r>
      <w:r w:rsidR="00405796">
        <w:t xml:space="preserve"> </w:t>
      </w:r>
      <w:r w:rsidR="00405796">
        <w:rPr>
          <w:rFonts w:ascii="Calibri" w:hAnsi="Calibri" w:cs="Calibri"/>
          <w:color w:val="000000"/>
          <w:szCs w:val="24"/>
        </w:rPr>
        <w:t>using the following convention for the title “</w:t>
      </w:r>
      <w:proofErr w:type="spellStart"/>
      <w:r w:rsidR="00405796">
        <w:rPr>
          <w:rFonts w:ascii="Calibri" w:hAnsi="Calibri" w:cs="Calibri"/>
          <w:color w:val="000000"/>
          <w:szCs w:val="24"/>
        </w:rPr>
        <w:t>ControlNumber_LeadOrganization_</w:t>
      </w:r>
      <w:r w:rsidR="005E2146">
        <w:rPr>
          <w:rFonts w:ascii="Calibri" w:hAnsi="Calibri" w:cs="Calibri"/>
          <w:color w:val="000000"/>
          <w:szCs w:val="24"/>
        </w:rPr>
        <w:t>Summary</w:t>
      </w:r>
      <w:proofErr w:type="spellEnd"/>
      <w:r w:rsidR="00405796">
        <w:rPr>
          <w:rFonts w:ascii="Calibri" w:hAnsi="Calibri" w:cs="Calibri"/>
          <w:color w:val="000000"/>
          <w:szCs w:val="24"/>
        </w:rPr>
        <w:t>”</w:t>
      </w:r>
      <w:r w:rsidR="00405796">
        <w:t>.</w:t>
      </w:r>
    </w:p>
    <w:p w14:paraId="03F3BB61" w14:textId="5CF21272" w:rsidR="00CC35E3" w:rsidRPr="008858B4" w:rsidRDefault="00CC35E3" w:rsidP="008858B4"/>
    <w:p w14:paraId="386838D4" w14:textId="77777777" w:rsidR="006A24B8" w:rsidRPr="00872882" w:rsidRDefault="004E672B" w:rsidP="00F836F4">
      <w:pPr>
        <w:pStyle w:val="FOAHeading3"/>
        <w:numPr>
          <w:ilvl w:val="0"/>
          <w:numId w:val="31"/>
        </w:numPr>
        <w:ind w:left="1440"/>
        <w:outlineLvl w:val="2"/>
      </w:pPr>
      <w:bookmarkStart w:id="214" w:name="_Toc519602355"/>
      <w:bookmarkStart w:id="215" w:name="_Toc109921696"/>
      <w:r w:rsidRPr="00C72CE2">
        <w:t>Summary Slide</w:t>
      </w:r>
      <w:bookmarkEnd w:id="214"/>
      <w:bookmarkEnd w:id="215"/>
    </w:p>
    <w:p w14:paraId="594FB8FD" w14:textId="79EA1F09" w:rsidR="008626AF" w:rsidRDefault="004E672B" w:rsidP="00A53BBC">
      <w:pPr>
        <w:ind w:left="1440"/>
      </w:pPr>
      <w:r>
        <w:t>Appl</w:t>
      </w:r>
      <w:r w:rsidR="009218EA">
        <w:t xml:space="preserve">icants are required to provide </w:t>
      </w:r>
      <w:r w:rsidR="009218EA" w:rsidRPr="009218EA">
        <w:t>a</w:t>
      </w:r>
      <w:r w:rsidR="00BE4676">
        <w:t xml:space="preserve"> single</w:t>
      </w:r>
      <w:r w:rsidR="009218EA" w:rsidRPr="009218EA">
        <w:t xml:space="preserve"> slide summarizing the proposed project. </w:t>
      </w:r>
      <w:r>
        <w:t>This slide is used during the evaluation process.</w:t>
      </w:r>
    </w:p>
    <w:p w14:paraId="1A905D6D" w14:textId="77777777" w:rsidR="006A24B8" w:rsidRPr="008858B4" w:rsidRDefault="006A24B8" w:rsidP="00A53BBC">
      <w:pPr>
        <w:ind w:left="360"/>
      </w:pPr>
    </w:p>
    <w:p w14:paraId="2F5CE1A9" w14:textId="77777777" w:rsidR="006A24B8" w:rsidRPr="008858B4" w:rsidRDefault="004E672B" w:rsidP="00622D6E">
      <w:pPr>
        <w:ind w:left="1440"/>
      </w:pPr>
      <w:r w:rsidRPr="008858B4">
        <w:t>The Summary Slide template requires the following information:</w:t>
      </w:r>
    </w:p>
    <w:p w14:paraId="1949D9AD" w14:textId="77777777" w:rsidR="006A24B8" w:rsidRPr="008858B4" w:rsidRDefault="004E672B" w:rsidP="000408E6">
      <w:pPr>
        <w:pStyle w:val="ListParagraph"/>
        <w:numPr>
          <w:ilvl w:val="0"/>
          <w:numId w:val="10"/>
        </w:numPr>
        <w:ind w:left="2160"/>
      </w:pPr>
      <w:r w:rsidRPr="008858B4">
        <w:t xml:space="preserve">A technology </w:t>
      </w:r>
      <w:proofErr w:type="gramStart"/>
      <w:r w:rsidR="00E2093D">
        <w:t>s</w:t>
      </w:r>
      <w:r w:rsidRPr="008858B4">
        <w:t>ummary;</w:t>
      </w:r>
      <w:proofErr w:type="gramEnd"/>
    </w:p>
    <w:p w14:paraId="41308E0D" w14:textId="2FB19013" w:rsidR="006A24B8" w:rsidRDefault="004E672B" w:rsidP="000408E6">
      <w:pPr>
        <w:pStyle w:val="ListParagraph"/>
        <w:numPr>
          <w:ilvl w:val="0"/>
          <w:numId w:val="10"/>
        </w:numPr>
        <w:ind w:left="2160"/>
      </w:pPr>
      <w:r w:rsidRPr="008858B4">
        <w:t xml:space="preserve">A description of the technology’s </w:t>
      </w:r>
      <w:proofErr w:type="gramStart"/>
      <w:r w:rsidRPr="008858B4">
        <w:t>impact;</w:t>
      </w:r>
      <w:proofErr w:type="gramEnd"/>
    </w:p>
    <w:p w14:paraId="49F0FBEC" w14:textId="615BB3FF" w:rsidR="00016817" w:rsidRPr="008858B4" w:rsidRDefault="00016817" w:rsidP="000408E6">
      <w:pPr>
        <w:pStyle w:val="ListParagraph"/>
        <w:numPr>
          <w:ilvl w:val="0"/>
          <w:numId w:val="10"/>
        </w:numPr>
        <w:ind w:left="2160"/>
      </w:pPr>
      <w:r>
        <w:t xml:space="preserve">A description of the good jobs, equity, and economic development </w:t>
      </w:r>
      <w:proofErr w:type="gramStart"/>
      <w:r>
        <w:t>benefits;</w:t>
      </w:r>
      <w:proofErr w:type="gramEnd"/>
    </w:p>
    <w:p w14:paraId="7EC65825" w14:textId="77777777" w:rsidR="006A24B8" w:rsidRPr="008858B4" w:rsidRDefault="004E672B" w:rsidP="000408E6">
      <w:pPr>
        <w:pStyle w:val="ListParagraph"/>
        <w:numPr>
          <w:ilvl w:val="0"/>
          <w:numId w:val="10"/>
        </w:numPr>
        <w:ind w:left="2160"/>
      </w:pPr>
      <w:r w:rsidRPr="008858B4">
        <w:t xml:space="preserve">Proposed project </w:t>
      </w:r>
      <w:proofErr w:type="gramStart"/>
      <w:r w:rsidRPr="008858B4">
        <w:t>goals;</w:t>
      </w:r>
      <w:proofErr w:type="gramEnd"/>
    </w:p>
    <w:p w14:paraId="1A3071F7" w14:textId="77777777" w:rsidR="006A24B8" w:rsidRPr="008858B4" w:rsidRDefault="004E672B" w:rsidP="000408E6">
      <w:pPr>
        <w:pStyle w:val="ListParagraph"/>
        <w:numPr>
          <w:ilvl w:val="0"/>
          <w:numId w:val="10"/>
        </w:numPr>
        <w:ind w:left="2160"/>
      </w:pPr>
      <w:r w:rsidRPr="008858B4">
        <w:t>Any key graphics (illustrations, charts and/or tables</w:t>
      </w:r>
      <w:proofErr w:type="gramStart"/>
      <w:r w:rsidRPr="008858B4">
        <w:t>);</w:t>
      </w:r>
      <w:proofErr w:type="gramEnd"/>
    </w:p>
    <w:p w14:paraId="4F90C135" w14:textId="77777777" w:rsidR="006A24B8" w:rsidRPr="008858B4" w:rsidRDefault="004E672B" w:rsidP="000408E6">
      <w:pPr>
        <w:pStyle w:val="ListParagraph"/>
        <w:numPr>
          <w:ilvl w:val="0"/>
          <w:numId w:val="10"/>
        </w:numPr>
        <w:ind w:left="2160"/>
      </w:pPr>
      <w:r w:rsidRPr="008858B4">
        <w:t>The project’s key idea/</w:t>
      </w:r>
      <w:proofErr w:type="gramStart"/>
      <w:r w:rsidRPr="008858B4">
        <w:t>takeaway;</w:t>
      </w:r>
      <w:proofErr w:type="gramEnd"/>
    </w:p>
    <w:p w14:paraId="7F50FC18" w14:textId="7FB5B397" w:rsidR="006A24B8" w:rsidRPr="008858B4" w:rsidRDefault="004E672B" w:rsidP="000408E6">
      <w:pPr>
        <w:pStyle w:val="ListParagraph"/>
        <w:numPr>
          <w:ilvl w:val="0"/>
          <w:numId w:val="10"/>
        </w:numPr>
        <w:ind w:left="2160"/>
      </w:pPr>
      <w:r w:rsidRPr="008858B4">
        <w:t xml:space="preserve">Project title, </w:t>
      </w:r>
      <w:r w:rsidR="00647D5B">
        <w:t>p</w:t>
      </w:r>
      <w:r w:rsidR="00647D5B" w:rsidRPr="008858B4">
        <w:t xml:space="preserve">rime </w:t>
      </w:r>
      <w:r w:rsidR="00647D5B">
        <w:t>r</w:t>
      </w:r>
      <w:r w:rsidR="00647D5B" w:rsidRPr="008858B4">
        <w:t>ecipient</w:t>
      </w:r>
      <w:r w:rsidRPr="008858B4">
        <w:t xml:space="preserve">, Principal Investigator, and </w:t>
      </w:r>
      <w:r w:rsidR="00F13469">
        <w:t>senior/key person</w:t>
      </w:r>
      <w:r w:rsidR="00970DDD">
        <w:t>nel</w:t>
      </w:r>
      <w:r w:rsidRPr="008858B4">
        <w:t xml:space="preserve"> information; and</w:t>
      </w:r>
    </w:p>
    <w:p w14:paraId="60E42FDC" w14:textId="41E2A2DC" w:rsidR="006A24B8" w:rsidRDefault="004E672B" w:rsidP="000408E6">
      <w:pPr>
        <w:pStyle w:val="ListParagraph"/>
        <w:numPr>
          <w:ilvl w:val="0"/>
          <w:numId w:val="10"/>
        </w:numPr>
        <w:ind w:left="2160"/>
      </w:pPr>
      <w:r w:rsidRPr="008858B4">
        <w:t>Requested EERE funds and proposed applicant cost share.</w:t>
      </w:r>
    </w:p>
    <w:p w14:paraId="2E8EB9D9" w14:textId="26DC5B54" w:rsidR="00405796" w:rsidRDefault="00405796" w:rsidP="00405796"/>
    <w:p w14:paraId="6EA86EF1" w14:textId="5EFC3256" w:rsidR="00405796" w:rsidRDefault="00405796" w:rsidP="00E42B15">
      <w:pPr>
        <w:ind w:left="1440"/>
      </w:pPr>
      <w:r w:rsidRPr="008858B4">
        <w:t xml:space="preserve">Save the Summary </w:t>
      </w:r>
      <w:r>
        <w:t>Slide</w:t>
      </w:r>
      <w:r w:rsidRPr="008858B4">
        <w:t xml:space="preserve"> in a single </w:t>
      </w:r>
      <w:r>
        <w:t xml:space="preserve">Microsoft </w:t>
      </w:r>
      <w:proofErr w:type="spellStart"/>
      <w:r>
        <w:t>Powerpoint</w:t>
      </w:r>
      <w:proofErr w:type="spellEnd"/>
      <w:r>
        <w:t xml:space="preserve"> </w:t>
      </w:r>
      <w:r w:rsidRPr="008858B4">
        <w:t>file</w:t>
      </w:r>
      <w:r>
        <w:t xml:space="preserve"> </w:t>
      </w:r>
      <w:r>
        <w:rPr>
          <w:rFonts w:ascii="Calibri" w:hAnsi="Calibri" w:cs="Calibri"/>
          <w:color w:val="000000"/>
          <w:szCs w:val="24"/>
        </w:rPr>
        <w:t>using the following convention for the title “</w:t>
      </w:r>
      <w:proofErr w:type="spellStart"/>
      <w:r>
        <w:rPr>
          <w:rFonts w:ascii="Calibri" w:hAnsi="Calibri" w:cs="Calibri"/>
          <w:color w:val="000000"/>
          <w:szCs w:val="24"/>
        </w:rPr>
        <w:t>ControlNumber_LeadOrganization_</w:t>
      </w:r>
      <w:r w:rsidR="005E2146">
        <w:rPr>
          <w:rFonts w:ascii="Calibri" w:hAnsi="Calibri" w:cs="Calibri"/>
          <w:color w:val="000000"/>
          <w:szCs w:val="24"/>
        </w:rPr>
        <w:t>Slide</w:t>
      </w:r>
      <w:proofErr w:type="spellEnd"/>
      <w:r>
        <w:rPr>
          <w:rFonts w:ascii="Calibri" w:hAnsi="Calibri" w:cs="Calibri"/>
          <w:color w:val="000000"/>
          <w:szCs w:val="24"/>
        </w:rPr>
        <w:t>”</w:t>
      </w:r>
      <w:r>
        <w:t>.</w:t>
      </w:r>
    </w:p>
    <w:p w14:paraId="2D0CF09A" w14:textId="2C31F562" w:rsidR="00CE691C" w:rsidRPr="008858B4" w:rsidRDefault="00CE691C" w:rsidP="00A53BBC">
      <w:pPr>
        <w:pStyle w:val="ListParagraph"/>
        <w:ind w:left="0"/>
      </w:pPr>
    </w:p>
    <w:p w14:paraId="64770A14" w14:textId="77777777" w:rsidR="006A24B8" w:rsidRPr="00417FB4" w:rsidRDefault="004E672B" w:rsidP="00F836F4">
      <w:pPr>
        <w:pStyle w:val="FOAHeading3"/>
        <w:numPr>
          <w:ilvl w:val="0"/>
          <w:numId w:val="31"/>
        </w:numPr>
        <w:ind w:left="1440"/>
        <w:outlineLvl w:val="2"/>
      </w:pPr>
      <w:bookmarkStart w:id="216" w:name="_Toc517799190"/>
      <w:bookmarkStart w:id="217" w:name="_Toc519602356"/>
      <w:bookmarkStart w:id="218" w:name="_Toc519602522"/>
      <w:bookmarkStart w:id="219" w:name="_Toc520382631"/>
      <w:bookmarkStart w:id="220" w:name="_Toc520455629"/>
      <w:bookmarkStart w:id="221" w:name="_Toc520455799"/>
      <w:bookmarkStart w:id="222" w:name="_Toc519602357"/>
      <w:bookmarkStart w:id="223" w:name="_Toc109921697"/>
      <w:bookmarkEnd w:id="216"/>
      <w:bookmarkEnd w:id="217"/>
      <w:bookmarkEnd w:id="218"/>
      <w:bookmarkEnd w:id="219"/>
      <w:bookmarkEnd w:id="220"/>
      <w:bookmarkEnd w:id="221"/>
      <w:r w:rsidRPr="00C72CE2">
        <w:t>Sub</w:t>
      </w:r>
      <w:r w:rsidR="00F54B39" w:rsidRPr="0022038E">
        <w:t>recipient</w:t>
      </w:r>
      <w:r w:rsidRPr="007B2B3A">
        <w:t xml:space="preserve"> Budget Justification</w:t>
      </w:r>
      <w:r w:rsidRPr="00593598">
        <w:t xml:space="preserve"> </w:t>
      </w:r>
      <w:r w:rsidR="00CC61BA" w:rsidRPr="00417FB4">
        <w:t>(if applicable)</w:t>
      </w:r>
      <w:bookmarkEnd w:id="222"/>
      <w:bookmarkEnd w:id="223"/>
    </w:p>
    <w:p w14:paraId="5E7D2C46" w14:textId="7A31BA69" w:rsidR="00B74986" w:rsidRDefault="00B96293" w:rsidP="009F07F7">
      <w:pPr>
        <w:autoSpaceDE w:val="0"/>
        <w:autoSpaceDN w:val="0"/>
        <w:adjustRightInd w:val="0"/>
        <w:ind w:left="1440"/>
      </w:pPr>
      <w:r>
        <w:rPr>
          <w:rFonts w:ascii="Calibri" w:hAnsi="Calibri" w:cs="Calibri"/>
          <w:szCs w:val="24"/>
        </w:rPr>
        <w:t>Applicants must provide a separate budget justification for each subrecipient</w:t>
      </w:r>
      <w:r w:rsidR="003E220B">
        <w:rPr>
          <w:rFonts w:ascii="Calibri" w:hAnsi="Calibri" w:cs="Calibri"/>
          <w:szCs w:val="24"/>
        </w:rPr>
        <w:t xml:space="preserve"> </w:t>
      </w:r>
      <w:r>
        <w:rPr>
          <w:rFonts w:ascii="Calibri" w:hAnsi="Calibri" w:cs="Calibri"/>
          <w:szCs w:val="24"/>
        </w:rPr>
        <w:t>that is expected to perform work estimated to be more than $250,000 or 25</w:t>
      </w:r>
      <w:r w:rsidR="003E220B">
        <w:rPr>
          <w:rFonts w:ascii="Calibri" w:hAnsi="Calibri" w:cs="Calibri"/>
          <w:szCs w:val="24"/>
        </w:rPr>
        <w:t xml:space="preserve"> </w:t>
      </w:r>
      <w:r>
        <w:rPr>
          <w:rFonts w:ascii="Calibri" w:hAnsi="Calibri" w:cs="Calibri"/>
          <w:szCs w:val="24"/>
        </w:rPr>
        <w:t>percent of the total work effort (whichever is less). The budget justification must</w:t>
      </w:r>
      <w:r w:rsidR="003E220B">
        <w:rPr>
          <w:rFonts w:ascii="Calibri" w:hAnsi="Calibri" w:cs="Calibri"/>
          <w:szCs w:val="24"/>
        </w:rPr>
        <w:t xml:space="preserve"> </w:t>
      </w:r>
      <w:r>
        <w:rPr>
          <w:rFonts w:ascii="Calibri" w:hAnsi="Calibri" w:cs="Calibri"/>
          <w:szCs w:val="24"/>
        </w:rPr>
        <w:t>include the same justification information described in the “Budget Justification”</w:t>
      </w:r>
      <w:r w:rsidR="003E220B">
        <w:rPr>
          <w:rFonts w:ascii="Calibri" w:hAnsi="Calibri" w:cs="Calibri"/>
          <w:szCs w:val="24"/>
        </w:rPr>
        <w:t xml:space="preserve"> </w:t>
      </w:r>
      <w:r>
        <w:rPr>
          <w:rFonts w:ascii="Calibri" w:hAnsi="Calibri" w:cs="Calibri"/>
          <w:szCs w:val="24"/>
        </w:rPr>
        <w:t>section above. Save each subrecipient budget justification in a Microsoft Excel</w:t>
      </w:r>
      <w:r w:rsidR="003E220B">
        <w:rPr>
          <w:rFonts w:ascii="Calibri" w:hAnsi="Calibri" w:cs="Calibri"/>
          <w:szCs w:val="24"/>
        </w:rPr>
        <w:t xml:space="preserve"> </w:t>
      </w:r>
      <w:r>
        <w:rPr>
          <w:rFonts w:ascii="Calibri" w:hAnsi="Calibri" w:cs="Calibri"/>
          <w:szCs w:val="24"/>
        </w:rPr>
        <w:t>file using the following convention for the titl</w:t>
      </w:r>
      <w:r w:rsidR="003E220B">
        <w:rPr>
          <w:rFonts w:ascii="Calibri" w:hAnsi="Calibri" w:cs="Calibri"/>
          <w:szCs w:val="24"/>
        </w:rPr>
        <w:t xml:space="preserve">e </w:t>
      </w:r>
      <w:r>
        <w:rPr>
          <w:rFonts w:ascii="Calibri" w:hAnsi="Calibri" w:cs="Calibri"/>
          <w:szCs w:val="24"/>
        </w:rPr>
        <w:t>“ControlNumber_LeadOrganization_Subrecipient_Budget_Justification”.</w:t>
      </w:r>
    </w:p>
    <w:p w14:paraId="03F88B73" w14:textId="26690A08" w:rsidR="006A24B8" w:rsidRPr="008858B4" w:rsidRDefault="006A24B8" w:rsidP="008858B4"/>
    <w:p w14:paraId="710A7332" w14:textId="77777777" w:rsidR="006A24B8" w:rsidRPr="00872882" w:rsidRDefault="004E672B" w:rsidP="00F836F4">
      <w:pPr>
        <w:pStyle w:val="FOAHeading3"/>
        <w:numPr>
          <w:ilvl w:val="0"/>
          <w:numId w:val="31"/>
        </w:numPr>
        <w:ind w:left="1440"/>
        <w:outlineLvl w:val="2"/>
      </w:pPr>
      <w:bookmarkStart w:id="224" w:name="_Toc519602358"/>
      <w:bookmarkStart w:id="225" w:name="_Toc109921698"/>
      <w:r w:rsidRPr="00C72CE2">
        <w:t>Budget for DOE/NNSA FFRDC (if applicable)</w:t>
      </w:r>
      <w:bookmarkEnd w:id="224"/>
      <w:bookmarkEnd w:id="225"/>
    </w:p>
    <w:p w14:paraId="5E0ADA3B" w14:textId="30CD5EF4" w:rsidR="00B96293" w:rsidRDefault="00B96293" w:rsidP="009F07F7">
      <w:pPr>
        <w:autoSpaceDE w:val="0"/>
        <w:autoSpaceDN w:val="0"/>
        <w:adjustRightInd w:val="0"/>
        <w:ind w:left="1440"/>
      </w:pPr>
      <w:r>
        <w:rPr>
          <w:rFonts w:ascii="Calibri" w:hAnsi="Calibri" w:cs="Calibri"/>
          <w:color w:val="000000"/>
          <w:szCs w:val="24"/>
        </w:rPr>
        <w:t>If a DOE/NNSA FFRDC contractor is to perform a portion of the work, the</w:t>
      </w:r>
      <w:r w:rsidR="003E220B">
        <w:rPr>
          <w:rFonts w:ascii="Calibri" w:hAnsi="Calibri" w:cs="Calibri"/>
          <w:color w:val="000000"/>
          <w:szCs w:val="24"/>
        </w:rPr>
        <w:t xml:space="preserve"> </w:t>
      </w:r>
      <w:r>
        <w:rPr>
          <w:rFonts w:ascii="Calibri" w:hAnsi="Calibri" w:cs="Calibri"/>
          <w:color w:val="000000"/>
          <w:szCs w:val="24"/>
        </w:rPr>
        <w:t>applicant must provide a DOE WP in accordance with the requirements in DOE</w:t>
      </w:r>
      <w:r w:rsidR="003E220B">
        <w:rPr>
          <w:rFonts w:ascii="Calibri" w:hAnsi="Calibri" w:cs="Calibri"/>
          <w:color w:val="000000"/>
          <w:szCs w:val="24"/>
        </w:rPr>
        <w:t xml:space="preserve"> </w:t>
      </w:r>
      <w:r>
        <w:rPr>
          <w:rFonts w:ascii="Calibri" w:hAnsi="Calibri" w:cs="Calibri"/>
          <w:color w:val="000000"/>
          <w:szCs w:val="24"/>
        </w:rPr>
        <w:t>Order 412.1A, Work Authorization System, Attachment 3, available at:</w:t>
      </w:r>
      <w:r w:rsidR="003E220B">
        <w:rPr>
          <w:rFonts w:ascii="Calibri" w:hAnsi="Calibri" w:cs="Calibri"/>
          <w:color w:val="0000FF"/>
          <w:szCs w:val="24"/>
        </w:rPr>
        <w:t xml:space="preserve"> </w:t>
      </w:r>
      <w:hyperlink r:id="rId52" w:history="1">
        <w:r w:rsidR="005E2146" w:rsidRPr="00E9746F">
          <w:rPr>
            <w:rStyle w:val="Hyperlink"/>
            <w:rFonts w:ascii="Calibri" w:hAnsi="Calibri" w:cs="Calibri"/>
            <w:szCs w:val="24"/>
          </w:rPr>
          <w:t>https://www.directives.doe.gov/directives-documents/400-series/0412.1-BOrder-a-chg1-AdmChg</w:t>
        </w:r>
      </w:hyperlink>
      <w:r>
        <w:rPr>
          <w:rFonts w:ascii="Calibri" w:hAnsi="Calibri" w:cs="Calibri"/>
          <w:color w:val="000000"/>
          <w:szCs w:val="24"/>
        </w:rPr>
        <w:t xml:space="preserve"> Save the WP in a single PDF file using the following</w:t>
      </w:r>
      <w:r w:rsidR="003E220B">
        <w:rPr>
          <w:rFonts w:ascii="Calibri" w:hAnsi="Calibri" w:cs="Calibri"/>
          <w:color w:val="000000"/>
          <w:szCs w:val="24"/>
        </w:rPr>
        <w:t xml:space="preserve"> </w:t>
      </w:r>
      <w:r>
        <w:rPr>
          <w:rFonts w:ascii="Calibri" w:hAnsi="Calibri" w:cs="Calibri"/>
          <w:color w:val="000000"/>
          <w:szCs w:val="24"/>
        </w:rPr>
        <w:t>convention for the title “</w:t>
      </w:r>
      <w:proofErr w:type="spellStart"/>
      <w:r>
        <w:rPr>
          <w:rFonts w:ascii="Calibri" w:hAnsi="Calibri" w:cs="Calibri"/>
          <w:color w:val="000000"/>
          <w:szCs w:val="24"/>
        </w:rPr>
        <w:t>ControlNumber_LeadOrganization_WP</w:t>
      </w:r>
      <w:proofErr w:type="spellEnd"/>
      <w:r>
        <w:rPr>
          <w:rFonts w:ascii="Calibri" w:hAnsi="Calibri" w:cs="Calibri"/>
          <w:color w:val="000000"/>
          <w:szCs w:val="24"/>
        </w:rPr>
        <w:t>”.</w:t>
      </w:r>
    </w:p>
    <w:p w14:paraId="401167B1" w14:textId="2E35909C" w:rsidR="006A24B8" w:rsidRPr="008858B4" w:rsidRDefault="006A24B8" w:rsidP="008858B4"/>
    <w:p w14:paraId="76C3D840" w14:textId="77777777" w:rsidR="006A24B8" w:rsidRPr="00872882" w:rsidRDefault="004E672B" w:rsidP="00F836F4">
      <w:pPr>
        <w:pStyle w:val="FOAHeading3"/>
        <w:numPr>
          <w:ilvl w:val="0"/>
          <w:numId w:val="31"/>
        </w:numPr>
        <w:ind w:left="1440"/>
        <w:outlineLvl w:val="2"/>
      </w:pPr>
      <w:bookmarkStart w:id="226" w:name="_Toc519602359"/>
      <w:bookmarkStart w:id="227" w:name="_Toc109921699"/>
      <w:r w:rsidRPr="00C72CE2">
        <w:t>Authorization for non-DOE/N</w:t>
      </w:r>
      <w:r w:rsidRPr="0022038E">
        <w:t>NSA or DOE/NNSA FFRDCs (if applicable)</w:t>
      </w:r>
      <w:bookmarkEnd w:id="226"/>
      <w:bookmarkEnd w:id="227"/>
    </w:p>
    <w:p w14:paraId="524BFF1E" w14:textId="6228FF3A" w:rsidR="006A24B8" w:rsidRDefault="004E672B" w:rsidP="00A53BBC">
      <w:pPr>
        <w:ind w:left="1440"/>
      </w:pPr>
      <w:r w:rsidRPr="008858B4">
        <w:t xml:space="preserve">The </w:t>
      </w:r>
      <w:r w:rsidR="00710ED6">
        <w:t>f</w:t>
      </w:r>
      <w:r w:rsidR="00710ED6" w:rsidRPr="008858B4">
        <w:t xml:space="preserve">ederal </w:t>
      </w:r>
      <w:r w:rsidRPr="008858B4">
        <w:t xml:space="preserve">agency sponsoring the FFRDC must authorize in writing the use of the FFRDC on the proposed project and this authorization must be submitted with the application. The use of a FFRDC must be consistent with the contractor’s authority under its award. Save the Authorization in a single </w:t>
      </w:r>
      <w:r w:rsidR="00BD5BFB">
        <w:t>PDF</w:t>
      </w:r>
      <w:r w:rsidRPr="008858B4">
        <w:t xml:space="preserve"> file</w:t>
      </w:r>
      <w:r w:rsidR="00405796">
        <w:t xml:space="preserve"> </w:t>
      </w:r>
      <w:r w:rsidR="00405796">
        <w:rPr>
          <w:rFonts w:ascii="Calibri" w:hAnsi="Calibri" w:cs="Calibri"/>
          <w:color w:val="000000"/>
          <w:szCs w:val="24"/>
        </w:rPr>
        <w:t>using the following convention for the title “</w:t>
      </w:r>
      <w:proofErr w:type="spellStart"/>
      <w:r w:rsidR="00405796">
        <w:rPr>
          <w:rFonts w:ascii="Calibri" w:hAnsi="Calibri" w:cs="Calibri"/>
          <w:color w:val="000000"/>
          <w:szCs w:val="24"/>
        </w:rPr>
        <w:t>ControlNumber_LeadOrganization_</w:t>
      </w:r>
      <w:r w:rsidR="005E2146">
        <w:rPr>
          <w:rFonts w:ascii="Calibri" w:hAnsi="Calibri" w:cs="Calibri"/>
          <w:color w:val="000000"/>
          <w:szCs w:val="24"/>
        </w:rPr>
        <w:t>FFRDC</w:t>
      </w:r>
      <w:r w:rsidR="00405796">
        <w:rPr>
          <w:rFonts w:ascii="Calibri" w:hAnsi="Calibri" w:cs="Calibri"/>
          <w:color w:val="000000"/>
          <w:szCs w:val="24"/>
        </w:rPr>
        <w:t>Auth</w:t>
      </w:r>
      <w:proofErr w:type="spellEnd"/>
      <w:r w:rsidR="00405796">
        <w:rPr>
          <w:rFonts w:ascii="Calibri" w:hAnsi="Calibri" w:cs="Calibri"/>
          <w:color w:val="000000"/>
          <w:szCs w:val="24"/>
        </w:rPr>
        <w:t>”</w:t>
      </w:r>
      <w:r w:rsidR="000251DF">
        <w:t>.</w:t>
      </w:r>
    </w:p>
    <w:p w14:paraId="48870315" w14:textId="27743EA1" w:rsidR="006A24B8" w:rsidRPr="008858B4" w:rsidRDefault="006A24B8" w:rsidP="008858B4"/>
    <w:p w14:paraId="7E8E06A8" w14:textId="49778920" w:rsidR="006A24B8" w:rsidRPr="00872882" w:rsidRDefault="004E672B" w:rsidP="00F836F4">
      <w:pPr>
        <w:pStyle w:val="FOAHeading3"/>
        <w:numPr>
          <w:ilvl w:val="0"/>
          <w:numId w:val="31"/>
        </w:numPr>
        <w:ind w:left="1440"/>
        <w:outlineLvl w:val="2"/>
      </w:pPr>
      <w:bookmarkStart w:id="228" w:name="_Toc519602360"/>
      <w:bookmarkStart w:id="229" w:name="_Toc109921700"/>
      <w:r w:rsidRPr="00C72CE2">
        <w:t>SF-LLL: Disclosure of Lobbying Activities</w:t>
      </w:r>
      <w:r w:rsidR="00B542E0" w:rsidRPr="0022038E">
        <w:t xml:space="preserve"> (</w:t>
      </w:r>
      <w:r w:rsidR="00B542E0" w:rsidRPr="0022038E" w:rsidDel="00B66910">
        <w:t>required</w:t>
      </w:r>
      <w:r w:rsidR="00B542E0" w:rsidRPr="0022038E">
        <w:t>)</w:t>
      </w:r>
      <w:bookmarkEnd w:id="228"/>
      <w:bookmarkEnd w:id="229"/>
    </w:p>
    <w:p w14:paraId="29A2468E" w14:textId="77777777" w:rsidR="006A24B8" w:rsidRPr="008858B4" w:rsidRDefault="004E672B" w:rsidP="00A53BBC">
      <w:pPr>
        <w:ind w:left="1440"/>
      </w:pPr>
      <w:r w:rsidRPr="008858B4">
        <w:t xml:space="preserve">Prime </w:t>
      </w:r>
      <w:r w:rsidR="00647D5B">
        <w:t>r</w:t>
      </w:r>
      <w:r w:rsidR="00647D5B" w:rsidRPr="008858B4">
        <w:t xml:space="preserve">ecipients </w:t>
      </w:r>
      <w:r w:rsidRPr="008858B4">
        <w:t xml:space="preserve">and </w:t>
      </w:r>
      <w:r w:rsidR="001A6434">
        <w:t>s</w:t>
      </w:r>
      <w:r w:rsidR="001A6434" w:rsidRPr="008858B4">
        <w:t xml:space="preserve">ubrecipients </w:t>
      </w:r>
      <w:r w:rsidRPr="008858B4">
        <w:t xml:space="preserve">may not use any </w:t>
      </w:r>
      <w:r w:rsidR="00710ED6">
        <w:t>f</w:t>
      </w:r>
      <w:r w:rsidR="00710ED6" w:rsidRPr="008858B4">
        <w:t xml:space="preserve">ederal </w:t>
      </w:r>
      <w:r w:rsidRPr="008858B4">
        <w:t>funds to influence or attempt to influence, directly or indirectly, congressional action on any legislative or appropriation matters.</w:t>
      </w:r>
    </w:p>
    <w:p w14:paraId="5179823D" w14:textId="77777777" w:rsidR="006A24B8" w:rsidRPr="008858B4" w:rsidRDefault="006A24B8" w:rsidP="003C054B">
      <w:pPr>
        <w:ind w:left="1440"/>
      </w:pPr>
    </w:p>
    <w:p w14:paraId="3D863108" w14:textId="18B08638" w:rsidR="006A24B8" w:rsidDel="00B66910" w:rsidRDefault="004E672B" w:rsidP="00B66910">
      <w:pPr>
        <w:ind w:left="1440"/>
        <w:rPr>
          <w:rFonts w:ascii="Calibri" w:hAnsi="Calibri"/>
        </w:rPr>
      </w:pPr>
      <w:r w:rsidRPr="008858B4">
        <w:t xml:space="preserve">Prime </w:t>
      </w:r>
      <w:r w:rsidR="00647D5B">
        <w:t>r</w:t>
      </w:r>
      <w:r w:rsidR="00647D5B" w:rsidRPr="008858B4">
        <w:t xml:space="preserve">ecipients </w:t>
      </w:r>
      <w:r w:rsidRPr="008858B4">
        <w:t xml:space="preserve">and </w:t>
      </w:r>
      <w:r w:rsidR="001A6434">
        <w:t>s</w:t>
      </w:r>
      <w:r w:rsidR="001A6434" w:rsidRPr="008858B4">
        <w:t xml:space="preserve">ubrecipients </w:t>
      </w:r>
      <w:r w:rsidRPr="008858B4">
        <w:t>are required to complete and submit SF-LLL, “Dis</w:t>
      </w:r>
      <w:r w:rsidR="006712D7">
        <w:t>closure of Lobbying Activities</w:t>
      </w:r>
      <w:r w:rsidR="006712D7" w:rsidRPr="008858B4">
        <w:t>”</w:t>
      </w:r>
      <w:r w:rsidR="00B96293">
        <w:rPr>
          <w:i/>
          <w:sz w:val="20"/>
        </w:rPr>
        <w:t xml:space="preserve"> </w:t>
      </w:r>
      <w:r w:rsidR="00B96293" w:rsidRPr="009F07F7">
        <w:t>(</w:t>
      </w:r>
      <w:hyperlink r:id="rId53" w:history="1">
        <w:r w:rsidR="006712D7" w:rsidRPr="00B96293">
          <w:rPr>
            <w:rStyle w:val="Hyperlink"/>
          </w:rPr>
          <w:t>https://www.grants.gov/web/grants/forms/sf-424-individual-family.html</w:t>
        </w:r>
      </w:hyperlink>
      <w:r w:rsidR="00B96293" w:rsidRPr="009F07F7">
        <w:t>)</w:t>
      </w:r>
      <w:r w:rsidR="00604DB0">
        <w:t xml:space="preserve"> </w:t>
      </w:r>
      <w:r w:rsidR="00A52A6D" w:rsidRPr="00AF2304" w:rsidDel="00B66910">
        <w:rPr>
          <w:rFonts w:ascii="Calibri" w:hAnsi="Calibri"/>
        </w:rPr>
        <w:t>to ensure that non-</w:t>
      </w:r>
      <w:r w:rsidR="00710ED6" w:rsidDel="00B66910">
        <w:rPr>
          <w:rFonts w:ascii="Calibri" w:hAnsi="Calibri"/>
        </w:rPr>
        <w:t>f</w:t>
      </w:r>
      <w:r w:rsidR="00710ED6" w:rsidRPr="00AF2304" w:rsidDel="00B66910">
        <w:rPr>
          <w:rFonts w:ascii="Calibri" w:hAnsi="Calibri"/>
        </w:rPr>
        <w:t xml:space="preserve">ederal </w:t>
      </w:r>
      <w:r w:rsidR="00A52A6D" w:rsidRPr="00AF2304" w:rsidDel="00B66910">
        <w:rPr>
          <w:rFonts w:ascii="Calibri" w:hAnsi="Calibri"/>
        </w:rPr>
        <w:t xml:space="preserve">funds have not been paid </w:t>
      </w:r>
      <w:r w:rsidR="001F3E66" w:rsidRPr="00AF2304" w:rsidDel="00B66910">
        <w:rPr>
          <w:rFonts w:ascii="Calibri" w:hAnsi="Calibri"/>
        </w:rPr>
        <w:t>and</w:t>
      </w:r>
      <w:r w:rsidR="00A52A6D" w:rsidRPr="00AF2304" w:rsidDel="00B66910">
        <w:rPr>
          <w:rFonts w:ascii="Calibri" w:hAnsi="Calibri"/>
        </w:rPr>
        <w:t xml:space="preserve"> will not be paid to any person for influencing or attempting to influence any of the following in connection with </w:t>
      </w:r>
      <w:r w:rsidR="009A02DB" w:rsidDel="00B66910">
        <w:rPr>
          <w:rFonts w:ascii="Calibri" w:hAnsi="Calibri"/>
        </w:rPr>
        <w:t>the</w:t>
      </w:r>
      <w:r w:rsidR="009A02DB" w:rsidRPr="00AF2304" w:rsidDel="00B66910">
        <w:rPr>
          <w:rFonts w:ascii="Calibri" w:hAnsi="Calibri"/>
        </w:rPr>
        <w:t xml:space="preserve"> </w:t>
      </w:r>
      <w:r w:rsidR="00A52A6D" w:rsidRPr="00AF2304" w:rsidDel="00B66910">
        <w:rPr>
          <w:rFonts w:ascii="Calibri" w:hAnsi="Calibri"/>
        </w:rPr>
        <w:t>application:</w:t>
      </w:r>
    </w:p>
    <w:p w14:paraId="1432734A" w14:textId="2F94B255" w:rsidR="00B96293" w:rsidRPr="008858B4" w:rsidDel="00B66910" w:rsidRDefault="00B96293" w:rsidP="009E391F">
      <w:pPr>
        <w:ind w:left="1440"/>
      </w:pPr>
    </w:p>
    <w:p w14:paraId="6013D5B3" w14:textId="77E9BA36" w:rsidR="006A24B8" w:rsidRPr="008858B4" w:rsidDel="00B66910" w:rsidRDefault="004E672B" w:rsidP="00F836F4">
      <w:pPr>
        <w:pStyle w:val="ListParagraph"/>
        <w:numPr>
          <w:ilvl w:val="0"/>
          <w:numId w:val="11"/>
        </w:numPr>
        <w:ind w:left="2160"/>
      </w:pPr>
      <w:r w:rsidRPr="008858B4" w:rsidDel="00B66910">
        <w:t xml:space="preserve">An officer or employee of any </w:t>
      </w:r>
      <w:r w:rsidR="00710ED6" w:rsidDel="00B66910">
        <w:t>f</w:t>
      </w:r>
      <w:r w:rsidR="00710ED6" w:rsidRPr="008858B4" w:rsidDel="00B66910">
        <w:t xml:space="preserve">ederal </w:t>
      </w:r>
      <w:proofErr w:type="gramStart"/>
      <w:r w:rsidRPr="008858B4" w:rsidDel="00B66910">
        <w:t>agency;</w:t>
      </w:r>
      <w:proofErr w:type="gramEnd"/>
    </w:p>
    <w:p w14:paraId="73FA0D0A" w14:textId="0F0EC3DD" w:rsidR="006A24B8" w:rsidRPr="008858B4" w:rsidDel="00B66910" w:rsidRDefault="004E672B" w:rsidP="00F836F4">
      <w:pPr>
        <w:pStyle w:val="ListParagraph"/>
        <w:numPr>
          <w:ilvl w:val="0"/>
          <w:numId w:val="11"/>
        </w:numPr>
        <w:ind w:left="2160"/>
      </w:pPr>
      <w:r w:rsidRPr="008858B4" w:rsidDel="00B66910">
        <w:t xml:space="preserve">A Member of </w:t>
      </w:r>
      <w:proofErr w:type="gramStart"/>
      <w:r w:rsidRPr="008858B4" w:rsidDel="00B66910">
        <w:t>Congress;</w:t>
      </w:r>
      <w:proofErr w:type="gramEnd"/>
    </w:p>
    <w:p w14:paraId="5AD330BE" w14:textId="7D6BB21F" w:rsidR="006A24B8" w:rsidRPr="008858B4" w:rsidDel="00B66910" w:rsidRDefault="004E672B" w:rsidP="00F836F4">
      <w:pPr>
        <w:pStyle w:val="ListParagraph"/>
        <w:numPr>
          <w:ilvl w:val="0"/>
          <w:numId w:val="11"/>
        </w:numPr>
        <w:ind w:left="2160"/>
      </w:pPr>
      <w:r w:rsidRPr="008858B4" w:rsidDel="00B66910">
        <w:t>An officer or employee of Congress; or</w:t>
      </w:r>
    </w:p>
    <w:p w14:paraId="7301C974" w14:textId="279D42A7" w:rsidR="006A24B8" w:rsidRPr="008858B4" w:rsidRDefault="004E672B" w:rsidP="00F836F4">
      <w:pPr>
        <w:pStyle w:val="ListParagraph"/>
        <w:numPr>
          <w:ilvl w:val="0"/>
          <w:numId w:val="11"/>
        </w:numPr>
        <w:ind w:left="2160"/>
      </w:pPr>
      <w:r w:rsidRPr="008858B4" w:rsidDel="00B66910">
        <w:t>An employee of a Member of Congress.</w:t>
      </w:r>
    </w:p>
    <w:p w14:paraId="269A5E94" w14:textId="77777777" w:rsidR="006A24B8" w:rsidRPr="008858B4" w:rsidRDefault="006A24B8" w:rsidP="00CD718A">
      <w:pPr>
        <w:ind w:left="1440"/>
      </w:pPr>
    </w:p>
    <w:p w14:paraId="0ABCD608" w14:textId="51FEEC47" w:rsidR="00B96293" w:rsidRDefault="00B96293" w:rsidP="00E97D64">
      <w:pPr>
        <w:ind w:left="1440"/>
      </w:pPr>
      <w:r>
        <w:t>Save the SF-LLL in a single PDF file using the following convention for the title</w:t>
      </w:r>
      <w:r w:rsidR="003E220B">
        <w:t xml:space="preserve"> </w:t>
      </w:r>
      <w:r>
        <w:t>“</w:t>
      </w:r>
      <w:proofErr w:type="spellStart"/>
      <w:r>
        <w:t>ControlNumber_LeadOrganization_SF</w:t>
      </w:r>
      <w:proofErr w:type="spellEnd"/>
      <w:r>
        <w:t>-LLL”.</w:t>
      </w:r>
      <w:r w:rsidRPr="008858B4" w:rsidDel="00B96293">
        <w:t xml:space="preserve"> </w:t>
      </w:r>
    </w:p>
    <w:p w14:paraId="0FDB0381" w14:textId="2FE5E10B" w:rsidR="006A24B8" w:rsidRPr="008858B4" w:rsidRDefault="006A24B8" w:rsidP="008858B4"/>
    <w:p w14:paraId="60222C60" w14:textId="3A6F71A3" w:rsidR="006A24B8" w:rsidRDefault="00141D31" w:rsidP="00F836F4">
      <w:pPr>
        <w:pStyle w:val="FOAHeading3"/>
        <w:numPr>
          <w:ilvl w:val="0"/>
          <w:numId w:val="31"/>
        </w:numPr>
        <w:ind w:left="1440"/>
        <w:outlineLvl w:val="2"/>
      </w:pPr>
      <w:bookmarkStart w:id="230" w:name="_Toc109921701"/>
      <w:r>
        <w:t>Foreign Entity Participation</w:t>
      </w:r>
      <w:bookmarkEnd w:id="230"/>
    </w:p>
    <w:p w14:paraId="311CC4E9" w14:textId="237511C3" w:rsidR="00DE6EBA" w:rsidRPr="008858B4" w:rsidRDefault="00DE6EBA" w:rsidP="00654C6F">
      <w:pPr>
        <w:ind w:left="1440"/>
      </w:pPr>
      <w:r>
        <w:t>For projects selected under this FOA, a</w:t>
      </w:r>
      <w:r w:rsidRPr="008858B4">
        <w:t xml:space="preserve">s set forth in </w:t>
      </w:r>
      <w:r w:rsidRPr="00563B4B">
        <w:t>Section III</w:t>
      </w:r>
      <w:r w:rsidRPr="008858B4">
        <w:t xml:space="preserve">, all </w:t>
      </w:r>
      <w:r>
        <w:t>p</w:t>
      </w:r>
      <w:r w:rsidRPr="008858B4">
        <w:t xml:space="preserve">rime </w:t>
      </w:r>
      <w:r>
        <w:t>r</w:t>
      </w:r>
      <w:r w:rsidRPr="008858B4">
        <w:t xml:space="preserve">ecipients </w:t>
      </w:r>
      <w:r>
        <w:t xml:space="preserve">and subrecipients </w:t>
      </w:r>
      <w:r w:rsidRPr="008858B4">
        <w:t>must be</w:t>
      </w:r>
      <w:r>
        <w:rPr>
          <w:rFonts w:eastAsia="Segoe UI" w:cs="Segoe UI"/>
        </w:rPr>
        <w:t xml:space="preserve"> </w:t>
      </w:r>
      <w:r>
        <w:rPr>
          <w:color w:val="000000" w:themeColor="text1"/>
        </w:rPr>
        <w:t xml:space="preserve">organized, </w:t>
      </w:r>
      <w:proofErr w:type="gramStart"/>
      <w:r>
        <w:rPr>
          <w:color w:val="000000" w:themeColor="text1"/>
        </w:rPr>
        <w:t>chartered</w:t>
      </w:r>
      <w:proofErr w:type="gramEnd"/>
      <w:r>
        <w:rPr>
          <w:color w:val="000000" w:themeColor="text1"/>
        </w:rPr>
        <w:t xml:space="preserve"> or </w:t>
      </w:r>
      <w:r w:rsidRPr="00133B3C">
        <w:rPr>
          <w:color w:val="000000" w:themeColor="text1"/>
        </w:rPr>
        <w:t xml:space="preserve">incorporated (or otherwise formed) under the laws of a particular </w:t>
      </w:r>
      <w:r>
        <w:rPr>
          <w:color w:val="000000" w:themeColor="text1"/>
        </w:rPr>
        <w:t>s</w:t>
      </w:r>
      <w:r w:rsidRPr="00133B3C">
        <w:rPr>
          <w:color w:val="000000" w:themeColor="text1"/>
        </w:rPr>
        <w:t>tate or territory of the United States</w:t>
      </w:r>
      <w:r>
        <w:rPr>
          <w:rFonts w:eastAsia="Segoe UI" w:cs="Segoe UI"/>
        </w:rPr>
        <w:t xml:space="preserve">; have </w:t>
      </w:r>
      <w:r w:rsidRPr="00A34895">
        <w:rPr>
          <w:rFonts w:eastAsia="Segoe UI" w:cs="Segoe UI"/>
        </w:rPr>
        <w:t xml:space="preserve">majority domestic ownership </w:t>
      </w:r>
      <w:r>
        <w:rPr>
          <w:rFonts w:eastAsia="Segoe UI" w:cs="Segoe UI"/>
        </w:rPr>
        <w:t>and</w:t>
      </w:r>
      <w:r w:rsidRPr="00A34895">
        <w:rPr>
          <w:rFonts w:eastAsia="Segoe UI" w:cs="Segoe UI"/>
        </w:rPr>
        <w:t xml:space="preserve"> control</w:t>
      </w:r>
      <w:r>
        <w:rPr>
          <w:rFonts w:eastAsia="Segoe UI" w:cs="Segoe UI"/>
        </w:rPr>
        <w:t>;</w:t>
      </w:r>
      <w:r w:rsidRPr="00A34895">
        <w:rPr>
          <w:rFonts w:eastAsia="Segoe UI" w:cs="Segoe UI"/>
        </w:rPr>
        <w:t xml:space="preserve"> and have a physical place of business in the United States</w:t>
      </w:r>
      <w:r w:rsidRPr="008858B4">
        <w:rPr>
          <w:rFonts w:eastAsia="Segoe UI"/>
        </w:rPr>
        <w:t xml:space="preserve">. </w:t>
      </w:r>
      <w:r w:rsidRPr="008858B4">
        <w:t xml:space="preserve">To request a waiver of this requirement, the applicant must submit an explicit waiver request in the Full Application. </w:t>
      </w:r>
      <w:r w:rsidRPr="00563B4B">
        <w:rPr>
          <w:u w:val="single"/>
        </w:rPr>
        <w:t>Appendix C</w:t>
      </w:r>
      <w:r w:rsidRPr="008858B4">
        <w:rPr>
          <w:u w:val="single"/>
        </w:rPr>
        <w:t xml:space="preserve"> lists the</w:t>
      </w:r>
      <w:r>
        <w:rPr>
          <w:u w:val="single"/>
        </w:rPr>
        <w:t xml:space="preserve"> </w:t>
      </w:r>
      <w:r w:rsidRPr="008858B4">
        <w:rPr>
          <w:u w:val="single"/>
        </w:rPr>
        <w:t xml:space="preserve">information that must be included in a </w:t>
      </w:r>
      <w:r>
        <w:rPr>
          <w:u w:val="single"/>
        </w:rPr>
        <w:t xml:space="preserve">waiver </w:t>
      </w:r>
      <w:r w:rsidRPr="008858B4">
        <w:rPr>
          <w:u w:val="single"/>
        </w:rPr>
        <w:t>request</w:t>
      </w:r>
      <w:r w:rsidRPr="008858B4">
        <w:t>.</w:t>
      </w:r>
    </w:p>
    <w:p w14:paraId="48577428" w14:textId="77777777" w:rsidR="00141D31" w:rsidRDefault="00141D31" w:rsidP="00DB1DE6">
      <w:pPr>
        <w:pStyle w:val="FOATemplateBody"/>
        <w:ind w:left="1440"/>
      </w:pPr>
    </w:p>
    <w:p w14:paraId="14D2CDC3" w14:textId="0B57BF10" w:rsidR="00141D31" w:rsidRDefault="00141D31" w:rsidP="00F836F4">
      <w:pPr>
        <w:pStyle w:val="FOAHeading3"/>
        <w:numPr>
          <w:ilvl w:val="0"/>
          <w:numId w:val="31"/>
        </w:numPr>
        <w:ind w:left="1440"/>
        <w:outlineLvl w:val="2"/>
      </w:pPr>
      <w:bookmarkStart w:id="231" w:name="_Toc109921702"/>
      <w:r>
        <w:t>Foreign Work Waiver Request</w:t>
      </w:r>
      <w:bookmarkEnd w:id="231"/>
    </w:p>
    <w:p w14:paraId="2D26D028" w14:textId="51DE2C14" w:rsidR="00141D31" w:rsidRDefault="00141D31" w:rsidP="00141D31">
      <w:pPr>
        <w:pStyle w:val="FOATemplateBody"/>
        <w:ind w:left="1440"/>
      </w:pPr>
      <w:r>
        <w:t xml:space="preserve">As set forth in Section </w:t>
      </w:r>
      <w:proofErr w:type="spellStart"/>
      <w:r w:rsidRPr="00563B4B">
        <w:t>IV.J.iii</w:t>
      </w:r>
      <w:proofErr w:type="spellEnd"/>
      <w:r w:rsidRPr="00563B4B">
        <w:t>.,</w:t>
      </w:r>
      <w:r>
        <w:t xml:space="preserve"> all work under EERE funding agreements must be performed in the United States. </w:t>
      </w:r>
      <w:r w:rsidR="00DE6EBA" w:rsidRPr="008858B4">
        <w:t>To request a waiver of this requirement, the applicant must submit an explicit waiver request in the Full Application.</w:t>
      </w:r>
      <w:r w:rsidR="00DE6EBA">
        <w:t xml:space="preserve"> </w:t>
      </w:r>
      <w:r>
        <w:t>Appendix C lists the</w:t>
      </w:r>
      <w:r w:rsidR="00F81AD6">
        <w:t xml:space="preserve"> </w:t>
      </w:r>
      <w:r>
        <w:t>information that must be included in a foreign work waiver request.</w:t>
      </w:r>
    </w:p>
    <w:p w14:paraId="450C66DF" w14:textId="77777777" w:rsidR="00141D31" w:rsidRDefault="00141D31" w:rsidP="00141D31">
      <w:pPr>
        <w:pStyle w:val="FOATemplateBody"/>
      </w:pPr>
    </w:p>
    <w:p w14:paraId="40496CA1" w14:textId="0083A34F" w:rsidR="00141D31" w:rsidRDefault="00141D31" w:rsidP="00DB1DE6">
      <w:pPr>
        <w:pStyle w:val="FOATemplateBody"/>
        <w:ind w:left="1440"/>
      </w:pPr>
      <w:r>
        <w:t>Save the Waivers in a single PDF file using the following convention for the title “</w:t>
      </w:r>
      <w:proofErr w:type="spellStart"/>
      <w:r>
        <w:t>ControlNumber_LeadOrganization_Waiver</w:t>
      </w:r>
      <w:proofErr w:type="spellEnd"/>
      <w:r>
        <w:t>”.</w:t>
      </w:r>
    </w:p>
    <w:p w14:paraId="551CB4A9" w14:textId="77777777" w:rsidR="00DE6EBA" w:rsidRDefault="00DE6EBA" w:rsidP="00DB1DE6">
      <w:pPr>
        <w:pStyle w:val="FOATemplateBody"/>
        <w:ind w:left="1440"/>
      </w:pPr>
    </w:p>
    <w:p w14:paraId="18FE03CD" w14:textId="7158EA59" w:rsidR="00141D31" w:rsidRDefault="00141D31" w:rsidP="00F836F4">
      <w:pPr>
        <w:pStyle w:val="FOAHeading3"/>
        <w:numPr>
          <w:ilvl w:val="0"/>
          <w:numId w:val="31"/>
        </w:numPr>
        <w:ind w:left="1440"/>
        <w:outlineLvl w:val="2"/>
      </w:pPr>
      <w:bookmarkStart w:id="232" w:name="_Toc109921703"/>
      <w:r>
        <w:t xml:space="preserve">Waiver of the </w:t>
      </w:r>
      <w:r w:rsidR="0005637C">
        <w:t xml:space="preserve">Build America, </w:t>
      </w:r>
      <w:r>
        <w:t>Buy America Requirement for Infrastructure Projects</w:t>
      </w:r>
      <w:bookmarkEnd w:id="232"/>
    </w:p>
    <w:p w14:paraId="7062F3DD" w14:textId="77777777" w:rsidR="006628F7" w:rsidRPr="006628F7" w:rsidRDefault="006628F7" w:rsidP="00654C6F">
      <w:pPr>
        <w:ind w:left="1440"/>
      </w:pPr>
      <w:bookmarkStart w:id="233" w:name="_Hlk97654224"/>
      <w:r w:rsidRPr="006628F7">
        <w:t xml:space="preserve">As set forth in Section </w:t>
      </w:r>
      <w:proofErr w:type="spellStart"/>
      <w:r w:rsidRPr="006628F7">
        <w:t>IV.K.vii</w:t>
      </w:r>
      <w:proofErr w:type="spellEnd"/>
      <w:r w:rsidRPr="006628F7">
        <w:t xml:space="preserve">., federally assisted projects which involve, undertaken by applicable recipient types, require that: </w:t>
      </w:r>
    </w:p>
    <w:p w14:paraId="1F3245CC" w14:textId="77777777" w:rsidR="006628F7" w:rsidRPr="006628F7" w:rsidRDefault="006628F7" w:rsidP="000408E6">
      <w:pPr>
        <w:pStyle w:val="ListParagraph"/>
        <w:numPr>
          <w:ilvl w:val="0"/>
          <w:numId w:val="105"/>
        </w:numPr>
        <w:rPr>
          <w:rFonts w:ascii="Calibri" w:eastAsiaTheme="minorHAnsi" w:hAnsi="Calibri" w:cstheme="minorBidi"/>
          <w:szCs w:val="22"/>
        </w:rPr>
      </w:pPr>
      <w:r w:rsidRPr="006628F7">
        <w:rPr>
          <w:rFonts w:ascii="Calibri" w:eastAsiaTheme="minorHAnsi" w:hAnsi="Calibri" w:cstheme="minorBidi"/>
          <w:szCs w:val="22"/>
        </w:rPr>
        <w:t xml:space="preserve">all iron, steel, and manufactured products used in the infrastructure work are produced in the United States; and </w:t>
      </w:r>
    </w:p>
    <w:p w14:paraId="66AC54C9" w14:textId="77777777" w:rsidR="006628F7" w:rsidRPr="006628F7" w:rsidRDefault="006628F7" w:rsidP="000408E6">
      <w:pPr>
        <w:pStyle w:val="ListParagraph"/>
        <w:numPr>
          <w:ilvl w:val="0"/>
          <w:numId w:val="105"/>
        </w:numPr>
        <w:rPr>
          <w:rFonts w:ascii="Calibri" w:eastAsiaTheme="minorHAnsi" w:hAnsi="Calibri" w:cstheme="minorBidi"/>
          <w:szCs w:val="22"/>
        </w:rPr>
      </w:pPr>
      <w:r w:rsidRPr="006628F7">
        <w:rPr>
          <w:rFonts w:ascii="Calibri" w:eastAsiaTheme="minorHAnsi" w:hAnsi="Calibri" w:cstheme="minorBidi"/>
          <w:szCs w:val="22"/>
        </w:rPr>
        <w:t xml:space="preserve">all construction materials used in the infrastructure work are manufactured in the United States. </w:t>
      </w:r>
    </w:p>
    <w:p w14:paraId="7C3D8D44" w14:textId="77777777" w:rsidR="006628F7" w:rsidRPr="006628F7" w:rsidRDefault="006628F7" w:rsidP="00654C6F">
      <w:pPr>
        <w:ind w:left="1440"/>
      </w:pPr>
      <w:r w:rsidRPr="006628F7">
        <w:t xml:space="preserve">In limited circumstances, DOE may grant a waiver of this requirement. Appendix D to this FOA provides guidance on how “infrastructure work” is defined, explains the applicable justifications under which a waiver may be granted, and lists the information that must be included in the waiver request. </w:t>
      </w:r>
    </w:p>
    <w:p w14:paraId="60615945" w14:textId="77777777" w:rsidR="006628F7" w:rsidRPr="006628F7" w:rsidRDefault="006628F7" w:rsidP="00654C6F">
      <w:pPr>
        <w:ind w:left="1440"/>
      </w:pPr>
    </w:p>
    <w:bookmarkEnd w:id="233"/>
    <w:p w14:paraId="11AA97BE" w14:textId="77777777" w:rsidR="006628F7" w:rsidRPr="008858B4" w:rsidRDefault="006628F7" w:rsidP="00654C6F">
      <w:pPr>
        <w:ind w:left="1440"/>
      </w:pPr>
      <w:r w:rsidRPr="006628F7">
        <w:t xml:space="preserve">Save the Waivers in a single PDF file </w:t>
      </w:r>
      <w:r w:rsidRPr="006628F7">
        <w:rPr>
          <w:rFonts w:ascii="Calibri" w:hAnsi="Calibri" w:cs="Calibri"/>
          <w:color w:val="000000"/>
          <w:szCs w:val="24"/>
        </w:rPr>
        <w:t>using the following convention for the title “</w:t>
      </w:r>
      <w:proofErr w:type="spellStart"/>
      <w:r w:rsidRPr="006628F7">
        <w:rPr>
          <w:rFonts w:ascii="Calibri" w:hAnsi="Calibri" w:cs="Calibri"/>
          <w:color w:val="000000"/>
          <w:szCs w:val="24"/>
        </w:rPr>
        <w:t>ControlNumber_LeadOrganization_BAWaiver</w:t>
      </w:r>
      <w:proofErr w:type="spellEnd"/>
      <w:r w:rsidRPr="006628F7">
        <w:rPr>
          <w:rFonts w:ascii="Calibri" w:hAnsi="Calibri" w:cs="Calibri"/>
          <w:color w:val="000000"/>
          <w:szCs w:val="24"/>
        </w:rPr>
        <w:t>”</w:t>
      </w:r>
      <w:r w:rsidRPr="006628F7">
        <w:t>.</w:t>
      </w:r>
    </w:p>
    <w:p w14:paraId="776F6746" w14:textId="5BDAAFA2" w:rsidR="00FB244E" w:rsidRPr="00563B4B" w:rsidRDefault="00FB244E" w:rsidP="00F836F4">
      <w:pPr>
        <w:pStyle w:val="FOAHeading3"/>
        <w:numPr>
          <w:ilvl w:val="0"/>
          <w:numId w:val="31"/>
        </w:numPr>
        <w:spacing w:before="100" w:beforeAutospacing="1" w:after="100" w:afterAutospacing="1"/>
        <w:ind w:left="1440"/>
        <w:rPr>
          <w:color w:val="000000"/>
        </w:rPr>
      </w:pPr>
      <w:bookmarkStart w:id="234" w:name="_Toc378067997"/>
      <w:bookmarkStart w:id="235" w:name="_Toc378067996"/>
      <w:bookmarkStart w:id="236" w:name="_Toc378068001"/>
      <w:r w:rsidRPr="00A403B7">
        <w:rPr>
          <w:color w:val="000000" w:themeColor="text1"/>
        </w:rPr>
        <w:t xml:space="preserve">Community Benefits Plan: Job Quality and Equity </w:t>
      </w:r>
    </w:p>
    <w:p w14:paraId="352C4E79" w14:textId="440AEF65" w:rsidR="006628F7" w:rsidRDefault="00FB244E" w:rsidP="006628F7">
      <w:pPr>
        <w:pStyle w:val="FOAHeading3"/>
        <w:numPr>
          <w:ilvl w:val="0"/>
          <w:numId w:val="0"/>
        </w:numPr>
        <w:spacing w:before="100" w:beforeAutospacing="1" w:after="100" w:afterAutospacing="1"/>
        <w:ind w:left="1440"/>
        <w:rPr>
          <w:rFonts w:asciiTheme="minorHAnsi" w:hAnsiTheme="minorHAnsi"/>
          <w:b w:val="0"/>
          <w:color w:val="000000" w:themeColor="text1"/>
          <w:sz w:val="24"/>
        </w:rPr>
      </w:pPr>
      <w:r w:rsidRPr="00A403B7">
        <w:rPr>
          <w:rFonts w:asciiTheme="minorHAnsi" w:hAnsiTheme="minorHAnsi"/>
          <w:b w:val="0"/>
          <w:color w:val="000000" w:themeColor="text1"/>
          <w:sz w:val="24"/>
        </w:rPr>
        <w:t>The Community Benefits Plan: Job Quality and Equity (</w:t>
      </w:r>
      <w:r w:rsidR="00A42D66" w:rsidRPr="00A403B7">
        <w:rPr>
          <w:rFonts w:cstheme="minorHAnsi"/>
          <w:b w:val="0"/>
          <w:color w:val="000000"/>
          <w:sz w:val="24"/>
          <w:szCs w:val="22"/>
        </w:rPr>
        <w:t>a</w:t>
      </w:r>
      <w:r w:rsidR="00A403B7">
        <w:rPr>
          <w:rFonts w:cstheme="minorHAnsi"/>
          <w:b w:val="0"/>
          <w:color w:val="000000"/>
          <w:sz w:val="24"/>
          <w:szCs w:val="22"/>
        </w:rPr>
        <w:t>.</w:t>
      </w:r>
      <w:r w:rsidR="00A42D66" w:rsidRPr="00A403B7">
        <w:rPr>
          <w:rFonts w:cstheme="minorHAnsi"/>
          <w:b w:val="0"/>
          <w:color w:val="000000"/>
          <w:sz w:val="24"/>
          <w:szCs w:val="22"/>
        </w:rPr>
        <w:t>k</w:t>
      </w:r>
      <w:r w:rsidR="00A403B7">
        <w:rPr>
          <w:rFonts w:cstheme="minorHAnsi"/>
          <w:b w:val="0"/>
          <w:color w:val="000000"/>
          <w:sz w:val="24"/>
          <w:szCs w:val="22"/>
        </w:rPr>
        <w:t>.</w:t>
      </w:r>
      <w:r w:rsidR="00A42D66" w:rsidRPr="00A403B7">
        <w:rPr>
          <w:rFonts w:cstheme="minorHAnsi"/>
          <w:b w:val="0"/>
          <w:color w:val="000000"/>
          <w:sz w:val="24"/>
          <w:szCs w:val="22"/>
        </w:rPr>
        <w:t>a</w:t>
      </w:r>
      <w:r w:rsidR="00A403B7">
        <w:rPr>
          <w:rFonts w:cstheme="minorHAnsi"/>
          <w:b w:val="0"/>
          <w:color w:val="000000"/>
          <w:sz w:val="24"/>
          <w:szCs w:val="22"/>
        </w:rPr>
        <w:t>.</w:t>
      </w:r>
      <w:r w:rsidR="00A42D66">
        <w:rPr>
          <w:rFonts w:cstheme="minorHAnsi"/>
          <w:bCs/>
          <w:color w:val="000000"/>
          <w:szCs w:val="24"/>
        </w:rPr>
        <w:t xml:space="preserve"> </w:t>
      </w:r>
      <w:r w:rsidRPr="00A403B7">
        <w:rPr>
          <w:rFonts w:asciiTheme="minorHAnsi" w:hAnsiTheme="minorHAnsi"/>
          <w:b w:val="0"/>
          <w:color w:val="000000" w:themeColor="text1"/>
          <w:sz w:val="24"/>
        </w:rPr>
        <w:t>Community Benefits Plan or Plan) must set forth the applicant’s framework to ensure that federal investments in the</w:t>
      </w:r>
      <w:r w:rsidR="00A403B7">
        <w:rPr>
          <w:rFonts w:asciiTheme="minorHAnsi" w:hAnsiTheme="minorHAnsi"/>
          <w:b w:val="0"/>
          <w:color w:val="000000" w:themeColor="text1"/>
          <w:sz w:val="24"/>
        </w:rPr>
        <w:t xml:space="preserve"> </w:t>
      </w:r>
      <w:r w:rsidR="0052400A" w:rsidRPr="00A403B7">
        <w:rPr>
          <w:rFonts w:asciiTheme="minorHAnsi" w:hAnsiTheme="minorHAnsi"/>
          <w:b w:val="0"/>
          <w:color w:val="000000" w:themeColor="text1"/>
          <w:sz w:val="24"/>
        </w:rPr>
        <w:t>electric</w:t>
      </w:r>
      <w:r w:rsidR="00B000F5" w:rsidRPr="00A403B7">
        <w:rPr>
          <w:rFonts w:asciiTheme="minorHAnsi" w:hAnsiTheme="minorHAnsi"/>
          <w:b w:val="0"/>
          <w:color w:val="000000" w:themeColor="text1"/>
          <w:sz w:val="24"/>
        </w:rPr>
        <w:t xml:space="preserve"> utility</w:t>
      </w:r>
      <w:r w:rsidRPr="00A403B7">
        <w:rPr>
          <w:rFonts w:asciiTheme="minorHAnsi" w:hAnsiTheme="minorHAnsi"/>
          <w:b w:val="0"/>
          <w:color w:val="000000" w:themeColor="text1"/>
          <w:sz w:val="24"/>
        </w:rPr>
        <w:t xml:space="preserve"> sector advance the following priorities: community and worker engagement; quality jobs; diversity, equity, inclusion, and accessibility (DEIA); and the Justice40 Initiative. The below sections set forth the Plan requirements in each of the foregoing areas. </w:t>
      </w:r>
    </w:p>
    <w:p w14:paraId="2A2DBA6F" w14:textId="77777777" w:rsidR="006628F7" w:rsidRPr="006628F7" w:rsidRDefault="006628F7" w:rsidP="006628F7">
      <w:pPr>
        <w:ind w:left="1440"/>
        <w:rPr>
          <w:rFonts w:eastAsia="Segoe UI" w:cs="Segoe UI"/>
        </w:rPr>
      </w:pPr>
      <w:r w:rsidRPr="006628F7">
        <w:t>The applicant’s Community Benefits</w:t>
      </w:r>
      <w:r w:rsidRPr="006628F7" w:rsidDel="009A415E">
        <w:t xml:space="preserve"> </w:t>
      </w:r>
      <w:r w:rsidRPr="006628F7">
        <w:t>Plan must include at least one SMART (Specific, Measurable, Assignable, Realistic and Time-Related) milestone per budget period supported by metrics to measure the success of the proposed actions. The Community Benefits Plan will be evaluated as part of the technical review process. If the project is</w:t>
      </w:r>
      <w:r w:rsidRPr="006628F7">
        <w:rPr>
          <w:rFonts w:eastAsia="Segoe UI"/>
        </w:rPr>
        <w:t xml:space="preserve"> selected, </w:t>
      </w:r>
      <w:r w:rsidRPr="006628F7">
        <w:rPr>
          <w:rFonts w:eastAsia="Segoe UI" w:cs="Segoe UI"/>
        </w:rPr>
        <w:t>DOE will incorporate the Community Benefits Plan</w:t>
      </w:r>
      <w:r w:rsidRPr="006628F7" w:rsidDel="003725E8">
        <w:rPr>
          <w:rFonts w:ascii="TT13Et00" w:eastAsia="Segoe UI" w:hAnsi="TT13Et00" w:cs="TT13Et00"/>
          <w:color w:val="000000" w:themeColor="text1"/>
        </w:rPr>
        <w:t xml:space="preserve"> </w:t>
      </w:r>
      <w:r w:rsidRPr="006628F7">
        <w:rPr>
          <w:rFonts w:eastAsia="Segoe UI" w:cs="Segoe UI"/>
        </w:rPr>
        <w:t>into the award as part of the project requirements and the recipient will be required to meet the elements proposed in the plan. During the life of the DOE award, DOE will evaluate the recipient’s progress, including as part of the Go/No-Go review process.</w:t>
      </w:r>
    </w:p>
    <w:p w14:paraId="375607CC" w14:textId="77777777" w:rsidR="006628F7" w:rsidRPr="006628F7" w:rsidRDefault="006628F7" w:rsidP="006628F7">
      <w:pPr>
        <w:rPr>
          <w:rFonts w:eastAsia="Segoe UI" w:cs="Segoe UI"/>
        </w:rPr>
      </w:pPr>
    </w:p>
    <w:p w14:paraId="7A75DDEB" w14:textId="02BD845C" w:rsidR="006628F7" w:rsidRPr="006628F7" w:rsidRDefault="006628F7" w:rsidP="006628F7">
      <w:pPr>
        <w:ind w:left="1440"/>
        <w:rPr>
          <w:rFonts w:eastAsia="Segoe UI" w:cs="Segoe UI"/>
        </w:rPr>
      </w:pPr>
      <w:r w:rsidRPr="006628F7">
        <w:rPr>
          <w:rFonts w:eastAsia="Segoe UI" w:cs="Segoe UI"/>
        </w:rPr>
        <w:t>The Community Benefits Plan</w:t>
      </w:r>
      <w:r w:rsidRPr="006628F7" w:rsidDel="00F82AA1">
        <w:rPr>
          <w:rFonts w:eastAsia="Segoe UI" w:cs="Segoe UI"/>
        </w:rPr>
        <w:t xml:space="preserve"> </w:t>
      </w:r>
      <w:r w:rsidRPr="006628F7">
        <w:rPr>
          <w:rFonts w:eastAsia="Segoe UI" w:cs="Segoe UI"/>
        </w:rPr>
        <w:t xml:space="preserve">must be submitted in PDF format and must not exceed </w:t>
      </w:r>
      <w:r w:rsidR="004E47F7">
        <w:rPr>
          <w:rFonts w:eastAsia="Segoe UI" w:cs="Segoe UI"/>
        </w:rPr>
        <w:t>6</w:t>
      </w:r>
      <w:r w:rsidRPr="006628F7">
        <w:rPr>
          <w:rFonts w:eastAsia="Segoe UI" w:cs="Segoe UI"/>
        </w:rPr>
        <w:t xml:space="preserve"> pages, including all citations, charts, graphs, maps, photos, or other graphics. This Plan must address the technical review criterion titled, “Community Benefits Plan</w:t>
      </w:r>
      <w:r w:rsidRPr="006628F7" w:rsidDel="007D40CD">
        <w:rPr>
          <w:rFonts w:eastAsia="Segoe UI" w:cs="Segoe UI"/>
        </w:rPr>
        <w:t>: Job</w:t>
      </w:r>
      <w:r w:rsidRPr="006628F7">
        <w:rPr>
          <w:rFonts w:eastAsia="Segoe UI" w:cs="Segoe UI"/>
        </w:rPr>
        <w:t xml:space="preserve"> Quality</w:t>
      </w:r>
      <w:r w:rsidRPr="006628F7" w:rsidDel="007D40CD">
        <w:rPr>
          <w:rFonts w:eastAsia="Segoe UI" w:cs="Segoe UI"/>
        </w:rPr>
        <w:t xml:space="preserve"> &amp; </w:t>
      </w:r>
      <w:r w:rsidRPr="006628F7">
        <w:rPr>
          <w:rFonts w:eastAsia="Segoe UI" w:cs="Segoe UI"/>
        </w:rPr>
        <w:t xml:space="preserve">Equity.” See Section V of the FOA. </w:t>
      </w:r>
    </w:p>
    <w:p w14:paraId="16CF8526" w14:textId="77777777" w:rsidR="006628F7" w:rsidRPr="006628F7" w:rsidRDefault="006628F7" w:rsidP="006628F7">
      <w:pPr>
        <w:ind w:left="1440"/>
        <w:rPr>
          <w:rFonts w:eastAsia="Segoe UI" w:cs="Segoe UI"/>
        </w:rPr>
      </w:pPr>
    </w:p>
    <w:p w14:paraId="3233B130" w14:textId="77777777" w:rsidR="006628F7" w:rsidRPr="006628F7" w:rsidRDefault="006628F7" w:rsidP="006628F7">
      <w:pPr>
        <w:keepNext/>
        <w:ind w:left="1440"/>
        <w:contextualSpacing/>
        <w:rPr>
          <w:rFonts w:ascii="TT13Et00" w:eastAsia="Segoe UI" w:hAnsi="TT13Et00" w:cs="Segoe UI"/>
          <w:bCs/>
          <w:szCs w:val="24"/>
        </w:rPr>
      </w:pPr>
      <w:r w:rsidRPr="006628F7">
        <w:rPr>
          <w:rFonts w:ascii="TT13Et00" w:eastAsia="Segoe UI" w:hAnsi="TT13Et00" w:cs="Segoe UI"/>
          <w:bCs/>
          <w:szCs w:val="24"/>
        </w:rPr>
        <w:t xml:space="preserve">Save the Community Benefits Plan in a single PDF file using the following convention for the title “Control </w:t>
      </w:r>
      <w:proofErr w:type="spellStart"/>
      <w:r w:rsidRPr="006628F7">
        <w:rPr>
          <w:rFonts w:ascii="TT13Et00" w:eastAsia="Segoe UI" w:hAnsi="TT13Et00" w:cs="Segoe UI"/>
          <w:bCs/>
          <w:szCs w:val="24"/>
        </w:rPr>
        <w:t>Number_LeadOrganization_CBenefits</w:t>
      </w:r>
      <w:proofErr w:type="spellEnd"/>
      <w:r w:rsidRPr="006628F7">
        <w:rPr>
          <w:rFonts w:ascii="TT13Et00" w:eastAsia="Segoe UI" w:hAnsi="TT13Et00" w:cs="Segoe UI"/>
          <w:bCs/>
          <w:szCs w:val="24"/>
        </w:rPr>
        <w:t>.”</w:t>
      </w:r>
    </w:p>
    <w:p w14:paraId="3122E093" w14:textId="77777777" w:rsidR="006628F7" w:rsidRDefault="006628F7" w:rsidP="00B000F5">
      <w:pPr>
        <w:ind w:left="1440"/>
        <w:rPr>
          <w:b/>
          <w:color w:val="000000" w:themeColor="text1"/>
        </w:rPr>
      </w:pPr>
    </w:p>
    <w:p w14:paraId="458EF437" w14:textId="0D5C8339" w:rsidR="00346F8A" w:rsidRPr="00A403B7" w:rsidRDefault="0098592C" w:rsidP="00B000F5">
      <w:pPr>
        <w:ind w:left="1440"/>
        <w:rPr>
          <w:color w:val="000000"/>
        </w:rPr>
      </w:pPr>
      <w:r w:rsidRPr="00A403B7">
        <w:rPr>
          <w:b/>
          <w:color w:val="000000" w:themeColor="text1"/>
        </w:rPr>
        <w:t xml:space="preserve">Community and Labor Engagement: </w:t>
      </w:r>
      <w:r w:rsidRPr="00A403B7">
        <w:rPr>
          <w:color w:val="000000" w:themeColor="text1"/>
        </w:rPr>
        <w:t xml:space="preserve">The Community Benefits Plan must set forth the applicant’s prior actions and </w:t>
      </w:r>
      <w:proofErr w:type="gramStart"/>
      <w:r w:rsidRPr="00A403B7">
        <w:rPr>
          <w:color w:val="000000" w:themeColor="text1"/>
        </w:rPr>
        <w:t>future plans</w:t>
      </w:r>
      <w:proofErr w:type="gramEnd"/>
      <w:r w:rsidRPr="00A403B7">
        <w:rPr>
          <w:color w:val="000000" w:themeColor="text1"/>
        </w:rPr>
        <w:t xml:space="preserve"> to engage with an inclusive collection of local stakeholders – such as, residents and businesses, entities that carry out workforce development programs, labor unions and worker organizations, local government, and community-based organizations that support or work with disadvantaged communities. For any engagement that occurred in developing the proposed project, applicants should provide letters of support from representative organizations reflecting substantive feedback on applicant’s approach to community benefits including the quality jobs; diversity, equity, inclusion, and access; and Justice40 provisions detailed below.</w:t>
      </w:r>
    </w:p>
    <w:p w14:paraId="2F5E7248" w14:textId="5A4F5987" w:rsidR="00346F8A" w:rsidRDefault="00346F8A" w:rsidP="00B000F5">
      <w:pPr>
        <w:ind w:left="1440"/>
        <w:rPr>
          <w:b/>
          <w:bCs/>
          <w:szCs w:val="24"/>
        </w:rPr>
      </w:pPr>
    </w:p>
    <w:p w14:paraId="425AFE37" w14:textId="77777777" w:rsidR="006628F7" w:rsidRPr="006628F7" w:rsidRDefault="006628F7" w:rsidP="006628F7">
      <w:pPr>
        <w:ind w:left="1440"/>
        <w:rPr>
          <w:rFonts w:eastAsia="Segoe UI" w:cs="Segoe UI"/>
        </w:rPr>
      </w:pPr>
      <w:r w:rsidRPr="006628F7">
        <w:rPr>
          <w:rFonts w:ascii="TT13Et00" w:eastAsia="Segoe UI" w:hAnsi="TT13Et00" w:cs="TT13Et00"/>
        </w:rPr>
        <w:t>In addition to describing any engagement that occurred in developing the proposed project, t</w:t>
      </w:r>
      <w:r w:rsidRPr="006628F7" w:rsidDel="007D40CD">
        <w:rPr>
          <w:rFonts w:ascii="TT13Et00" w:eastAsia="Segoe UI" w:hAnsi="TT13Et00" w:cs="TT13Et00"/>
        </w:rPr>
        <w:t xml:space="preserve">he </w:t>
      </w:r>
      <w:r w:rsidRPr="006628F7">
        <w:rPr>
          <w:rFonts w:eastAsia="Segoe UI" w:cs="Segoe UI"/>
        </w:rPr>
        <w:t>Community Benefits Plan</w:t>
      </w:r>
      <w:r w:rsidRPr="006628F7" w:rsidDel="007D40CD">
        <w:rPr>
          <w:rFonts w:ascii="TT13Et00" w:eastAsia="Segoe UI" w:hAnsi="TT13Et00" w:cs="TT13Et00"/>
        </w:rPr>
        <w:t xml:space="preserve"> must </w:t>
      </w:r>
      <w:r w:rsidRPr="006628F7">
        <w:rPr>
          <w:rFonts w:ascii="TT13Et00" w:eastAsia="Segoe UI" w:hAnsi="TT13Et00" w:cs="TT13Et00"/>
        </w:rPr>
        <w:t>describe</w:t>
      </w:r>
      <w:r w:rsidRPr="006628F7" w:rsidDel="007D40CD">
        <w:rPr>
          <w:rFonts w:eastAsia="Segoe UI" w:cs="Segoe UI"/>
        </w:rPr>
        <w:t xml:space="preserve"> </w:t>
      </w:r>
      <w:r w:rsidRPr="006628F7">
        <w:rPr>
          <w:rFonts w:eastAsia="Segoe UI" w:cs="Segoe UI"/>
        </w:rPr>
        <w:t xml:space="preserve">how the </w:t>
      </w:r>
      <w:r w:rsidRPr="006628F7" w:rsidDel="007D40CD">
        <w:rPr>
          <w:rFonts w:eastAsia="Segoe UI" w:cs="Segoe UI"/>
        </w:rPr>
        <w:t xml:space="preserve">applicant plans </w:t>
      </w:r>
      <w:r w:rsidRPr="006628F7">
        <w:rPr>
          <w:rFonts w:eastAsia="Segoe UI" w:cs="Segoe UI"/>
        </w:rPr>
        <w:t xml:space="preserve">to incorporate community </w:t>
      </w:r>
      <w:r w:rsidRPr="006628F7" w:rsidDel="007D40CD">
        <w:rPr>
          <w:rFonts w:eastAsia="Segoe UI" w:cs="Segoe UI"/>
        </w:rPr>
        <w:t>engage</w:t>
      </w:r>
      <w:r w:rsidRPr="006628F7">
        <w:rPr>
          <w:rFonts w:eastAsia="Segoe UI" w:cs="Segoe UI"/>
        </w:rPr>
        <w:t>ment before, during, and after the project. The goal of such engagement is to lay the groundwork for the negotiation of a Community Benefits Agreement</w:t>
      </w:r>
      <w:r w:rsidRPr="006628F7">
        <w:rPr>
          <w:rStyle w:val="FootnoteReference"/>
          <w:rFonts w:eastAsia="Segoe UI" w:cs="Segoe UI"/>
        </w:rPr>
        <w:footnoteReference w:id="79"/>
      </w:r>
      <w:r w:rsidRPr="006628F7">
        <w:rPr>
          <w:rFonts w:eastAsia="Segoe UI" w:cs="Segoe UI"/>
        </w:rPr>
        <w:t xml:space="preserve">, Good Neighbor Agreement, Community Workforce Agreement, or similar agreement documenting and formalizing commitments to the community related to topics of Quality Jobs; Diversity, Equity, Inclusions, and Access; and Justice40. </w:t>
      </w:r>
    </w:p>
    <w:p w14:paraId="37D7574D" w14:textId="77777777" w:rsidR="006628F7" w:rsidRPr="006628F7" w:rsidRDefault="006628F7" w:rsidP="006628F7">
      <w:pPr>
        <w:ind w:left="1440"/>
        <w:rPr>
          <w:rFonts w:eastAsia="Segoe UI" w:cs="Segoe UI"/>
        </w:rPr>
      </w:pPr>
    </w:p>
    <w:p w14:paraId="5B3CFE36" w14:textId="77777777" w:rsidR="006628F7" w:rsidRPr="006628F7" w:rsidRDefault="006628F7" w:rsidP="006628F7">
      <w:pPr>
        <w:ind w:left="1440"/>
        <w:rPr>
          <w:rFonts w:eastAsia="Segoe UI" w:cs="Segoe UI"/>
        </w:rPr>
      </w:pPr>
      <w:r w:rsidRPr="006628F7">
        <w:rPr>
          <w:rFonts w:eastAsia="Segoe UI" w:cs="Segoe UI"/>
        </w:rPr>
        <w:t>If selected for funding, applicants will furnish such agreements that identify how concerns will be mitigated, specify the distribution of community benefits, spell out roles and responsibilities, articulate reporting procedures, and identify remedies for non-compliance. By facilitating community input and social buy-in and strengthening accountability, such agreements substantially reduce or eliminate certain risks associated with project.</w:t>
      </w:r>
    </w:p>
    <w:p w14:paraId="312A646A" w14:textId="77777777" w:rsidR="006628F7" w:rsidRDefault="006628F7" w:rsidP="00B000F5">
      <w:pPr>
        <w:ind w:left="1440"/>
        <w:rPr>
          <w:b/>
          <w:bCs/>
          <w:szCs w:val="24"/>
        </w:rPr>
      </w:pPr>
    </w:p>
    <w:p w14:paraId="322FF05C" w14:textId="77777777" w:rsidR="00D3331E" w:rsidRPr="00D3331E" w:rsidRDefault="00D3331E" w:rsidP="00D3331E">
      <w:pPr>
        <w:ind w:left="1440"/>
        <w:rPr>
          <w:rFonts w:eastAsia="Segoe UI" w:cstheme="minorHAnsi"/>
          <w:szCs w:val="24"/>
        </w:rPr>
      </w:pPr>
      <w:r w:rsidRPr="00D3331E" w:rsidDel="007D40CD">
        <w:rPr>
          <w:rFonts w:eastAsia="Segoe UI" w:cstheme="minorHAnsi"/>
          <w:b/>
          <w:szCs w:val="24"/>
        </w:rPr>
        <w:t>Quality</w:t>
      </w:r>
      <w:r w:rsidRPr="00D3331E">
        <w:rPr>
          <w:rFonts w:eastAsia="Segoe UI" w:cstheme="minorHAnsi"/>
          <w:b/>
          <w:bCs/>
          <w:szCs w:val="24"/>
        </w:rPr>
        <w:t xml:space="preserve"> Jobs</w:t>
      </w:r>
      <w:r w:rsidRPr="00D3331E">
        <w:rPr>
          <w:rFonts w:eastAsia="Segoe UI" w:cstheme="minorHAnsi"/>
          <w:szCs w:val="24"/>
        </w:rPr>
        <w:t>: Good jobs are the key to attracting and retaining the qualified workforce required to meet program goals. The Community Benefits Plan must provide a framework for the creation and retention of good-paying quality jobs,</w:t>
      </w:r>
      <w:r w:rsidRPr="00D3331E">
        <w:rPr>
          <w:rStyle w:val="FootnoteReference"/>
          <w:rFonts w:eastAsia="Segoe UI" w:cstheme="minorHAnsi"/>
          <w:szCs w:val="24"/>
        </w:rPr>
        <w:footnoteReference w:id="80"/>
      </w:r>
      <w:r w:rsidRPr="00D3331E">
        <w:rPr>
          <w:rFonts w:eastAsia="Segoe UI" w:cstheme="minorHAnsi"/>
          <w:szCs w:val="24"/>
        </w:rPr>
        <w:t xml:space="preserve"> at safe and healthy worksites devoid of hostility and harassment, where workers are properly classified as employees, and have a free and fair chance to join a union.</w:t>
      </w:r>
      <w:r w:rsidRPr="00D3331E">
        <w:rPr>
          <w:rStyle w:val="FootnoteReference"/>
          <w:rFonts w:eastAsia="Segoe UI" w:cstheme="minorHAnsi"/>
          <w:szCs w:val="24"/>
        </w:rPr>
        <w:footnoteReference w:id="81"/>
      </w:r>
      <w:r w:rsidRPr="00D3331E">
        <w:rPr>
          <w:rFonts w:eastAsia="Segoe UI" w:cstheme="minorHAnsi"/>
          <w:szCs w:val="24"/>
        </w:rPr>
        <w:t xml:space="preserve">The Plan is an opportunity for the applicant to detail their approach to supporting quality jobs. Successful applicants will be required to provide more detail and identify SMART milestones to ensure accountability with plan implementation. Letters of support may bolster, but not replace, the descriptions requested below. </w:t>
      </w:r>
    </w:p>
    <w:p w14:paraId="7424BE6E" w14:textId="77777777" w:rsidR="00D3331E" w:rsidRPr="00D3331E" w:rsidRDefault="00D3331E" w:rsidP="00D3331E">
      <w:pPr>
        <w:ind w:left="1440"/>
        <w:rPr>
          <w:rFonts w:eastAsia="Segoe UI" w:cstheme="minorHAnsi"/>
          <w:szCs w:val="24"/>
        </w:rPr>
      </w:pPr>
    </w:p>
    <w:p w14:paraId="40AA66F7" w14:textId="77777777" w:rsidR="00D3331E" w:rsidRPr="00D3331E" w:rsidRDefault="00D3331E" w:rsidP="00D3331E">
      <w:pPr>
        <w:ind w:left="1440"/>
        <w:rPr>
          <w:rFonts w:eastAsia="Segoe UI" w:cstheme="minorHAnsi"/>
          <w:szCs w:val="24"/>
        </w:rPr>
      </w:pPr>
      <w:r w:rsidRPr="00D3331E">
        <w:rPr>
          <w:rFonts w:eastAsia="Segoe UI" w:cstheme="minorHAnsi"/>
          <w:szCs w:val="24"/>
        </w:rPr>
        <w:t>Specific components of the Plan must include:</w:t>
      </w:r>
      <w:r w:rsidRPr="00D3331E">
        <w:rPr>
          <w:rFonts w:eastAsia="Segoe UI"/>
        </w:rPr>
        <w:tab/>
      </w:r>
    </w:p>
    <w:p w14:paraId="643CE5E0" w14:textId="77777777" w:rsidR="00D3331E" w:rsidRPr="00D3331E" w:rsidRDefault="00D3331E" w:rsidP="00D3331E">
      <w:pPr>
        <w:tabs>
          <w:tab w:val="left" w:pos="5565"/>
        </w:tabs>
        <w:ind w:left="1440"/>
        <w:rPr>
          <w:rFonts w:eastAsia="Segoe UI" w:cstheme="minorHAnsi"/>
          <w:szCs w:val="24"/>
        </w:rPr>
      </w:pPr>
    </w:p>
    <w:p w14:paraId="0F4B9B8B" w14:textId="77777777" w:rsidR="00D3331E" w:rsidRPr="00D3331E" w:rsidRDefault="00D3331E" w:rsidP="00F836F4">
      <w:pPr>
        <w:pStyle w:val="ListParagraph"/>
        <w:numPr>
          <w:ilvl w:val="0"/>
          <w:numId w:val="115"/>
        </w:numPr>
        <w:rPr>
          <w:rFonts w:eastAsia="Segoe UI" w:cstheme="minorHAnsi"/>
          <w:szCs w:val="24"/>
        </w:rPr>
      </w:pPr>
      <w:r w:rsidRPr="00D3331E">
        <w:rPr>
          <w:rFonts w:eastAsia="Segoe UI" w:cstheme="minorHAnsi"/>
          <w:szCs w:val="24"/>
        </w:rPr>
        <w:t>Describe the applicant’s plan to attract, train, and retain a skilled and well qualified workforce for both (a) construction and (b) ongoing operations/production activities</w:t>
      </w:r>
      <w:r w:rsidRPr="00D3331E" w:rsidDel="006766DA">
        <w:rPr>
          <w:rFonts w:eastAsia="Segoe UI" w:cstheme="minorHAnsi"/>
          <w:szCs w:val="24"/>
        </w:rPr>
        <w:t xml:space="preserve"> </w:t>
      </w:r>
      <w:r w:rsidRPr="00D3331E">
        <w:rPr>
          <w:rFonts w:eastAsia="Segoe UI" w:cstheme="minorHAnsi"/>
          <w:szCs w:val="24"/>
        </w:rPr>
        <w:t xml:space="preserve">to </w:t>
      </w:r>
      <w:r w:rsidRPr="00D3331E">
        <w:rPr>
          <w:rFonts w:eastAsia="Segoe UI" w:cstheme="minorHAnsi"/>
          <w:b/>
          <w:szCs w:val="24"/>
        </w:rPr>
        <w:t>ensure project stability, continuity, and success</w:t>
      </w:r>
      <w:r w:rsidRPr="00D3331E">
        <w:rPr>
          <w:rFonts w:eastAsia="Segoe UI" w:cstheme="minorHAnsi"/>
          <w:szCs w:val="24"/>
        </w:rPr>
        <w:t xml:space="preserve">. </w:t>
      </w:r>
    </w:p>
    <w:p w14:paraId="629ADCD1" w14:textId="77777777" w:rsidR="00D3331E" w:rsidRPr="00D3331E" w:rsidRDefault="00D3331E" w:rsidP="00F836F4">
      <w:pPr>
        <w:pStyle w:val="ListParagraph"/>
        <w:numPr>
          <w:ilvl w:val="1"/>
          <w:numId w:val="115"/>
        </w:numPr>
        <w:rPr>
          <w:rFonts w:eastAsia="Segoe UI" w:cstheme="minorHAnsi"/>
          <w:szCs w:val="24"/>
        </w:rPr>
      </w:pPr>
      <w:r w:rsidRPr="00D3331E">
        <w:rPr>
          <w:rFonts w:eastAsia="Segoe UI" w:cstheme="minorHAnsi"/>
          <w:szCs w:val="24"/>
        </w:rPr>
        <w:t xml:space="preserve">For construction-phase jobs: Describe plans to utilize an appropriately licensed and credentialed skilled and trained workforce, including graduates of registered apprenticeship as well as workers currently enrolled in registered apprenticeship. </w:t>
      </w:r>
    </w:p>
    <w:p w14:paraId="6A16160A" w14:textId="77777777" w:rsidR="00D3331E" w:rsidRPr="00D3331E" w:rsidRDefault="00D3331E" w:rsidP="00F836F4">
      <w:pPr>
        <w:pStyle w:val="ListParagraph"/>
        <w:numPr>
          <w:ilvl w:val="2"/>
          <w:numId w:val="115"/>
        </w:numPr>
        <w:rPr>
          <w:rFonts w:eastAsia="Segoe UI" w:cstheme="minorHAnsi"/>
          <w:szCs w:val="24"/>
        </w:rPr>
      </w:pPr>
      <w:r w:rsidRPr="00D3331E">
        <w:rPr>
          <w:rFonts w:eastAsiaTheme="minorEastAsia" w:cstheme="minorHAnsi"/>
          <w:color w:val="000000" w:themeColor="text1"/>
          <w:szCs w:val="24"/>
        </w:rPr>
        <w:t>When developing the Plan, the applicants should consider that for large construction projects (above $35M or possibly lower, on a case-by-case basis),</w:t>
      </w:r>
      <w:r w:rsidRPr="00D3331E">
        <w:rPr>
          <w:rFonts w:eastAsiaTheme="minorEastAsia" w:cstheme="minorHAnsi"/>
          <w:szCs w:val="24"/>
        </w:rPr>
        <w:t xml:space="preserve"> DOE may require </w:t>
      </w:r>
      <w:r w:rsidRPr="00D3331E">
        <w:rPr>
          <w:rFonts w:eastAsiaTheme="minorEastAsia" w:cstheme="minorHAnsi"/>
          <w:color w:val="000000" w:themeColor="text1"/>
          <w:szCs w:val="24"/>
        </w:rPr>
        <w:t>a Project Labor Agreement (</w:t>
      </w:r>
      <w:r w:rsidRPr="00D3331E">
        <w:rPr>
          <w:rFonts w:eastAsiaTheme="minorEastAsia" w:cstheme="minorHAnsi"/>
          <w:szCs w:val="24"/>
        </w:rPr>
        <w:t>PLA)</w:t>
      </w:r>
      <w:r w:rsidRPr="00D3331E">
        <w:rPr>
          <w:rFonts w:eastAsiaTheme="minorEastAsia" w:cstheme="minorHAnsi"/>
          <w:color w:val="000000" w:themeColor="text1"/>
          <w:szCs w:val="24"/>
        </w:rPr>
        <w:t xml:space="preserve">, an agreement between contractors and labor unions, as well as participation in </w:t>
      </w:r>
      <w:hyperlink r:id="rId54" w:history="1">
        <w:r w:rsidRPr="00D3331E">
          <w:rPr>
            <w:rFonts w:eastAsia="Segoe UI" w:cstheme="minorHAnsi"/>
            <w:color w:val="0000FF"/>
            <w:szCs w:val="24"/>
            <w:u w:val="single"/>
          </w:rPr>
          <w:t>Department of Labor’s Mega-Construction Project</w:t>
        </w:r>
      </w:hyperlink>
      <w:r w:rsidRPr="00D3331E">
        <w:rPr>
          <w:rFonts w:eastAsiaTheme="minorEastAsia" w:cstheme="minorHAnsi"/>
          <w:szCs w:val="24"/>
        </w:rPr>
        <w:t xml:space="preserve"> program that provides technical assistance to promote work opportunities for disadvantaged workers. Assessment of applicability will be conducted on a case-by-case basis and in consultation with recipients to ensure project feasibility.</w:t>
      </w:r>
      <w:r w:rsidRPr="00D3331E">
        <w:rPr>
          <w:rFonts w:eastAsiaTheme="minorEastAsia" w:cstheme="minorHAnsi"/>
          <w:color w:val="000000" w:themeColor="text1"/>
          <w:szCs w:val="24"/>
        </w:rPr>
        <w:t xml:space="preserve"> </w:t>
      </w:r>
    </w:p>
    <w:p w14:paraId="6C586ED9" w14:textId="77777777" w:rsidR="00D3331E" w:rsidRPr="00D3331E" w:rsidRDefault="00D3331E" w:rsidP="00D3331E">
      <w:pPr>
        <w:ind w:left="2520"/>
        <w:contextualSpacing/>
        <w:rPr>
          <w:rFonts w:eastAsia="Segoe UI" w:cstheme="minorHAnsi"/>
          <w:szCs w:val="24"/>
        </w:rPr>
      </w:pPr>
      <w:r w:rsidRPr="00D3331E">
        <w:rPr>
          <w:rFonts w:eastAsiaTheme="minorEastAsia" w:cstheme="minorHAnsi"/>
          <w:color w:val="000000" w:themeColor="text1"/>
          <w:szCs w:val="24"/>
        </w:rPr>
        <w:t xml:space="preserve">NOTE: Project labor agreements are the preferred approach across construction projects of all sizes. </w:t>
      </w:r>
    </w:p>
    <w:p w14:paraId="17A16648" w14:textId="77777777" w:rsidR="00D3331E" w:rsidRPr="00D3331E" w:rsidRDefault="00D3331E" w:rsidP="00D3331E">
      <w:pPr>
        <w:ind w:left="3240"/>
        <w:contextualSpacing/>
        <w:rPr>
          <w:rFonts w:eastAsia="Segoe UI" w:cstheme="minorHAnsi"/>
          <w:szCs w:val="24"/>
        </w:rPr>
      </w:pPr>
    </w:p>
    <w:p w14:paraId="25DD9DEB" w14:textId="77777777" w:rsidR="00D3331E" w:rsidRPr="00D3331E" w:rsidDel="005E4270" w:rsidRDefault="00D3331E" w:rsidP="00F836F4">
      <w:pPr>
        <w:pStyle w:val="ListParagraph"/>
        <w:numPr>
          <w:ilvl w:val="1"/>
          <w:numId w:val="115"/>
        </w:numPr>
        <w:rPr>
          <w:rFonts w:cstheme="minorHAnsi"/>
          <w:szCs w:val="24"/>
        </w:rPr>
      </w:pPr>
      <w:r w:rsidRPr="00D3331E" w:rsidDel="005E4270">
        <w:rPr>
          <w:rFonts w:eastAsia="Segoe UI" w:cstheme="minorHAnsi"/>
          <w:szCs w:val="24"/>
        </w:rPr>
        <w:t>For ongoing operations/production jobs:</w:t>
      </w:r>
    </w:p>
    <w:p w14:paraId="41FFF7F8" w14:textId="4BA61EB7" w:rsidR="00D3331E" w:rsidRPr="00D3331E" w:rsidRDefault="00D3331E" w:rsidP="00D3331E">
      <w:pPr>
        <w:ind w:left="2160"/>
        <w:rPr>
          <w:rFonts w:eastAsia="Segoe UI" w:cstheme="minorHAnsi"/>
          <w:szCs w:val="24"/>
        </w:rPr>
      </w:pPr>
      <w:r w:rsidRPr="00D3331E">
        <w:rPr>
          <w:rFonts w:cstheme="minorHAnsi"/>
          <w:szCs w:val="24"/>
        </w:rPr>
        <w:t xml:space="preserve">Describe </w:t>
      </w:r>
      <w:r w:rsidRPr="00D3331E">
        <w:rPr>
          <w:rFonts w:eastAsia="Segoe UI" w:cstheme="minorHAnsi"/>
          <w:szCs w:val="24"/>
        </w:rPr>
        <w:t>the quality of jobs to be created</w:t>
      </w:r>
      <w:r w:rsidR="004532A3">
        <w:rPr>
          <w:rFonts w:eastAsia="Segoe UI" w:cstheme="minorHAnsi"/>
          <w:szCs w:val="24"/>
        </w:rPr>
        <w:t xml:space="preserve"> </w:t>
      </w:r>
      <w:r w:rsidRPr="00D3331E">
        <w:rPr>
          <w:rFonts w:eastAsia="Segoe UI" w:cstheme="minorHAnsi"/>
          <w:szCs w:val="24"/>
        </w:rPr>
        <w:t>and</w:t>
      </w:r>
      <w:r w:rsidRPr="00D3331E" w:rsidDel="00363758">
        <w:rPr>
          <w:rFonts w:eastAsia="Segoe UI" w:cstheme="minorHAnsi"/>
          <w:szCs w:val="24"/>
        </w:rPr>
        <w:t xml:space="preserve"> </w:t>
      </w:r>
      <w:r w:rsidRPr="00D3331E">
        <w:rPr>
          <w:rFonts w:eastAsia="Segoe UI" w:cstheme="minorHAnsi"/>
          <w:szCs w:val="24"/>
        </w:rPr>
        <w:t>how these jobs will be sufficiently attractive to maintain a stable and skilled workforce.</w:t>
      </w:r>
      <w:r w:rsidRPr="00D3331E">
        <w:rPr>
          <w:rFonts w:eastAsia="Segoe UI" w:cstheme="minorHAnsi"/>
          <w:szCs w:val="24"/>
          <w:vertAlign w:val="superscript"/>
        </w:rPr>
        <w:footnoteReference w:id="82"/>
      </w:r>
      <w:r w:rsidRPr="00D3331E">
        <w:rPr>
          <w:rFonts w:eastAsia="Segoe UI" w:cstheme="minorHAnsi"/>
          <w:szCs w:val="24"/>
        </w:rPr>
        <w:t xml:space="preserve"> Assurances include but are not limited to:</w:t>
      </w:r>
    </w:p>
    <w:p w14:paraId="13D8B665" w14:textId="77777777" w:rsidR="00D3331E" w:rsidRPr="00D3331E" w:rsidRDefault="00D3331E" w:rsidP="00F836F4">
      <w:pPr>
        <w:pStyle w:val="ListParagraph"/>
        <w:numPr>
          <w:ilvl w:val="2"/>
          <w:numId w:val="115"/>
        </w:numPr>
        <w:rPr>
          <w:rFonts w:eastAsiaTheme="minorEastAsia" w:cstheme="minorBidi"/>
          <w:szCs w:val="24"/>
        </w:rPr>
      </w:pPr>
      <w:r w:rsidRPr="00D3331E">
        <w:rPr>
          <w:rFonts w:cstheme="minorHAnsi"/>
          <w:szCs w:val="24"/>
        </w:rPr>
        <w:t xml:space="preserve">Pay family-sustaining wages and provide clear opportunities for wage progression with skill progression or increased </w:t>
      </w:r>
      <w:proofErr w:type="gramStart"/>
      <w:r w:rsidRPr="00D3331E">
        <w:rPr>
          <w:rFonts w:cstheme="minorHAnsi"/>
          <w:szCs w:val="24"/>
        </w:rPr>
        <w:t>experience;</w:t>
      </w:r>
      <w:proofErr w:type="gramEnd"/>
    </w:p>
    <w:p w14:paraId="7BD9F73C" w14:textId="77777777" w:rsidR="00D3331E" w:rsidRPr="00D3331E" w:rsidRDefault="00D3331E" w:rsidP="00F836F4">
      <w:pPr>
        <w:pStyle w:val="ListParagraph"/>
        <w:numPr>
          <w:ilvl w:val="2"/>
          <w:numId w:val="115"/>
        </w:numPr>
        <w:rPr>
          <w:rFonts w:eastAsiaTheme="minorEastAsia" w:cstheme="minorBidi"/>
          <w:szCs w:val="24"/>
        </w:rPr>
      </w:pPr>
      <w:r w:rsidRPr="00D3331E">
        <w:rPr>
          <w:rFonts w:cstheme="minorHAnsi"/>
          <w:szCs w:val="24"/>
        </w:rPr>
        <w:t xml:space="preserve">Provide health insurance and pension/retirement coverage </w:t>
      </w:r>
      <w:proofErr w:type="gramStart"/>
      <w:r w:rsidRPr="00D3331E">
        <w:rPr>
          <w:rFonts w:cstheme="minorHAnsi"/>
          <w:szCs w:val="24"/>
        </w:rPr>
        <w:t>options;</w:t>
      </w:r>
      <w:proofErr w:type="gramEnd"/>
    </w:p>
    <w:p w14:paraId="73EEC1FD" w14:textId="77777777" w:rsidR="00D3331E" w:rsidRPr="00D3331E" w:rsidRDefault="00D3331E" w:rsidP="00F836F4">
      <w:pPr>
        <w:pStyle w:val="ListParagraph"/>
        <w:numPr>
          <w:ilvl w:val="2"/>
          <w:numId w:val="115"/>
        </w:numPr>
        <w:rPr>
          <w:rFonts w:eastAsiaTheme="minorEastAsia" w:cstheme="minorBidi"/>
          <w:szCs w:val="24"/>
        </w:rPr>
      </w:pPr>
      <w:r w:rsidRPr="00D3331E">
        <w:rPr>
          <w:rFonts w:cstheme="minorHAnsi"/>
          <w:szCs w:val="24"/>
        </w:rPr>
        <w:t>Provide work-family benefits, such as paid family and medical leave, paid sick leave, other paid time off, mental health supports; and</w:t>
      </w:r>
    </w:p>
    <w:p w14:paraId="2994F73B" w14:textId="77777777" w:rsidR="00D3331E" w:rsidRPr="00D3331E" w:rsidRDefault="00D3331E" w:rsidP="00F836F4">
      <w:pPr>
        <w:pStyle w:val="ListParagraph"/>
        <w:numPr>
          <w:ilvl w:val="2"/>
          <w:numId w:val="115"/>
        </w:numPr>
        <w:rPr>
          <w:rFonts w:eastAsiaTheme="minorEastAsia" w:cstheme="minorBidi"/>
        </w:rPr>
      </w:pPr>
      <w:r w:rsidRPr="00D3331E">
        <w:rPr>
          <w:rFonts w:cstheme="minorHAnsi"/>
          <w:szCs w:val="24"/>
        </w:rPr>
        <w:t xml:space="preserve">Offer caregiving supports like flexible schedules, telework, </w:t>
      </w:r>
      <w:proofErr w:type="gramStart"/>
      <w:r w:rsidRPr="00D3331E">
        <w:rPr>
          <w:rFonts w:cstheme="minorHAnsi"/>
          <w:szCs w:val="24"/>
        </w:rPr>
        <w:t>child care</w:t>
      </w:r>
      <w:proofErr w:type="gramEnd"/>
      <w:r w:rsidRPr="00D3331E">
        <w:rPr>
          <w:rFonts w:cstheme="minorHAnsi"/>
          <w:szCs w:val="24"/>
        </w:rPr>
        <w:t xml:space="preserve"> facilitation, back-up child care.</w:t>
      </w:r>
    </w:p>
    <w:p w14:paraId="52DD50B3" w14:textId="77777777" w:rsidR="00D3331E" w:rsidRPr="00D3331E" w:rsidRDefault="00D3331E" w:rsidP="00F836F4">
      <w:pPr>
        <w:pStyle w:val="ListParagraph"/>
        <w:numPr>
          <w:ilvl w:val="1"/>
          <w:numId w:val="115"/>
        </w:numPr>
        <w:rPr>
          <w:rFonts w:cstheme="minorHAnsi"/>
          <w:szCs w:val="24"/>
        </w:rPr>
      </w:pPr>
      <w:r w:rsidRPr="00D3331E">
        <w:rPr>
          <w:rFonts w:eastAsia="Segoe UI" w:cstheme="minorHAnsi"/>
          <w:szCs w:val="24"/>
        </w:rPr>
        <w:t>For both construction and operations, describe commitment to support workforce education and training, which reduces employee turnover costs for employers, increases productivity from a committed and engaged workforce, and promotes a nimble, resilient, and stable workforce. Assurances include but are not limited to:</w:t>
      </w:r>
    </w:p>
    <w:p w14:paraId="0F6DBAB2" w14:textId="77777777" w:rsidR="00D3331E" w:rsidRPr="00D3331E" w:rsidRDefault="00D3331E" w:rsidP="00F836F4">
      <w:pPr>
        <w:pStyle w:val="ListParagraph"/>
        <w:numPr>
          <w:ilvl w:val="2"/>
          <w:numId w:val="115"/>
        </w:numPr>
        <w:rPr>
          <w:rFonts w:cstheme="minorHAnsi"/>
          <w:szCs w:val="24"/>
        </w:rPr>
      </w:pPr>
      <w:r w:rsidRPr="00D3331E">
        <w:rPr>
          <w:rFonts w:cstheme="minorHAnsi"/>
          <w:szCs w:val="24"/>
        </w:rPr>
        <w:t>Participate in labor-management training partnerships, including registered apprenticeship</w:t>
      </w:r>
    </w:p>
    <w:p w14:paraId="7FA00611" w14:textId="77777777" w:rsidR="00D3331E" w:rsidRPr="00D3331E" w:rsidRDefault="00D3331E" w:rsidP="00F836F4">
      <w:pPr>
        <w:pStyle w:val="ListParagraph"/>
        <w:numPr>
          <w:ilvl w:val="2"/>
          <w:numId w:val="115"/>
        </w:numPr>
        <w:rPr>
          <w:rFonts w:cstheme="minorHAnsi"/>
          <w:szCs w:val="24"/>
        </w:rPr>
      </w:pPr>
      <w:r w:rsidRPr="00D3331E">
        <w:rPr>
          <w:rFonts w:cstheme="minorHAnsi"/>
          <w:szCs w:val="24"/>
        </w:rPr>
        <w:t>Commit to employer contributions to training programs and paid time for employees to participate in skills training</w:t>
      </w:r>
    </w:p>
    <w:p w14:paraId="3915BE5A" w14:textId="77777777" w:rsidR="00D3331E" w:rsidRPr="00D3331E" w:rsidRDefault="00D3331E" w:rsidP="00F836F4">
      <w:pPr>
        <w:pStyle w:val="ListParagraph"/>
        <w:numPr>
          <w:ilvl w:val="2"/>
          <w:numId w:val="115"/>
        </w:numPr>
        <w:rPr>
          <w:rFonts w:cstheme="minorHAnsi"/>
          <w:szCs w:val="24"/>
        </w:rPr>
      </w:pPr>
      <w:r w:rsidRPr="00D3331E">
        <w:rPr>
          <w:rFonts w:cstheme="minorHAnsi"/>
          <w:szCs w:val="24"/>
        </w:rPr>
        <w:t xml:space="preserve">Promote worker voice in training programs </w:t>
      </w:r>
    </w:p>
    <w:p w14:paraId="1234460F" w14:textId="77777777" w:rsidR="00D3331E" w:rsidRPr="00D3331E" w:rsidRDefault="00D3331E" w:rsidP="00F836F4">
      <w:pPr>
        <w:pStyle w:val="ListParagraph"/>
        <w:numPr>
          <w:ilvl w:val="2"/>
          <w:numId w:val="115"/>
        </w:numPr>
        <w:rPr>
          <w:rFonts w:cstheme="minorHAnsi"/>
          <w:szCs w:val="24"/>
        </w:rPr>
      </w:pPr>
      <w:r w:rsidRPr="00D3331E">
        <w:rPr>
          <w:rFonts w:cstheme="minorHAnsi"/>
          <w:szCs w:val="24"/>
        </w:rPr>
        <w:t xml:space="preserve">Provide personalized, modularized, and flexible skill development opportunities, such as on-demand and self-directed virtual training </w:t>
      </w:r>
    </w:p>
    <w:p w14:paraId="7A706C3C" w14:textId="77777777" w:rsidR="00D3331E" w:rsidRPr="00D3331E" w:rsidRDefault="00D3331E" w:rsidP="00F836F4">
      <w:pPr>
        <w:pStyle w:val="ListParagraph"/>
        <w:numPr>
          <w:ilvl w:val="2"/>
          <w:numId w:val="115"/>
        </w:numPr>
        <w:rPr>
          <w:rFonts w:cstheme="minorHAnsi"/>
          <w:szCs w:val="24"/>
        </w:rPr>
      </w:pPr>
      <w:r w:rsidRPr="00D3331E">
        <w:rPr>
          <w:rFonts w:cstheme="minorHAnsi"/>
          <w:szCs w:val="24"/>
        </w:rPr>
        <w:t>Provide continuing education programs for employees to earn credentials and degrees relevant to their career pathways</w:t>
      </w:r>
    </w:p>
    <w:p w14:paraId="45F5423E" w14:textId="77777777" w:rsidR="00D3331E" w:rsidRPr="00D3331E" w:rsidRDefault="00D3331E" w:rsidP="00D3331E">
      <w:pPr>
        <w:rPr>
          <w:rFonts w:eastAsia="Segoe UI" w:cstheme="minorHAnsi"/>
          <w:szCs w:val="24"/>
        </w:rPr>
      </w:pPr>
    </w:p>
    <w:p w14:paraId="6CFB1585" w14:textId="77777777" w:rsidR="00D3331E" w:rsidRPr="00D3331E" w:rsidRDefault="00D3331E" w:rsidP="00F836F4">
      <w:pPr>
        <w:pStyle w:val="ListParagraph"/>
        <w:numPr>
          <w:ilvl w:val="0"/>
          <w:numId w:val="115"/>
        </w:numPr>
        <w:rPr>
          <w:rFonts w:eastAsia="Segoe UI" w:cstheme="minorHAnsi"/>
          <w:szCs w:val="24"/>
        </w:rPr>
      </w:pPr>
      <w:r w:rsidRPr="00D3331E">
        <w:rPr>
          <w:rFonts w:eastAsia="Segoe UI" w:cstheme="minorHAnsi"/>
          <w:szCs w:val="24"/>
        </w:rPr>
        <w:t xml:space="preserve">Describe applicant’s plan to support </w:t>
      </w:r>
      <w:r w:rsidRPr="00D3331E">
        <w:rPr>
          <w:rFonts w:eastAsia="Segoe UI" w:cstheme="minorHAnsi"/>
          <w:b/>
          <w:szCs w:val="24"/>
        </w:rPr>
        <w:t>workers’ free and fair chance to join a union and exercise collective voice in the workplace</w:t>
      </w:r>
      <w:r w:rsidRPr="00D3331E">
        <w:rPr>
          <w:rFonts w:eastAsia="Segoe UI" w:cstheme="minorHAnsi"/>
          <w:szCs w:val="24"/>
        </w:rPr>
        <w:t>. Employees’ ability to organize, bargain collectively, and participate through labor organizations of their choosing in decisions which affect them,</w:t>
      </w:r>
      <w:r w:rsidRPr="00D3331E">
        <w:rPr>
          <w:rStyle w:val="FootnoteReference"/>
          <w:rFonts w:eastAsia="Segoe UI" w:cstheme="minorHAnsi"/>
          <w:szCs w:val="24"/>
        </w:rPr>
        <w:footnoteReference w:id="83"/>
      </w:r>
      <w:r w:rsidRPr="00D3331E">
        <w:rPr>
          <w:rFonts w:eastAsia="Segoe UI" w:cstheme="minorHAnsi"/>
          <w:szCs w:val="24"/>
        </w:rPr>
        <w:t xml:space="preserve"> build meaningful economic power, safeguard the public interest, contribute to the effective conduct of business, and facilitate amicable settlements of disputes between employees and their employers, thus providing assurances of project efficiency, continuity, and multiple public benefits. Assurances include but are not limited to:</w:t>
      </w:r>
    </w:p>
    <w:p w14:paraId="777576B7" w14:textId="77777777" w:rsidR="00D3331E" w:rsidRPr="00D3331E" w:rsidRDefault="00D3331E" w:rsidP="00F836F4">
      <w:pPr>
        <w:pStyle w:val="ListParagraph"/>
        <w:numPr>
          <w:ilvl w:val="1"/>
          <w:numId w:val="115"/>
        </w:numPr>
        <w:rPr>
          <w:rFonts w:eastAsia="Segoe UI" w:cstheme="minorHAnsi"/>
          <w:szCs w:val="24"/>
        </w:rPr>
      </w:pPr>
      <w:r w:rsidRPr="00D3331E">
        <w:rPr>
          <w:rFonts w:eastAsia="Segoe UI" w:cs="Segoe UI"/>
          <w:szCs w:val="24"/>
        </w:rPr>
        <w:t>Labor peace agreements</w:t>
      </w:r>
      <w:r w:rsidRPr="00D3331E">
        <w:rPr>
          <w:rStyle w:val="FootnoteReference"/>
          <w:rFonts w:eastAsia="Segoe UI" w:cs="Segoe UI"/>
          <w:szCs w:val="24"/>
        </w:rPr>
        <w:footnoteReference w:id="84"/>
      </w:r>
      <w:r w:rsidRPr="00D3331E">
        <w:rPr>
          <w:rFonts w:eastAsia="Segoe UI" w:cs="Segoe UI"/>
          <w:szCs w:val="24"/>
        </w:rPr>
        <w:t xml:space="preserve">  </w:t>
      </w:r>
    </w:p>
    <w:p w14:paraId="70583DCB" w14:textId="77777777" w:rsidR="00D3331E" w:rsidRPr="00D3331E" w:rsidRDefault="00D3331E" w:rsidP="00F836F4">
      <w:pPr>
        <w:pStyle w:val="ListParagraph"/>
        <w:numPr>
          <w:ilvl w:val="1"/>
          <w:numId w:val="115"/>
        </w:numPr>
        <w:rPr>
          <w:rStyle w:val="FootnoteReference"/>
          <w:rFonts w:eastAsia="Segoe UI" w:cstheme="minorHAnsi"/>
          <w:szCs w:val="24"/>
        </w:rPr>
      </w:pPr>
      <w:r w:rsidRPr="00D3331E">
        <w:rPr>
          <w:rFonts w:eastAsia="Segoe UI" w:cstheme="minorHAnsi"/>
          <w:szCs w:val="24"/>
        </w:rPr>
        <w:t>Commitment to card check neutrality agreements</w:t>
      </w:r>
    </w:p>
    <w:p w14:paraId="04478392" w14:textId="77777777" w:rsidR="00D3331E" w:rsidRPr="00D3331E" w:rsidRDefault="00D3331E" w:rsidP="00F836F4">
      <w:pPr>
        <w:pStyle w:val="ListParagraph"/>
        <w:numPr>
          <w:ilvl w:val="1"/>
          <w:numId w:val="115"/>
        </w:numPr>
        <w:rPr>
          <w:rFonts w:eastAsiaTheme="minorEastAsia" w:cstheme="minorBidi"/>
          <w:szCs w:val="24"/>
        </w:rPr>
      </w:pPr>
      <w:r w:rsidRPr="00D3331E">
        <w:rPr>
          <w:rFonts w:cstheme="minorHAnsi"/>
          <w:szCs w:val="24"/>
        </w:rPr>
        <w:t>Support existing unions</w:t>
      </w:r>
    </w:p>
    <w:p w14:paraId="468F1E07" w14:textId="77777777" w:rsidR="00D3331E" w:rsidRPr="00D3331E" w:rsidRDefault="00D3331E" w:rsidP="00F836F4">
      <w:pPr>
        <w:pStyle w:val="ListParagraph"/>
        <w:numPr>
          <w:ilvl w:val="1"/>
          <w:numId w:val="115"/>
        </w:numPr>
        <w:rPr>
          <w:rFonts w:eastAsiaTheme="minorEastAsia" w:cstheme="minorBidi"/>
          <w:szCs w:val="24"/>
        </w:rPr>
      </w:pPr>
      <w:r w:rsidRPr="00D3331E">
        <w:rPr>
          <w:rFonts w:cstheme="minorHAnsi"/>
          <w:szCs w:val="24"/>
        </w:rPr>
        <w:t>Pledge to permit voluntary recognition</w:t>
      </w:r>
    </w:p>
    <w:p w14:paraId="7B7FCFE6" w14:textId="77777777" w:rsidR="00D3331E" w:rsidRPr="00D3331E" w:rsidRDefault="00D3331E" w:rsidP="00F836F4">
      <w:pPr>
        <w:pStyle w:val="ListParagraph"/>
        <w:numPr>
          <w:ilvl w:val="1"/>
          <w:numId w:val="115"/>
        </w:numPr>
        <w:rPr>
          <w:rFonts w:eastAsiaTheme="minorEastAsia" w:cstheme="minorBidi"/>
          <w:szCs w:val="24"/>
        </w:rPr>
      </w:pPr>
      <w:r w:rsidRPr="00D3331E">
        <w:rPr>
          <w:rFonts w:cstheme="minorHAnsi"/>
          <w:szCs w:val="24"/>
        </w:rPr>
        <w:t>Commit to not requiring workers to sign noncompete clauses, arbitration agreements and/or class action waivers (unless required by a collective bargaining agreement)</w:t>
      </w:r>
    </w:p>
    <w:p w14:paraId="7157B731" w14:textId="77777777" w:rsidR="00D3331E" w:rsidRPr="00D3331E" w:rsidRDefault="00D3331E" w:rsidP="00D3331E">
      <w:pPr>
        <w:rPr>
          <w:rFonts w:cstheme="minorHAnsi"/>
          <w:szCs w:val="24"/>
        </w:rPr>
      </w:pPr>
    </w:p>
    <w:p w14:paraId="4D1BD0C1" w14:textId="77777777" w:rsidR="00D3331E" w:rsidRPr="00D3331E" w:rsidRDefault="00D3331E" w:rsidP="00F836F4">
      <w:pPr>
        <w:pStyle w:val="ListParagraph"/>
        <w:numPr>
          <w:ilvl w:val="0"/>
          <w:numId w:val="115"/>
        </w:numPr>
        <w:rPr>
          <w:rFonts w:eastAsia="Segoe UI" w:cstheme="minorHAnsi"/>
          <w:szCs w:val="24"/>
        </w:rPr>
      </w:pPr>
      <w:r w:rsidRPr="00D3331E">
        <w:rPr>
          <w:rFonts w:eastAsia="Segoe UI" w:cs="Segoe UI"/>
          <w:szCs w:val="24"/>
        </w:rPr>
        <w:t xml:space="preserve">Describe how the </w:t>
      </w:r>
      <w:r w:rsidRPr="00D3331E">
        <w:rPr>
          <w:rFonts w:eastAsia="Segoe UI" w:cstheme="minorHAnsi"/>
          <w:szCs w:val="24"/>
        </w:rPr>
        <w:t xml:space="preserve">project will ensure the </w:t>
      </w:r>
      <w:r w:rsidRPr="00D3331E">
        <w:rPr>
          <w:rFonts w:eastAsia="Segoe UI" w:cstheme="minorHAnsi"/>
          <w:b/>
          <w:szCs w:val="24"/>
        </w:rPr>
        <w:t>highest standards of workplace safety and health</w:t>
      </w:r>
      <w:r w:rsidRPr="00D3331E">
        <w:rPr>
          <w:rFonts w:eastAsia="Segoe UI" w:cstheme="minorHAnsi"/>
          <w:szCs w:val="24"/>
        </w:rPr>
        <w:t xml:space="preserve">, including creating workplaces free from harassment and discrimination </w:t>
      </w:r>
      <w:proofErr w:type="gramStart"/>
      <w:r w:rsidRPr="00D3331E">
        <w:rPr>
          <w:rFonts w:eastAsia="Segoe UI" w:cstheme="minorHAnsi"/>
          <w:szCs w:val="24"/>
        </w:rPr>
        <w:t>in order to</w:t>
      </w:r>
      <w:proofErr w:type="gramEnd"/>
      <w:r w:rsidRPr="00D3331E">
        <w:rPr>
          <w:rFonts w:eastAsia="Segoe UI" w:cstheme="minorHAnsi"/>
          <w:szCs w:val="24"/>
        </w:rPr>
        <w:t xml:space="preserve"> support project continuity and success and employment that safeguards employee health and well-being. This should detail how employees will be involved in the development and execution of a workplace safety and health plan, including worksite analysis, hazard prevention and control, safety and health training, and anti-harassment training. </w:t>
      </w:r>
    </w:p>
    <w:p w14:paraId="3F2462FD" w14:textId="77777777" w:rsidR="00D3331E" w:rsidRPr="00D3331E" w:rsidRDefault="00D3331E" w:rsidP="00D3331E">
      <w:pPr>
        <w:ind w:left="2160"/>
        <w:contextualSpacing/>
        <w:rPr>
          <w:rFonts w:eastAsia="Segoe UI" w:cstheme="minorHAnsi"/>
          <w:szCs w:val="24"/>
        </w:rPr>
      </w:pPr>
    </w:p>
    <w:p w14:paraId="71F66CCF" w14:textId="77777777" w:rsidR="00D3331E" w:rsidRPr="00D3331E" w:rsidRDefault="00D3331E" w:rsidP="00F836F4">
      <w:pPr>
        <w:pStyle w:val="ListParagraph"/>
        <w:numPr>
          <w:ilvl w:val="0"/>
          <w:numId w:val="115"/>
        </w:numPr>
        <w:rPr>
          <w:rFonts w:eastAsiaTheme="minorEastAsia" w:cstheme="minorBidi"/>
          <w:szCs w:val="24"/>
        </w:rPr>
      </w:pPr>
      <w:r w:rsidRPr="00D3331E">
        <w:rPr>
          <w:rFonts w:eastAsia="Segoe UI" w:cstheme="minorHAnsi"/>
          <w:szCs w:val="24"/>
        </w:rPr>
        <w:t xml:space="preserve">Describe the </w:t>
      </w:r>
      <w:r w:rsidRPr="00D3331E">
        <w:rPr>
          <w:rFonts w:eastAsia="Segoe UI" w:cs="Segoe UI"/>
          <w:b/>
          <w:szCs w:val="24"/>
        </w:rPr>
        <w:t xml:space="preserve">job retention and/or transition </w:t>
      </w:r>
      <w:r w:rsidRPr="00D3331E">
        <w:rPr>
          <w:rFonts w:eastAsia="Segoe UI" w:cs="Segoe UI"/>
          <w:szCs w:val="24"/>
        </w:rPr>
        <w:t>and other workforce development opportunities</w:t>
      </w:r>
      <w:r w:rsidRPr="00D3331E">
        <w:rPr>
          <w:rFonts w:eastAsia="Segoe UI" w:cstheme="minorHAnsi"/>
          <w:szCs w:val="24"/>
        </w:rPr>
        <w:t xml:space="preserve"> associated with the project noting efforts to create jobs.  </w:t>
      </w:r>
    </w:p>
    <w:p w14:paraId="40D5E5D3" w14:textId="77777777" w:rsidR="004C1302" w:rsidRDefault="004C1302" w:rsidP="004C1302">
      <w:pPr>
        <w:ind w:left="1440"/>
        <w:rPr>
          <w:rFonts w:cstheme="minorHAnsi"/>
          <w:b/>
          <w:bCs/>
        </w:rPr>
      </w:pPr>
    </w:p>
    <w:p w14:paraId="3E111EDA" w14:textId="77777777" w:rsidR="00D3331E" w:rsidRPr="00D3331E" w:rsidRDefault="00D3331E" w:rsidP="00D3331E">
      <w:pPr>
        <w:ind w:left="1440"/>
        <w:rPr>
          <w:rFonts w:eastAsia="Segoe UI" w:cs="Segoe UI"/>
        </w:rPr>
      </w:pPr>
      <w:r w:rsidRPr="00D3331E">
        <w:rPr>
          <w:rFonts w:eastAsia="Segoe UI" w:cs="Segoe UI"/>
          <w:b/>
          <w:bCs/>
        </w:rPr>
        <w:t>DEIA:</w:t>
      </w:r>
      <w:r w:rsidRPr="00D3331E">
        <w:rPr>
          <w:rFonts w:eastAsia="Segoe UI" w:cs="Segoe UI"/>
        </w:rPr>
        <w:t xml:space="preserve"> The Community Benefits</w:t>
      </w:r>
      <w:r w:rsidRPr="00D3331E" w:rsidDel="00817A2D">
        <w:rPr>
          <w:rFonts w:eastAsia="Segoe UI" w:cs="Segoe UI"/>
        </w:rPr>
        <w:t xml:space="preserve"> </w:t>
      </w:r>
      <w:r w:rsidRPr="00D3331E">
        <w:rPr>
          <w:rFonts w:eastAsia="Segoe UI" w:cs="Segoe UI"/>
        </w:rPr>
        <w:t>Plan shall include a section describing how diversity, equity, inclusion, and accessibility</w:t>
      </w:r>
      <w:r w:rsidRPr="00D3331E" w:rsidDel="00875194">
        <w:rPr>
          <w:rFonts w:eastAsia="Segoe UI" w:cs="Segoe UI"/>
        </w:rPr>
        <w:t xml:space="preserve"> </w:t>
      </w:r>
      <w:r w:rsidRPr="00D3331E">
        <w:rPr>
          <w:rFonts w:eastAsia="Segoe UI" w:cs="Segoe UI"/>
        </w:rPr>
        <w:t>(DEIA)</w:t>
      </w:r>
      <w:r w:rsidRPr="00D3331E" w:rsidDel="00875194">
        <w:rPr>
          <w:rFonts w:eastAsia="Segoe UI" w:cs="Segoe UI"/>
        </w:rPr>
        <w:t xml:space="preserve"> </w:t>
      </w:r>
      <w:r w:rsidRPr="00D3331E">
        <w:rPr>
          <w:rFonts w:eastAsia="Segoe UI" w:cs="Segoe UI"/>
        </w:rPr>
        <w:t xml:space="preserve">objectives will be incorporated into the project. The section should detail how the applicant will partner with underrepresented businesses and project partners. The plan should include at least one SMART milestone per Budget Period supported by metrics to measure the success of the proposed actions and will be incorporated into the award if selected. </w:t>
      </w:r>
    </w:p>
    <w:p w14:paraId="31D96BEF" w14:textId="77777777" w:rsidR="00D3331E" w:rsidRPr="00D3331E" w:rsidRDefault="00D3331E" w:rsidP="00D3331E">
      <w:pPr>
        <w:rPr>
          <w:rFonts w:eastAsia="Segoe UI" w:cs="Segoe UI"/>
        </w:rPr>
      </w:pPr>
    </w:p>
    <w:p w14:paraId="7D0E8863" w14:textId="77777777" w:rsidR="00D3331E" w:rsidRPr="00D3331E" w:rsidRDefault="00D3331E" w:rsidP="00D3331E">
      <w:pPr>
        <w:ind w:left="1440"/>
        <w:rPr>
          <w:rFonts w:eastAsia="Segoe UI" w:cstheme="minorHAnsi"/>
        </w:rPr>
      </w:pPr>
      <w:r w:rsidRPr="00D3331E">
        <w:rPr>
          <w:rFonts w:eastAsia="Segoe UI" w:cs="Segoe UI"/>
        </w:rPr>
        <w:t>The following is a non-exhaustive list of potential DEIA actions that can serve as examples of ways the proposed project could incorporate DEIA elements. These examples should not be considered either comprehensive or prescriptive. Applicants may include appropriate actions not covered by these examples and should include a comprehensive set of specific DEIA actions anticipated in connection with the project.</w:t>
      </w:r>
    </w:p>
    <w:p w14:paraId="319332A1" w14:textId="77777777" w:rsidR="00D3331E" w:rsidRPr="00D3331E" w:rsidRDefault="00D3331E" w:rsidP="00D3331E">
      <w:pPr>
        <w:ind w:left="1440"/>
        <w:rPr>
          <w:rFonts w:eastAsiaTheme="minorHAnsi" w:cstheme="minorHAnsi"/>
          <w:szCs w:val="22"/>
        </w:rPr>
      </w:pPr>
    </w:p>
    <w:p w14:paraId="770A1D48" w14:textId="77777777" w:rsidR="00D3331E" w:rsidRPr="00D3331E" w:rsidRDefault="00D3331E" w:rsidP="00F836F4">
      <w:pPr>
        <w:numPr>
          <w:ilvl w:val="1"/>
          <w:numId w:val="116"/>
        </w:numPr>
        <w:ind w:left="2160"/>
        <w:rPr>
          <w:rFonts w:eastAsiaTheme="minorHAnsi" w:cstheme="minorHAnsi"/>
          <w:szCs w:val="22"/>
        </w:rPr>
      </w:pPr>
      <w:r w:rsidRPr="00D3331E">
        <w:rPr>
          <w:rFonts w:eastAsiaTheme="minorHAnsi" w:cstheme="minorHAnsi"/>
          <w:szCs w:val="22"/>
        </w:rPr>
        <w:t xml:space="preserve">Identify Minority Business Enterprises, Minority Owned Businesses, Woman Owned Businesses, and Veteran Owned Businesses to solicit as vendors and sub-contractors for bids on supplies, services and </w:t>
      </w:r>
      <w:proofErr w:type="gramStart"/>
      <w:r w:rsidRPr="00D3331E">
        <w:rPr>
          <w:rFonts w:eastAsiaTheme="minorHAnsi" w:cstheme="minorHAnsi"/>
          <w:szCs w:val="22"/>
        </w:rPr>
        <w:t>equipment;</w:t>
      </w:r>
      <w:proofErr w:type="gramEnd"/>
    </w:p>
    <w:p w14:paraId="5A124858" w14:textId="77777777" w:rsidR="00D3331E" w:rsidRPr="00D3331E" w:rsidRDefault="00D3331E" w:rsidP="00F836F4">
      <w:pPr>
        <w:numPr>
          <w:ilvl w:val="1"/>
          <w:numId w:val="116"/>
        </w:numPr>
        <w:ind w:left="2160"/>
        <w:rPr>
          <w:rFonts w:eastAsiaTheme="minorHAnsi" w:cstheme="minorHAnsi"/>
          <w:szCs w:val="22"/>
        </w:rPr>
      </w:pPr>
      <w:r w:rsidRPr="00D3331E">
        <w:rPr>
          <w:rFonts w:eastAsiaTheme="minorHAnsi" w:cstheme="minorHAnsi"/>
          <w:szCs w:val="22"/>
        </w:rPr>
        <w:t xml:space="preserve">Efforts to increase the representation of Minority Serving Institutions and as partners, as </w:t>
      </w:r>
      <w:proofErr w:type="gramStart"/>
      <w:r w:rsidRPr="00D3331E">
        <w:rPr>
          <w:rFonts w:eastAsiaTheme="minorHAnsi" w:cstheme="minorHAnsi"/>
          <w:szCs w:val="22"/>
        </w:rPr>
        <w:t>applicable;</w:t>
      </w:r>
      <w:proofErr w:type="gramEnd"/>
    </w:p>
    <w:p w14:paraId="0A6E351C" w14:textId="77777777" w:rsidR="00D3331E" w:rsidRPr="00D3331E" w:rsidRDefault="00D3331E" w:rsidP="00F836F4">
      <w:pPr>
        <w:numPr>
          <w:ilvl w:val="1"/>
          <w:numId w:val="116"/>
        </w:numPr>
        <w:ind w:left="2160"/>
        <w:rPr>
          <w:rFonts w:eastAsiaTheme="minorHAnsi" w:cstheme="minorHAnsi"/>
          <w:szCs w:val="22"/>
        </w:rPr>
      </w:pPr>
      <w:r w:rsidRPr="00D3331E">
        <w:rPr>
          <w:rFonts w:eastAsiaTheme="minorHAnsi" w:cstheme="minorHAnsi"/>
          <w:szCs w:val="22"/>
        </w:rPr>
        <w:t xml:space="preserve">Collaborate with researchers, and staff in Minority Serving Institutions, as </w:t>
      </w:r>
      <w:proofErr w:type="gramStart"/>
      <w:r w:rsidRPr="00D3331E">
        <w:rPr>
          <w:rFonts w:eastAsiaTheme="minorHAnsi" w:cstheme="minorHAnsi"/>
          <w:szCs w:val="22"/>
        </w:rPr>
        <w:t>applicable;</w:t>
      </w:r>
      <w:proofErr w:type="gramEnd"/>
    </w:p>
    <w:p w14:paraId="40F81E2E" w14:textId="77777777" w:rsidR="00D3331E" w:rsidRPr="00D3331E" w:rsidRDefault="00D3331E" w:rsidP="00F836F4">
      <w:pPr>
        <w:numPr>
          <w:ilvl w:val="1"/>
          <w:numId w:val="116"/>
        </w:numPr>
        <w:ind w:left="2160"/>
        <w:rPr>
          <w:rFonts w:eastAsiaTheme="minorHAnsi" w:cstheme="minorHAnsi"/>
          <w:szCs w:val="22"/>
        </w:rPr>
      </w:pPr>
      <w:r w:rsidRPr="00D3331E">
        <w:rPr>
          <w:rFonts w:eastAsiaTheme="minorHAnsi" w:cstheme="minorHAnsi"/>
          <w:szCs w:val="22"/>
        </w:rPr>
        <w:t xml:space="preserve">Identify workforce training partners to foster improved access to jobs for members of the community, including under-represented individuals and those facing barriers to employment such as those with disabilities, returning citizens, opportunity youth, and </w:t>
      </w:r>
      <w:proofErr w:type="gramStart"/>
      <w:r w:rsidRPr="00D3331E">
        <w:rPr>
          <w:rFonts w:eastAsiaTheme="minorHAnsi" w:cstheme="minorHAnsi"/>
          <w:szCs w:val="22"/>
        </w:rPr>
        <w:t>veterans;</w:t>
      </w:r>
      <w:proofErr w:type="gramEnd"/>
    </w:p>
    <w:p w14:paraId="09AAAE98" w14:textId="77777777" w:rsidR="00D3331E" w:rsidRPr="00D3331E" w:rsidRDefault="00D3331E" w:rsidP="00F836F4">
      <w:pPr>
        <w:numPr>
          <w:ilvl w:val="1"/>
          <w:numId w:val="116"/>
        </w:numPr>
        <w:ind w:left="2160"/>
        <w:rPr>
          <w:rFonts w:eastAsiaTheme="minorHAnsi" w:cstheme="minorHAnsi"/>
          <w:szCs w:val="22"/>
        </w:rPr>
      </w:pPr>
      <w:r w:rsidRPr="00D3331E">
        <w:rPr>
          <w:rFonts w:cstheme="minorHAnsi"/>
        </w:rPr>
        <w:t xml:space="preserve">Anti-bias training and education to ensure hiring professionals can recognize unconscious bias and can learn how to reduce discriminatory </w:t>
      </w:r>
      <w:proofErr w:type="gramStart"/>
      <w:r w:rsidRPr="00D3331E">
        <w:rPr>
          <w:rFonts w:cstheme="minorHAnsi"/>
        </w:rPr>
        <w:t>barriers;</w:t>
      </w:r>
      <w:proofErr w:type="gramEnd"/>
    </w:p>
    <w:p w14:paraId="73F8B590" w14:textId="77777777" w:rsidR="00D3331E" w:rsidRPr="00D3331E" w:rsidRDefault="00D3331E" w:rsidP="00F836F4">
      <w:pPr>
        <w:numPr>
          <w:ilvl w:val="1"/>
          <w:numId w:val="116"/>
        </w:numPr>
        <w:ind w:left="2160"/>
        <w:rPr>
          <w:rFonts w:eastAsia="Segoe UI" w:cstheme="minorHAnsi"/>
        </w:rPr>
      </w:pPr>
      <w:r w:rsidRPr="00D3331E">
        <w:rPr>
          <w:rFonts w:eastAsia="Segoe UI" w:cstheme="minorHAnsi"/>
        </w:rPr>
        <w:t xml:space="preserve">Support for quality apprenticeship readiness and/or pre-apprenticeship programs that are integrated with registered </w:t>
      </w:r>
      <w:proofErr w:type="gramStart"/>
      <w:r w:rsidRPr="00D3331E">
        <w:rPr>
          <w:rFonts w:eastAsia="Segoe UI" w:cstheme="minorHAnsi"/>
        </w:rPr>
        <w:t>apprenticeship;</w:t>
      </w:r>
      <w:proofErr w:type="gramEnd"/>
      <w:r w:rsidRPr="00D3331E">
        <w:rPr>
          <w:rFonts w:eastAsia="Segoe UI" w:cstheme="minorHAnsi"/>
        </w:rPr>
        <w:t xml:space="preserve"> </w:t>
      </w:r>
    </w:p>
    <w:p w14:paraId="275A45EE" w14:textId="77777777" w:rsidR="00D3331E" w:rsidRPr="00D3331E" w:rsidRDefault="00D3331E" w:rsidP="00F836F4">
      <w:pPr>
        <w:numPr>
          <w:ilvl w:val="1"/>
          <w:numId w:val="116"/>
        </w:numPr>
        <w:ind w:left="2160"/>
        <w:rPr>
          <w:rFonts w:eastAsia="Segoe UI" w:cstheme="minorHAnsi"/>
        </w:rPr>
      </w:pPr>
      <w:r w:rsidRPr="00D3331E">
        <w:rPr>
          <w:rFonts w:cstheme="minorHAnsi"/>
        </w:rPr>
        <w:t xml:space="preserve">Comprehensive support services </w:t>
      </w:r>
      <w:r w:rsidRPr="00D3331E">
        <w:rPr>
          <w:rFonts w:eastAsia="Segoe UI" w:cstheme="minorHAnsi"/>
        </w:rPr>
        <w:t xml:space="preserve">such as </w:t>
      </w:r>
      <w:r w:rsidRPr="00D3331E">
        <w:rPr>
          <w:rFonts w:cstheme="minorHAnsi"/>
        </w:rPr>
        <w:t xml:space="preserve">income supports, mental health supports, transportation assistance, and access to </w:t>
      </w:r>
      <w:proofErr w:type="gramStart"/>
      <w:r w:rsidRPr="00D3331E">
        <w:rPr>
          <w:rFonts w:cstheme="minorHAnsi"/>
        </w:rPr>
        <w:t>child care</w:t>
      </w:r>
      <w:proofErr w:type="gramEnd"/>
      <w:r w:rsidRPr="00D3331E">
        <w:rPr>
          <w:rFonts w:cstheme="minorHAnsi"/>
        </w:rPr>
        <w:t>.)</w:t>
      </w:r>
      <w:r w:rsidRPr="00D3331E">
        <w:rPr>
          <w:rFonts w:eastAsia="Segoe UI" w:cstheme="minorHAnsi"/>
        </w:rPr>
        <w:t xml:space="preserve"> to improve access to career-track training and jobs for underrepresented and disadvantaged workers;</w:t>
      </w:r>
    </w:p>
    <w:p w14:paraId="4D399599" w14:textId="77777777" w:rsidR="00D3331E" w:rsidRPr="00D3331E" w:rsidRDefault="00D3331E" w:rsidP="00F836F4">
      <w:pPr>
        <w:numPr>
          <w:ilvl w:val="1"/>
          <w:numId w:val="116"/>
        </w:numPr>
        <w:ind w:left="2160"/>
        <w:rPr>
          <w:rFonts w:eastAsia="Segoe UI" w:cstheme="minorHAnsi"/>
        </w:rPr>
      </w:pPr>
      <w:r w:rsidRPr="00D3331E">
        <w:rPr>
          <w:rFonts w:eastAsiaTheme="minorHAnsi" w:cstheme="minorHAnsi"/>
          <w:szCs w:val="22"/>
        </w:rPr>
        <w:t xml:space="preserve">Describe Local and/or Economic Hire efforts (e.g., preferences for </w:t>
      </w:r>
      <w:proofErr w:type="gramStart"/>
      <w:r w:rsidRPr="00D3331E">
        <w:rPr>
          <w:rFonts w:eastAsiaTheme="minorHAnsi" w:cstheme="minorHAnsi"/>
          <w:szCs w:val="22"/>
        </w:rPr>
        <w:t>economically disadvantaged</w:t>
      </w:r>
      <w:proofErr w:type="gramEnd"/>
      <w:r w:rsidRPr="00D3331E">
        <w:rPr>
          <w:rFonts w:eastAsiaTheme="minorHAnsi" w:cstheme="minorHAnsi"/>
          <w:szCs w:val="22"/>
        </w:rPr>
        <w:t xml:space="preserve"> populations). </w:t>
      </w:r>
      <w:r w:rsidRPr="00D3331E">
        <w:rPr>
          <w:rFonts w:eastAsia="Segoe UI" w:cstheme="minorHAnsi"/>
        </w:rPr>
        <w:t xml:space="preserve"> </w:t>
      </w:r>
    </w:p>
    <w:p w14:paraId="352CFC21" w14:textId="77777777" w:rsidR="00D3331E" w:rsidRPr="00D3331E" w:rsidRDefault="00D3331E" w:rsidP="00D3331E">
      <w:pPr>
        <w:autoSpaceDE w:val="0"/>
        <w:autoSpaceDN w:val="0"/>
        <w:adjustRightInd w:val="0"/>
        <w:rPr>
          <w:rFonts w:eastAsiaTheme="minorHAnsi" w:cstheme="minorHAnsi"/>
          <w:szCs w:val="22"/>
        </w:rPr>
      </w:pPr>
    </w:p>
    <w:p w14:paraId="19D146E5" w14:textId="2ABDB8FC" w:rsidR="00D3331E" w:rsidRPr="00D3331E" w:rsidRDefault="00D3331E" w:rsidP="00D3331E">
      <w:pPr>
        <w:autoSpaceDE w:val="0"/>
        <w:autoSpaceDN w:val="0"/>
        <w:adjustRightInd w:val="0"/>
        <w:ind w:left="1440"/>
        <w:rPr>
          <w:rFonts w:ascii="TT13Et00" w:eastAsia="Segoe UI" w:hAnsi="TT13Et00" w:cs="TT13Et00"/>
          <w:color w:val="000000"/>
          <w:szCs w:val="24"/>
        </w:rPr>
      </w:pPr>
      <w:r w:rsidRPr="00D3331E">
        <w:rPr>
          <w:rFonts w:eastAsia="Segoe UI" w:cs="Segoe UI"/>
          <w:b/>
          <w:bCs/>
        </w:rPr>
        <w:t xml:space="preserve">Justice40 Initiative Plan: </w:t>
      </w:r>
      <w:r w:rsidRPr="00D3331E">
        <w:rPr>
          <w:rFonts w:ascii="TT13Et00" w:eastAsia="Segoe UI" w:hAnsi="TT13Et00" w:cs="TT13Et00"/>
          <w:color w:val="000000"/>
          <w:szCs w:val="24"/>
        </w:rPr>
        <w:t xml:space="preserve">Applicants are required to submit a Justice40 Initiative Plan, which should provide an overview of benefits that can be supported by measurable metrics and describe the benefits to </w:t>
      </w:r>
      <w:r w:rsidR="00BF115F">
        <w:rPr>
          <w:rFonts w:ascii="TT13Et00" w:eastAsia="Segoe UI" w:hAnsi="TT13Et00" w:cs="TT13Et00"/>
          <w:color w:val="000000"/>
          <w:szCs w:val="24"/>
        </w:rPr>
        <w:t>disadvantaged communities</w:t>
      </w:r>
      <w:r w:rsidRPr="00D3331E">
        <w:rPr>
          <w:rFonts w:ascii="TT13Et00" w:eastAsia="Segoe UI" w:hAnsi="TT13Et00" w:cs="TT13Et00"/>
          <w:color w:val="000000"/>
          <w:szCs w:val="24"/>
        </w:rPr>
        <w:t xml:space="preserve">. This section of the plan will be incorporated into the award and memorialized in a legally enforceable Community Benefits Agreement or similar document if </w:t>
      </w:r>
      <w:proofErr w:type="gramStart"/>
      <w:r w:rsidRPr="00D3331E">
        <w:rPr>
          <w:rFonts w:ascii="TT13Et00" w:eastAsia="Segoe UI" w:hAnsi="TT13Et00" w:cs="TT13Et00"/>
          <w:color w:val="000000"/>
          <w:szCs w:val="24"/>
        </w:rPr>
        <w:t>selected, and</w:t>
      </w:r>
      <w:proofErr w:type="gramEnd"/>
      <w:r w:rsidRPr="00D3331E">
        <w:rPr>
          <w:rFonts w:ascii="TT13Et00" w:eastAsia="Segoe UI" w:hAnsi="TT13Et00" w:cs="TT13Et00"/>
          <w:color w:val="000000"/>
          <w:szCs w:val="24"/>
        </w:rPr>
        <w:t xml:space="preserve"> shall include appropriate milestones for benefit delivery.</w:t>
      </w:r>
    </w:p>
    <w:p w14:paraId="0C998EEB" w14:textId="77777777" w:rsidR="00D3331E" w:rsidRPr="00D3331E" w:rsidRDefault="00D3331E" w:rsidP="00D3331E">
      <w:pPr>
        <w:autoSpaceDE w:val="0"/>
        <w:autoSpaceDN w:val="0"/>
        <w:adjustRightInd w:val="0"/>
        <w:ind w:left="1440"/>
        <w:rPr>
          <w:rFonts w:ascii="TT13Et00" w:eastAsia="Segoe UI" w:hAnsi="TT13Et00" w:cs="TT13Et00"/>
          <w:color w:val="000000"/>
          <w:szCs w:val="24"/>
        </w:rPr>
      </w:pPr>
    </w:p>
    <w:p w14:paraId="7A0C8B09" w14:textId="77777777" w:rsidR="00D3331E" w:rsidRPr="00D3331E" w:rsidRDefault="00D3331E" w:rsidP="00D3331E">
      <w:pPr>
        <w:autoSpaceDE w:val="0"/>
        <w:autoSpaceDN w:val="0"/>
        <w:adjustRightInd w:val="0"/>
        <w:ind w:left="1440"/>
        <w:rPr>
          <w:rFonts w:ascii="TT13Et00" w:eastAsia="Segoe UI" w:hAnsi="TT13Et00" w:cs="TT13Et00"/>
          <w:color w:val="000000"/>
          <w:szCs w:val="24"/>
        </w:rPr>
      </w:pPr>
      <w:r w:rsidRPr="00D3331E">
        <w:rPr>
          <w:rFonts w:ascii="TT13Et00" w:eastAsia="Segoe UI" w:hAnsi="TT13Et00" w:cs="TT13Et00"/>
          <w:color w:val="000000"/>
          <w:szCs w:val="24"/>
        </w:rPr>
        <w:t>Specifically, the Justice40 Initiative Plan must include:</w:t>
      </w:r>
    </w:p>
    <w:p w14:paraId="4E3EC4EA" w14:textId="77777777" w:rsidR="00D3331E" w:rsidRPr="00D3331E" w:rsidRDefault="00D3331E" w:rsidP="00D3331E">
      <w:pPr>
        <w:autoSpaceDE w:val="0"/>
        <w:autoSpaceDN w:val="0"/>
        <w:adjustRightInd w:val="0"/>
        <w:ind w:left="1440"/>
        <w:rPr>
          <w:rFonts w:ascii="TT13Et00" w:eastAsia="Segoe UI" w:hAnsi="TT13Et00" w:cs="TT13Et00"/>
          <w:color w:val="000000"/>
          <w:szCs w:val="24"/>
        </w:rPr>
      </w:pPr>
    </w:p>
    <w:p w14:paraId="59152D88" w14:textId="469CE1F0" w:rsidR="00D3331E" w:rsidRPr="00D3331E" w:rsidRDefault="00D3331E" w:rsidP="00F836F4">
      <w:pPr>
        <w:keepNext/>
        <w:numPr>
          <w:ilvl w:val="0"/>
          <w:numId w:val="113"/>
        </w:numPr>
        <w:contextualSpacing/>
        <w:rPr>
          <w:rFonts w:eastAsia="Segoe UI" w:cs="Segoe UI"/>
        </w:rPr>
      </w:pPr>
      <w:r w:rsidRPr="00D3331E">
        <w:rPr>
          <w:rFonts w:eastAsia="Segoe UI" w:cs="Segoe UI"/>
        </w:rPr>
        <w:t xml:space="preserve">Identification of applicable </w:t>
      </w:r>
      <w:r w:rsidR="0091714F">
        <w:rPr>
          <w:rFonts w:eastAsia="Segoe UI" w:cs="Segoe UI"/>
        </w:rPr>
        <w:t>d</w:t>
      </w:r>
      <w:r w:rsidR="00BF115F">
        <w:rPr>
          <w:rFonts w:eastAsia="Segoe UI" w:cs="Segoe UI"/>
        </w:rPr>
        <w:t>isadvantaged communities</w:t>
      </w:r>
      <w:r w:rsidRPr="00D3331E">
        <w:rPr>
          <w:rFonts w:eastAsia="Segoe UI" w:cs="Segoe UI"/>
        </w:rPr>
        <w:t xml:space="preserve"> to which the anticipated project benefits will flow.</w:t>
      </w:r>
    </w:p>
    <w:p w14:paraId="1C80A329" w14:textId="77777777" w:rsidR="00D3331E" w:rsidRPr="00D3331E" w:rsidRDefault="00D3331E" w:rsidP="00F836F4">
      <w:pPr>
        <w:keepNext/>
        <w:numPr>
          <w:ilvl w:val="0"/>
          <w:numId w:val="113"/>
        </w:numPr>
        <w:contextualSpacing/>
        <w:rPr>
          <w:rFonts w:eastAsia="Segoe UI" w:cs="Segoe UI"/>
        </w:rPr>
      </w:pPr>
      <w:r w:rsidRPr="00D3331E">
        <w:rPr>
          <w:rFonts w:eastAsia="Segoe UI" w:cs="Segoe UI"/>
        </w:rPr>
        <w:t>Identification of applicable benefits that are quantifiable, measurable, and trackable.</w:t>
      </w:r>
    </w:p>
    <w:p w14:paraId="0E000CD3" w14:textId="1EE6613C" w:rsidR="00D3331E" w:rsidRPr="00D3331E" w:rsidRDefault="00D3331E" w:rsidP="00F836F4">
      <w:pPr>
        <w:keepNext/>
        <w:numPr>
          <w:ilvl w:val="1"/>
          <w:numId w:val="113"/>
        </w:numPr>
        <w:contextualSpacing/>
        <w:rPr>
          <w:rFonts w:eastAsia="Segoe UI" w:cs="Segoe UI"/>
        </w:rPr>
      </w:pPr>
      <w:r w:rsidRPr="00D3331E">
        <w:rPr>
          <w:rFonts w:eastAsia="Segoe UI" w:cs="Segoe UI"/>
        </w:rPr>
        <w:t xml:space="preserve">Benefits include (but are not limited to) measurable direct or indirect investments or positive project outcomes that achieve or contribute to the following in </w:t>
      </w:r>
      <w:r w:rsidR="0091714F">
        <w:rPr>
          <w:rFonts w:eastAsia="Segoe UI" w:cs="Segoe UI"/>
        </w:rPr>
        <w:t>d</w:t>
      </w:r>
      <w:r w:rsidR="00BF115F">
        <w:rPr>
          <w:rFonts w:eastAsia="Segoe UI" w:cs="Segoe UI"/>
        </w:rPr>
        <w:t>isadvantaged communities</w:t>
      </w:r>
      <w:r w:rsidRPr="00D3331E">
        <w:rPr>
          <w:rFonts w:eastAsia="Segoe UI" w:cs="Segoe UI"/>
        </w:rPr>
        <w:t>: (1) a decrease in energy burden; (2) a decrease in environmental exposure and burdens; (3) an increase in access to low-cost capital; (4) an increase in job creation, the clean energy job pipeline, and job training for individuals; (5) increases in clean energy enterprise creation and contracting (e.g., minority-owned or disadvantaged business enterprises); (6) increases in energy democracy, including community ownership; (7) increased parity in clean energy technology access and adoption; and (8) an increase in energy resilience.</w:t>
      </w:r>
    </w:p>
    <w:p w14:paraId="32F8C595" w14:textId="072CFF36" w:rsidR="00D3331E" w:rsidRPr="00D3331E" w:rsidRDefault="00D3331E" w:rsidP="00F836F4">
      <w:pPr>
        <w:keepNext/>
        <w:numPr>
          <w:ilvl w:val="0"/>
          <w:numId w:val="113"/>
        </w:numPr>
        <w:contextualSpacing/>
        <w:rPr>
          <w:rFonts w:eastAsia="Segoe UI" w:cs="Segoe UI"/>
        </w:rPr>
      </w:pPr>
      <w:r w:rsidRPr="00D3331E">
        <w:rPr>
          <w:rFonts w:eastAsia="Segoe UI" w:cs="Segoe UI"/>
        </w:rPr>
        <w:t xml:space="preserve">A Discussion of Anticipated Negative and </w:t>
      </w:r>
      <w:r w:rsidR="004532A3" w:rsidRPr="00D3331E">
        <w:rPr>
          <w:rFonts w:eastAsia="Segoe UI" w:cs="Segoe UI"/>
        </w:rPr>
        <w:t>Cumulative</w:t>
      </w:r>
      <w:r w:rsidRPr="00D3331E">
        <w:rPr>
          <w:rFonts w:eastAsia="Segoe UI" w:cs="Segoe UI"/>
        </w:rPr>
        <w:t xml:space="preserve"> Environmental Impacts on </w:t>
      </w:r>
      <w:r w:rsidR="0091714F">
        <w:rPr>
          <w:rFonts w:eastAsia="Segoe UI" w:cs="Segoe UI"/>
        </w:rPr>
        <w:t>d</w:t>
      </w:r>
      <w:r w:rsidR="00BF115F">
        <w:rPr>
          <w:rFonts w:eastAsia="Segoe UI" w:cs="Segoe UI"/>
        </w:rPr>
        <w:t>isadvantaged communities</w:t>
      </w:r>
      <w:r w:rsidRPr="00D3331E">
        <w:rPr>
          <w:rFonts w:eastAsia="Segoe UI" w:cs="Segoe UI"/>
        </w:rPr>
        <w:t xml:space="preserve">. For example, what are the anticipated environmental impacts associated with the project, and how will the applicant mitigate such impacts? Within the context of cumulative impacts created by the project, the Applicant should use Environmental Protection Agency EJSCREEN tool to quantitatively discuss existing environmental impacts in the project area. </w:t>
      </w:r>
    </w:p>
    <w:p w14:paraId="0CC0B12F" w14:textId="78B2AEFD" w:rsidR="00D3331E" w:rsidRPr="00D3331E" w:rsidRDefault="00D3331E" w:rsidP="00F836F4">
      <w:pPr>
        <w:keepNext/>
        <w:numPr>
          <w:ilvl w:val="0"/>
          <w:numId w:val="113"/>
        </w:numPr>
        <w:contextualSpacing/>
        <w:rPr>
          <w:rFonts w:eastAsia="Segoe UI" w:cs="Segoe UI"/>
        </w:rPr>
      </w:pPr>
      <w:r w:rsidRPr="00D3331E">
        <w:rPr>
          <w:rFonts w:eastAsia="Segoe UI" w:cs="Segoe UI"/>
        </w:rPr>
        <w:t xml:space="preserve">A Description of How Anticipated Benefits Are Expected to Flow to </w:t>
      </w:r>
      <w:r w:rsidR="0091714F">
        <w:rPr>
          <w:rFonts w:eastAsia="Segoe UI" w:cs="Segoe UI"/>
        </w:rPr>
        <w:t>d</w:t>
      </w:r>
      <w:r w:rsidR="00BF115F">
        <w:rPr>
          <w:rFonts w:eastAsia="Segoe UI" w:cs="Segoe UI"/>
        </w:rPr>
        <w:t>isadvantaged communities</w:t>
      </w:r>
      <w:r w:rsidRPr="00D3331E">
        <w:rPr>
          <w:rFonts w:eastAsia="Segoe UI" w:cs="Segoe UI"/>
        </w:rPr>
        <w:t xml:space="preserve">. For example, will the benefits be provided directly within the </w:t>
      </w:r>
      <w:r w:rsidR="0091714F">
        <w:rPr>
          <w:rFonts w:eastAsia="Segoe UI" w:cs="Segoe UI"/>
        </w:rPr>
        <w:t>disadvantaged community</w:t>
      </w:r>
      <w:r w:rsidRPr="00D3331E">
        <w:rPr>
          <w:rFonts w:eastAsia="Segoe UI" w:cs="Segoe UI"/>
        </w:rPr>
        <w:t>(</w:t>
      </w:r>
      <w:proofErr w:type="spellStart"/>
      <w:r w:rsidR="000216F9">
        <w:rPr>
          <w:rFonts w:eastAsia="Segoe UI" w:cs="Segoe UI"/>
        </w:rPr>
        <w:t>ie</w:t>
      </w:r>
      <w:r w:rsidRPr="00D3331E">
        <w:rPr>
          <w:rFonts w:eastAsia="Segoe UI" w:cs="Segoe UI"/>
        </w:rPr>
        <w:t>s</w:t>
      </w:r>
      <w:proofErr w:type="spellEnd"/>
      <w:r w:rsidRPr="00D3331E">
        <w:rPr>
          <w:rFonts w:eastAsia="Segoe UI" w:cs="Segoe UI"/>
        </w:rPr>
        <w:t xml:space="preserve">) identified in the Justice40 Initiative Plan, or are the benefits expected to flow in another way? </w:t>
      </w:r>
    </w:p>
    <w:p w14:paraId="575A198F" w14:textId="77777777" w:rsidR="00D3331E" w:rsidRPr="00D3331E" w:rsidRDefault="00D3331E" w:rsidP="00D3331E">
      <w:pPr>
        <w:ind w:left="720"/>
        <w:contextualSpacing/>
        <w:rPr>
          <w:rFonts w:eastAsia="Segoe UI" w:cs="Segoe UI"/>
        </w:rPr>
      </w:pPr>
    </w:p>
    <w:p w14:paraId="369379B6" w14:textId="798D8361" w:rsidR="00D3331E" w:rsidRPr="00D3331E" w:rsidRDefault="00D3331E" w:rsidP="00D3331E">
      <w:pPr>
        <w:ind w:left="1440"/>
        <w:rPr>
          <w:rFonts w:eastAsiaTheme="minorEastAsia" w:cstheme="minorBidi"/>
          <w:color w:val="000000" w:themeColor="text1"/>
        </w:rPr>
      </w:pPr>
      <w:r w:rsidRPr="00D3331E">
        <w:rPr>
          <w:rFonts w:eastAsiaTheme="minorEastAsia" w:cstheme="minorBidi"/>
          <w:color w:val="000000" w:themeColor="text1"/>
        </w:rPr>
        <w:t xml:space="preserve">For projects funded under this FOA, </w:t>
      </w:r>
      <w:r w:rsidRPr="00D3331E">
        <w:t xml:space="preserve">DOE will provide specific reporting guidance for a subset of the eight policy priorities described above; however, recipients are also required to report how project benefits flow to applicable </w:t>
      </w:r>
      <w:r w:rsidR="0091714F">
        <w:t>d</w:t>
      </w:r>
      <w:r w:rsidR="00BF115F">
        <w:t>isadvantaged communities</w:t>
      </w:r>
      <w:r w:rsidRPr="00D3331E">
        <w:t>, in furtherance of the advancement of the policy priorities outlined above.</w:t>
      </w:r>
      <w:r w:rsidRPr="00D3331E">
        <w:rPr>
          <w:rFonts w:eastAsiaTheme="minorEastAsia"/>
        </w:rPr>
        <w:t xml:space="preserve"> </w:t>
      </w:r>
      <w:r w:rsidRPr="00D3331E">
        <w:rPr>
          <w:rFonts w:eastAsiaTheme="minorEastAsia" w:cstheme="minorBidi"/>
          <w:color w:val="000000" w:themeColor="text1"/>
        </w:rPr>
        <w:t xml:space="preserve">For example, a recipient can describe how a project will increase access to clean energy and decrease harmful emissions in </w:t>
      </w:r>
      <w:r w:rsidR="0091714F">
        <w:rPr>
          <w:rFonts w:eastAsiaTheme="minorEastAsia" w:cstheme="minorBidi"/>
          <w:color w:val="000000" w:themeColor="text1"/>
        </w:rPr>
        <w:t>d</w:t>
      </w:r>
      <w:r w:rsidR="00BF115F">
        <w:rPr>
          <w:rFonts w:eastAsiaTheme="minorEastAsia" w:cstheme="minorBidi"/>
          <w:color w:val="000000" w:themeColor="text1"/>
        </w:rPr>
        <w:t>isadvantaged communities</w:t>
      </w:r>
      <w:r w:rsidRPr="00D3331E">
        <w:rPr>
          <w:rFonts w:eastAsiaTheme="minorEastAsia" w:cstheme="minorBidi"/>
          <w:color w:val="000000" w:themeColor="text1"/>
        </w:rPr>
        <w:t xml:space="preserve"> and provide methods for tracking the progress of these outcomes (See Section </w:t>
      </w:r>
      <w:proofErr w:type="spellStart"/>
      <w:r w:rsidRPr="00D3331E">
        <w:rPr>
          <w:rFonts w:eastAsiaTheme="minorEastAsia" w:cstheme="minorBidi"/>
          <w:color w:val="000000" w:themeColor="text1"/>
        </w:rPr>
        <w:t>IV.D.xvii</w:t>
      </w:r>
      <w:proofErr w:type="spellEnd"/>
      <w:r w:rsidRPr="00D3331E">
        <w:rPr>
          <w:rFonts w:eastAsiaTheme="minorEastAsia" w:cstheme="minorBidi"/>
          <w:color w:val="000000" w:themeColor="text1"/>
        </w:rPr>
        <w:t xml:space="preserve">). </w:t>
      </w:r>
    </w:p>
    <w:p w14:paraId="49D9852A" w14:textId="77777777" w:rsidR="00FA4CFC" w:rsidRDefault="00FA4CFC" w:rsidP="00FA4CFC">
      <w:pPr>
        <w:ind w:left="1440"/>
      </w:pPr>
    </w:p>
    <w:p w14:paraId="2E6EE01C" w14:textId="56947A6E" w:rsidR="006A5887" w:rsidRDefault="006A5887" w:rsidP="00F836F4">
      <w:pPr>
        <w:pStyle w:val="FOAHeading3"/>
        <w:numPr>
          <w:ilvl w:val="0"/>
          <w:numId w:val="31"/>
        </w:numPr>
        <w:ind w:left="1440"/>
        <w:outlineLvl w:val="2"/>
      </w:pPr>
      <w:bookmarkStart w:id="237" w:name="_Toc109921704"/>
      <w:r w:rsidRPr="00E47A6D">
        <w:t xml:space="preserve">Current and </w:t>
      </w:r>
      <w:r>
        <w:t>P</w:t>
      </w:r>
      <w:r w:rsidRPr="00E47A6D">
        <w:t xml:space="preserve">ending </w:t>
      </w:r>
      <w:r>
        <w:t>S</w:t>
      </w:r>
      <w:r w:rsidRPr="00E47A6D">
        <w:t>upport</w:t>
      </w:r>
      <w:bookmarkEnd w:id="237"/>
      <w:r w:rsidRPr="00E47A6D">
        <w:t xml:space="preserve"> </w:t>
      </w:r>
    </w:p>
    <w:p w14:paraId="4C14C049" w14:textId="1F0D4C74" w:rsidR="006A5887" w:rsidRDefault="006A5887" w:rsidP="006A5887">
      <w:pPr>
        <w:ind w:left="1440"/>
        <w:rPr>
          <w:rFonts w:ascii="Calibri" w:hAnsi="Calibri"/>
        </w:rPr>
      </w:pPr>
      <w:r w:rsidRPr="00E47A6D">
        <w:rPr>
          <w:rFonts w:ascii="Calibri" w:hAnsi="Calibri"/>
        </w:rPr>
        <w:t xml:space="preserve">Current and pending support is intended to allow the identification of potential duplication, overcommitment, potential conflicts of interest or commitment, and all other sources of support. </w:t>
      </w:r>
      <w:bookmarkStart w:id="238" w:name="_Hlk90040140"/>
      <w:r>
        <w:rPr>
          <w:rFonts w:ascii="Calibri" w:hAnsi="Calibri"/>
        </w:rPr>
        <w:t>As part of the application, t</w:t>
      </w:r>
      <w:r w:rsidRPr="00E47A6D">
        <w:rPr>
          <w:rFonts w:ascii="Calibri" w:hAnsi="Calibri"/>
        </w:rPr>
        <w:t>he principal investigator and senior/key person</w:t>
      </w:r>
      <w:r w:rsidR="00B53E00">
        <w:rPr>
          <w:rFonts w:ascii="Calibri" w:hAnsi="Calibri"/>
        </w:rPr>
        <w:t>nel</w:t>
      </w:r>
      <w:r w:rsidRPr="00E47A6D">
        <w:rPr>
          <w:rFonts w:ascii="Calibri" w:hAnsi="Calibri"/>
        </w:rPr>
        <w:t xml:space="preserve"> at the </w:t>
      </w:r>
      <w:r w:rsidR="0079291B">
        <w:rPr>
          <w:rFonts w:ascii="Calibri" w:hAnsi="Calibri"/>
        </w:rPr>
        <w:t>applicant</w:t>
      </w:r>
      <w:r w:rsidRPr="00E47A6D">
        <w:rPr>
          <w:rFonts w:ascii="Calibri" w:hAnsi="Calibri"/>
        </w:rPr>
        <w:t xml:space="preserve"> and </w:t>
      </w:r>
      <w:r w:rsidR="007D19F0">
        <w:rPr>
          <w:rFonts w:ascii="Calibri" w:hAnsi="Calibri"/>
        </w:rPr>
        <w:t>subrecipient level</w:t>
      </w:r>
      <w:r w:rsidRPr="00E47A6D">
        <w:rPr>
          <w:rFonts w:ascii="Calibri" w:hAnsi="Calibri"/>
        </w:rPr>
        <w:t xml:space="preserve"> must provide a list of all sponsored activities, awards, and appointments, </w:t>
      </w:r>
      <w:bookmarkEnd w:id="238"/>
      <w:r w:rsidRPr="00E47A6D">
        <w:rPr>
          <w:rFonts w:ascii="Calibri" w:hAnsi="Calibri"/>
        </w:rPr>
        <w:t xml:space="preserve">whether paid or unpaid; provided as a gift with terms or conditions or provided as a gift without terms or conditions; full-time, part-time, or voluntary; faculty, visiting, adjunct, or honorary; cash or in-kind; foreign or domestic; governmental or private-sector; directly supporting the individual’s research or indirectly supporting the individual by supporting students, research staff, space, equipment, or other research expenses. All foreign government-sponsored talent recruitment programs must be identified in current and pending support. </w:t>
      </w:r>
    </w:p>
    <w:p w14:paraId="53217FCB" w14:textId="77777777" w:rsidR="006A5887" w:rsidRPr="00E47A6D" w:rsidRDefault="006A5887" w:rsidP="006A5887">
      <w:pPr>
        <w:rPr>
          <w:rFonts w:ascii="Calibri" w:hAnsi="Calibri"/>
        </w:rPr>
      </w:pPr>
    </w:p>
    <w:p w14:paraId="47306F54" w14:textId="77777777" w:rsidR="006A5887" w:rsidRPr="00E47A6D" w:rsidRDefault="006A5887" w:rsidP="006A5887">
      <w:pPr>
        <w:ind w:left="1440"/>
        <w:rPr>
          <w:rFonts w:ascii="Calibri" w:hAnsi="Calibri"/>
        </w:rPr>
      </w:pPr>
      <w:r w:rsidRPr="00E47A6D">
        <w:rPr>
          <w:rFonts w:ascii="Calibri" w:hAnsi="Calibri"/>
        </w:rPr>
        <w:t>For every activity, list the following items:</w:t>
      </w:r>
    </w:p>
    <w:p w14:paraId="282BC887" w14:textId="77777777" w:rsidR="006A5887" w:rsidRPr="00E47A6D" w:rsidRDefault="006A5887" w:rsidP="00F836F4">
      <w:pPr>
        <w:numPr>
          <w:ilvl w:val="2"/>
          <w:numId w:val="83"/>
        </w:numPr>
        <w:rPr>
          <w:rFonts w:ascii="Calibri" w:hAnsi="Calibri"/>
        </w:rPr>
      </w:pPr>
      <w:r w:rsidRPr="00E47A6D">
        <w:rPr>
          <w:rFonts w:ascii="Calibri" w:hAnsi="Calibri"/>
        </w:rPr>
        <w:t>The sponsor of the activity or the source of funding</w:t>
      </w:r>
    </w:p>
    <w:p w14:paraId="32B8A2CF" w14:textId="77777777" w:rsidR="006A5887" w:rsidRPr="00E47A6D" w:rsidRDefault="006A5887" w:rsidP="00F836F4">
      <w:pPr>
        <w:numPr>
          <w:ilvl w:val="2"/>
          <w:numId w:val="83"/>
        </w:numPr>
        <w:rPr>
          <w:rFonts w:ascii="Calibri" w:hAnsi="Calibri"/>
        </w:rPr>
      </w:pPr>
      <w:r w:rsidRPr="00E47A6D">
        <w:rPr>
          <w:rFonts w:ascii="Calibri" w:hAnsi="Calibri"/>
        </w:rPr>
        <w:t>The award or other identifying number</w:t>
      </w:r>
    </w:p>
    <w:p w14:paraId="704AA8C7" w14:textId="1B92423D" w:rsidR="006A5887" w:rsidRPr="00E47A6D" w:rsidRDefault="006A5887" w:rsidP="00F836F4">
      <w:pPr>
        <w:numPr>
          <w:ilvl w:val="2"/>
          <w:numId w:val="83"/>
        </w:numPr>
        <w:rPr>
          <w:rFonts w:ascii="Calibri" w:hAnsi="Calibri"/>
        </w:rPr>
      </w:pPr>
      <w:r w:rsidRPr="00E47A6D">
        <w:rPr>
          <w:rFonts w:ascii="Calibri" w:hAnsi="Calibri"/>
        </w:rPr>
        <w:t>The title of the award or activity. If the title of the award or activity is not descriptive, add a brief description of the research being performed that would identify any overlaps or synergies with the proposed research</w:t>
      </w:r>
    </w:p>
    <w:p w14:paraId="7B39C25D" w14:textId="5503DE86" w:rsidR="006A5887" w:rsidRPr="00E47A6D" w:rsidRDefault="006A5887" w:rsidP="00F836F4">
      <w:pPr>
        <w:numPr>
          <w:ilvl w:val="2"/>
          <w:numId w:val="83"/>
        </w:numPr>
        <w:rPr>
          <w:rFonts w:ascii="Calibri" w:hAnsi="Calibri"/>
        </w:rPr>
      </w:pPr>
      <w:r w:rsidRPr="00AD04C5">
        <w:rPr>
          <w:rFonts w:ascii="Calibri" w:hAnsi="Calibri"/>
        </w:rPr>
        <w:t>The total cost or value of the award or activity, including direct and indirect costs and cost share. For pending proposals, provide the total</w:t>
      </w:r>
      <w:r w:rsidRPr="00E47A6D">
        <w:rPr>
          <w:rFonts w:ascii="Calibri" w:hAnsi="Calibri"/>
        </w:rPr>
        <w:t xml:space="preserve"> amount of requested funding</w:t>
      </w:r>
    </w:p>
    <w:p w14:paraId="71E27586" w14:textId="107C95A5" w:rsidR="006A5887" w:rsidRPr="00E47A6D" w:rsidRDefault="006A5887" w:rsidP="00F836F4">
      <w:pPr>
        <w:numPr>
          <w:ilvl w:val="2"/>
          <w:numId w:val="83"/>
        </w:numPr>
        <w:rPr>
          <w:rFonts w:ascii="Calibri" w:hAnsi="Calibri"/>
        </w:rPr>
      </w:pPr>
      <w:r w:rsidRPr="00E47A6D">
        <w:rPr>
          <w:rFonts w:ascii="Calibri" w:hAnsi="Calibri"/>
        </w:rPr>
        <w:t>The award period (start date – end date)</w:t>
      </w:r>
    </w:p>
    <w:p w14:paraId="17C38CBE" w14:textId="77777777" w:rsidR="006A5887" w:rsidRPr="00E47A6D" w:rsidRDefault="006A5887" w:rsidP="00F836F4">
      <w:pPr>
        <w:numPr>
          <w:ilvl w:val="2"/>
          <w:numId w:val="83"/>
        </w:numPr>
        <w:rPr>
          <w:rFonts w:ascii="Calibri" w:hAnsi="Calibri"/>
        </w:rPr>
      </w:pPr>
      <w:r w:rsidRPr="00E47A6D">
        <w:rPr>
          <w:rFonts w:ascii="Calibri" w:hAnsi="Calibri"/>
        </w:rPr>
        <w:t>The person-months of effort per year being dedicated to the award or activity</w:t>
      </w:r>
    </w:p>
    <w:p w14:paraId="43FB20A0" w14:textId="77777777" w:rsidR="006A5887" w:rsidRDefault="006A5887" w:rsidP="006A5887">
      <w:pPr>
        <w:ind w:left="720"/>
        <w:rPr>
          <w:rFonts w:ascii="Calibri" w:hAnsi="Calibri"/>
        </w:rPr>
      </w:pPr>
    </w:p>
    <w:p w14:paraId="141F7E88" w14:textId="6004F525" w:rsidR="006A5887" w:rsidRPr="00E47A6D" w:rsidRDefault="00E64E3F" w:rsidP="006A5887">
      <w:pPr>
        <w:ind w:left="1440"/>
        <w:rPr>
          <w:rFonts w:ascii="Calibri" w:hAnsi="Calibri"/>
        </w:rPr>
      </w:pPr>
      <w:r>
        <w:rPr>
          <w:rFonts w:ascii="Calibri" w:hAnsi="Calibri"/>
        </w:rPr>
        <w:t>T</w:t>
      </w:r>
      <w:r w:rsidR="006A5887" w:rsidRPr="00E47A6D">
        <w:rPr>
          <w:rFonts w:ascii="Calibri" w:hAnsi="Calibri"/>
        </w:rPr>
        <w:t>o identify overlap, duplication of effort, or synergistic efforts, append a description of the other award or activity to the current and pending support.</w:t>
      </w:r>
    </w:p>
    <w:p w14:paraId="1745EA2C" w14:textId="77777777" w:rsidR="006A5887" w:rsidRDefault="006A5887" w:rsidP="006A5887">
      <w:pPr>
        <w:ind w:left="1440"/>
        <w:rPr>
          <w:rFonts w:ascii="Calibri" w:hAnsi="Calibri"/>
        </w:rPr>
      </w:pPr>
    </w:p>
    <w:p w14:paraId="70354763" w14:textId="46A01265" w:rsidR="006A5887" w:rsidRPr="00E47A6D" w:rsidRDefault="006A5887" w:rsidP="006A5887">
      <w:pPr>
        <w:ind w:left="1440"/>
        <w:rPr>
          <w:rFonts w:ascii="Calibri" w:hAnsi="Calibri"/>
        </w:rPr>
      </w:pPr>
      <w:r w:rsidRPr="00E47A6D">
        <w:rPr>
          <w:rFonts w:ascii="Calibri" w:hAnsi="Calibri"/>
        </w:rPr>
        <w:t>Details of any obligations, contractual or otherwise, to any program, entity, or organization sponsored by a foreign government must be provided on request to either the applicant institution or DOE.</w:t>
      </w:r>
      <w:r w:rsidR="00F1770F">
        <w:rPr>
          <w:rFonts w:ascii="Calibri" w:hAnsi="Calibri"/>
        </w:rPr>
        <w:t xml:space="preserve"> </w:t>
      </w:r>
      <w:r w:rsidR="00F1770F" w:rsidRPr="00F1770F">
        <w:rPr>
          <w:rFonts w:ascii="Calibri" w:hAnsi="Calibri"/>
        </w:rPr>
        <w:t>Supporting documents of any identified source of support must be provided to DOE on request, including certified translations of any document.</w:t>
      </w:r>
    </w:p>
    <w:p w14:paraId="4700A404" w14:textId="77777777" w:rsidR="006A5887" w:rsidRDefault="006A5887" w:rsidP="006A5887">
      <w:pPr>
        <w:pStyle w:val="FOATemplateBody"/>
        <w:ind w:left="2160"/>
        <w:rPr>
          <w:rFonts w:asciiTheme="minorHAnsi" w:hAnsiTheme="minorHAnsi"/>
        </w:rPr>
      </w:pPr>
    </w:p>
    <w:p w14:paraId="7EA0FB73" w14:textId="15B40607" w:rsidR="006A5887" w:rsidRPr="00B215D3" w:rsidRDefault="006A5887" w:rsidP="006A5887">
      <w:pPr>
        <w:ind w:left="1440"/>
        <w:rPr>
          <w:rFonts w:cstheme="minorHAnsi"/>
          <w:szCs w:val="24"/>
        </w:rPr>
      </w:pPr>
      <w:r w:rsidRPr="00B215D3">
        <w:rPr>
          <w:rFonts w:cstheme="minorHAnsi"/>
          <w:szCs w:val="24"/>
        </w:rPr>
        <w:t xml:space="preserve">PIs and senior/key personnel must provide a separate disclosure statement listing the required information above regarding current and pending support. </w:t>
      </w:r>
      <w:proofErr w:type="gramStart"/>
      <w:r>
        <w:rPr>
          <w:rFonts w:cstheme="minorHAnsi"/>
          <w:szCs w:val="24"/>
        </w:rPr>
        <w:t>Each</w:t>
      </w:r>
      <w:r w:rsidRPr="00B215D3">
        <w:rPr>
          <w:rFonts w:cstheme="minorHAnsi"/>
          <w:szCs w:val="24"/>
        </w:rPr>
        <w:t xml:space="preserve"> individual</w:t>
      </w:r>
      <w:proofErr w:type="gramEnd"/>
      <w:r w:rsidRPr="00B215D3">
        <w:rPr>
          <w:rFonts w:cstheme="minorHAnsi"/>
          <w:szCs w:val="24"/>
        </w:rPr>
        <w:t xml:space="preserve"> must sign and date their respective disclosure statement and include the following certification statement: </w:t>
      </w:r>
    </w:p>
    <w:p w14:paraId="00DB6E5B" w14:textId="67E5FE11" w:rsidR="006A5887" w:rsidRPr="00B215D3" w:rsidRDefault="006A5887" w:rsidP="00604DB0">
      <w:pPr>
        <w:pStyle w:val="BodyTextIndent3"/>
        <w:ind w:left="2160" w:right="720" w:firstLine="0"/>
        <w:rPr>
          <w:rFonts w:asciiTheme="minorHAnsi" w:hAnsiTheme="minorHAnsi" w:cstheme="minorHAnsi"/>
          <w:sz w:val="24"/>
          <w:szCs w:val="24"/>
        </w:rPr>
      </w:pPr>
      <w:r w:rsidRPr="00B215D3">
        <w:rPr>
          <w:rFonts w:asciiTheme="minorHAnsi" w:hAnsiTheme="minorHAnsi" w:cstheme="minorHAnsi"/>
          <w:sz w:val="24"/>
          <w:szCs w:val="24"/>
        </w:rPr>
        <w:t xml:space="preserve">I, [Full Name and Title], certify to the best of my knowledge and belief that the information contained in this Current and Pending Support Disclosure Statement is true, </w:t>
      </w:r>
      <w:proofErr w:type="gramStart"/>
      <w:r w:rsidRPr="00B215D3">
        <w:rPr>
          <w:rFonts w:asciiTheme="minorHAnsi" w:hAnsiTheme="minorHAnsi" w:cstheme="minorHAnsi"/>
          <w:sz w:val="24"/>
          <w:szCs w:val="24"/>
        </w:rPr>
        <w:t>complete</w:t>
      </w:r>
      <w:proofErr w:type="gramEnd"/>
      <w:r w:rsidRPr="00B215D3">
        <w:rPr>
          <w:rFonts w:asciiTheme="minorHAnsi" w:hAnsiTheme="minorHAnsi" w:cstheme="minorHAnsi"/>
          <w:sz w:val="24"/>
          <w:szCs w:val="24"/>
        </w:rPr>
        <w:t xml:space="preserve"> and accurate.</w:t>
      </w:r>
      <w:r w:rsidR="00604DB0">
        <w:rPr>
          <w:rFonts w:asciiTheme="minorHAnsi" w:hAnsiTheme="minorHAnsi" w:cstheme="minorHAnsi"/>
          <w:sz w:val="24"/>
          <w:szCs w:val="24"/>
        </w:rPr>
        <w:t xml:space="preserve"> </w:t>
      </w:r>
      <w:r w:rsidRPr="00B215D3">
        <w:rPr>
          <w:rFonts w:asciiTheme="minorHAnsi" w:hAnsiTheme="minorHAnsi" w:cstheme="minorHAnsi"/>
          <w:sz w:val="24"/>
          <w:szCs w:val="24"/>
        </w:rPr>
        <w:t>I understand that any false, fictitious, or fraudulent information, misrepresentations, half-truths, or omissions of any material fact, may subject me to criminal, civil or administrative penalties for fraud, false statements, false claims or otherwise. (18 U.S.C. §§ 1001 and 287, and 31 U.S.C. 3729-373</w:t>
      </w:r>
      <w:r w:rsidR="001566C8">
        <w:rPr>
          <w:rFonts w:asciiTheme="minorHAnsi" w:hAnsiTheme="minorHAnsi" w:cstheme="minorHAnsi"/>
          <w:sz w:val="24"/>
          <w:szCs w:val="24"/>
        </w:rPr>
        <w:t>3</w:t>
      </w:r>
      <w:r w:rsidRPr="00B215D3">
        <w:rPr>
          <w:rFonts w:asciiTheme="minorHAnsi" w:hAnsiTheme="minorHAnsi" w:cstheme="minorHAnsi"/>
          <w:sz w:val="24"/>
          <w:szCs w:val="24"/>
        </w:rPr>
        <w:t xml:space="preserve"> and 3801-3812).</w:t>
      </w:r>
      <w:r w:rsidR="00604DB0">
        <w:rPr>
          <w:rFonts w:asciiTheme="minorHAnsi" w:hAnsiTheme="minorHAnsi" w:cstheme="minorHAnsi"/>
          <w:sz w:val="24"/>
          <w:szCs w:val="24"/>
        </w:rPr>
        <w:t xml:space="preserve"> </w:t>
      </w:r>
      <w:r w:rsidRPr="00B215D3">
        <w:rPr>
          <w:rFonts w:asciiTheme="minorHAnsi" w:hAnsiTheme="minorHAnsi" w:cstheme="minorHAnsi"/>
          <w:sz w:val="24"/>
          <w:szCs w:val="24"/>
        </w:rPr>
        <w:t>I further understand and agree that (1) the statements and representations made herein are material to DOE’s funding decision, and (2) I have a responsibility to update the disclosures during the period of performance of the award should circumstances change which impact the responses provided above.</w:t>
      </w:r>
    </w:p>
    <w:p w14:paraId="6D056EF3" w14:textId="6C3C5599" w:rsidR="006A5887" w:rsidRPr="001E46DE" w:rsidRDefault="006A5887" w:rsidP="001E46DE">
      <w:pPr>
        <w:ind w:left="1440"/>
        <w:rPr>
          <w:rFonts w:cstheme="minorHAnsi"/>
        </w:rPr>
      </w:pPr>
      <w:r w:rsidRPr="00B215D3">
        <w:rPr>
          <w:rFonts w:cstheme="minorHAnsi"/>
        </w:rPr>
        <w:t>The information may be provided in the format approved by the National Science Foundation (NSF), which may be generated by the Science Experts Network Curriculum Vita (</w:t>
      </w:r>
      <w:proofErr w:type="spellStart"/>
      <w:r w:rsidRPr="00B215D3">
        <w:rPr>
          <w:rFonts w:cstheme="minorHAnsi"/>
        </w:rPr>
        <w:t>SciENcv</w:t>
      </w:r>
      <w:proofErr w:type="spellEnd"/>
      <w:r w:rsidRPr="00B215D3">
        <w:rPr>
          <w:rFonts w:cstheme="minorHAnsi"/>
        </w:rPr>
        <w:t>), a cooperative venture maintained at</w:t>
      </w:r>
      <w:r>
        <w:rPr>
          <w:rFonts w:cstheme="minorHAnsi"/>
        </w:rPr>
        <w:t xml:space="preserve"> </w:t>
      </w:r>
      <w:hyperlink r:id="rId55" w:history="1">
        <w:r w:rsidRPr="00C82F2F">
          <w:rPr>
            <w:rStyle w:val="Hyperlink"/>
            <w:rFonts w:cstheme="minorHAnsi"/>
          </w:rPr>
          <w:t>https://www.ncbi.nlm.nih.gov/sciencv/</w:t>
        </w:r>
      </w:hyperlink>
      <w:r w:rsidRPr="00225425">
        <w:rPr>
          <w:rFonts w:cstheme="minorHAnsi"/>
        </w:rPr>
        <w:t xml:space="preserve">, and is also available at </w:t>
      </w:r>
      <w:hyperlink r:id="rId56" w:history="1">
        <w:r w:rsidRPr="00225425">
          <w:rPr>
            <w:rStyle w:val="Hyperlink"/>
            <w:rFonts w:cstheme="minorHAnsi"/>
          </w:rPr>
          <w:t>https://www.nsf.gov/bfa/dias/policy/nsfapprovedformats/cps.pdf</w:t>
        </w:r>
      </w:hyperlink>
      <w:r w:rsidRPr="00225425">
        <w:rPr>
          <w:rFonts w:cstheme="minorHAnsi"/>
        </w:rPr>
        <w:t>. The use of a format required by another agency is intended to reduce the administrative burden to researchers by promoting the use of common formats.</w:t>
      </w:r>
      <w:r w:rsidRPr="009112C1">
        <w:rPr>
          <w:rFonts w:cstheme="minorHAnsi"/>
        </w:rPr>
        <w:t xml:space="preserve"> </w:t>
      </w:r>
      <w:r w:rsidRPr="00225425">
        <w:rPr>
          <w:rFonts w:cstheme="minorHAnsi"/>
        </w:rPr>
        <w:t>If the NSF format is used, the individual must still include a signature, date, and a certification statement using the language included in the paragraph above.</w:t>
      </w:r>
    </w:p>
    <w:p w14:paraId="3201202C" w14:textId="77777777" w:rsidR="00F54BF4" w:rsidRDefault="00F54BF4" w:rsidP="00EF3121">
      <w:pPr>
        <w:autoSpaceDE w:val="0"/>
        <w:autoSpaceDN w:val="0"/>
        <w:adjustRightInd w:val="0"/>
        <w:ind w:left="1440"/>
        <w:rPr>
          <w:rFonts w:ascii="Calibri" w:eastAsiaTheme="minorHAnsi" w:hAnsi="Calibri" w:cstheme="minorBidi"/>
          <w:szCs w:val="22"/>
        </w:rPr>
      </w:pPr>
    </w:p>
    <w:p w14:paraId="0C0C080C" w14:textId="29703F49" w:rsidR="009112C1" w:rsidRDefault="00F54BF4" w:rsidP="00EF3121">
      <w:pPr>
        <w:autoSpaceDE w:val="0"/>
        <w:autoSpaceDN w:val="0"/>
        <w:adjustRightInd w:val="0"/>
        <w:ind w:left="1440"/>
        <w:rPr>
          <w:rFonts w:ascii="Calibri" w:eastAsiaTheme="minorHAnsi" w:hAnsi="Calibri" w:cstheme="minorBidi"/>
          <w:szCs w:val="22"/>
        </w:rPr>
      </w:pPr>
      <w:r w:rsidRPr="00F10574">
        <w:rPr>
          <w:rFonts w:ascii="Calibri" w:eastAsiaTheme="minorHAnsi" w:hAnsi="Calibri" w:cstheme="minorBidi"/>
          <w:szCs w:val="22"/>
        </w:rPr>
        <w:t xml:space="preserve">Save the </w:t>
      </w:r>
      <w:r>
        <w:rPr>
          <w:rFonts w:ascii="Calibri" w:eastAsiaTheme="minorHAnsi" w:hAnsi="Calibri" w:cstheme="minorBidi"/>
          <w:szCs w:val="22"/>
        </w:rPr>
        <w:t xml:space="preserve">Current and Pending </w:t>
      </w:r>
      <w:proofErr w:type="gramStart"/>
      <w:r>
        <w:rPr>
          <w:rFonts w:ascii="Calibri" w:eastAsiaTheme="minorHAnsi" w:hAnsi="Calibri" w:cstheme="minorBidi"/>
          <w:szCs w:val="22"/>
        </w:rPr>
        <w:t xml:space="preserve">Support </w:t>
      </w:r>
      <w:r w:rsidRPr="00F10574">
        <w:rPr>
          <w:rFonts w:ascii="Calibri" w:eastAsiaTheme="minorHAnsi" w:hAnsi="Calibri" w:cstheme="minorBidi"/>
          <w:szCs w:val="22"/>
        </w:rPr>
        <w:t xml:space="preserve"> in</w:t>
      </w:r>
      <w:proofErr w:type="gramEnd"/>
      <w:r w:rsidRPr="00F10574">
        <w:rPr>
          <w:rFonts w:ascii="Calibri" w:eastAsiaTheme="minorHAnsi" w:hAnsi="Calibri" w:cstheme="minorBidi"/>
          <w:szCs w:val="22"/>
        </w:rPr>
        <w:t xml:space="preserve"> a single PDF file </w:t>
      </w:r>
      <w:r w:rsidRPr="00F10574">
        <w:rPr>
          <w:rFonts w:ascii="Calibri" w:eastAsiaTheme="minorHAnsi" w:hAnsi="Calibri"/>
          <w:color w:val="000000"/>
        </w:rPr>
        <w:t>using the following convention for the title “</w:t>
      </w:r>
      <w:proofErr w:type="spellStart"/>
      <w:r w:rsidR="00BD1C4D">
        <w:rPr>
          <w:rFonts w:cs="Calibri"/>
          <w:color w:val="000000"/>
          <w:szCs w:val="24"/>
        </w:rPr>
        <w:t>ControlNumber_LeadOrganization</w:t>
      </w:r>
      <w:r w:rsidR="00082791">
        <w:rPr>
          <w:rFonts w:ascii="Calibri" w:eastAsiaTheme="minorHAnsi" w:hAnsi="Calibri"/>
          <w:color w:val="000000"/>
        </w:rPr>
        <w:t>_</w:t>
      </w:r>
      <w:r w:rsidR="00BD1C4D">
        <w:rPr>
          <w:rFonts w:ascii="Calibri" w:eastAsiaTheme="minorHAnsi" w:hAnsi="Calibri"/>
          <w:color w:val="000000"/>
        </w:rPr>
        <w:t>CPS</w:t>
      </w:r>
      <w:proofErr w:type="spellEnd"/>
      <w:r w:rsidRPr="00F10574">
        <w:rPr>
          <w:rFonts w:ascii="Calibri" w:eastAsiaTheme="minorHAnsi" w:hAnsi="Calibri"/>
          <w:color w:val="000000"/>
        </w:rPr>
        <w:t>”</w:t>
      </w:r>
      <w:r w:rsidRPr="00F10574">
        <w:rPr>
          <w:rFonts w:ascii="Calibri" w:eastAsiaTheme="minorHAnsi" w:hAnsi="Calibri" w:cstheme="minorBidi"/>
          <w:szCs w:val="22"/>
        </w:rPr>
        <w:t>.</w:t>
      </w:r>
    </w:p>
    <w:p w14:paraId="5238A0C5" w14:textId="1437220B" w:rsidR="00E64E3F" w:rsidRDefault="00E64E3F" w:rsidP="00EF3121">
      <w:pPr>
        <w:autoSpaceDE w:val="0"/>
        <w:autoSpaceDN w:val="0"/>
        <w:adjustRightInd w:val="0"/>
        <w:ind w:left="1440"/>
        <w:rPr>
          <w:rFonts w:ascii="Calibri" w:eastAsiaTheme="minorHAnsi" w:hAnsi="Calibri" w:cstheme="minorBidi"/>
          <w:szCs w:val="22"/>
        </w:rPr>
      </w:pPr>
    </w:p>
    <w:p w14:paraId="7D046629" w14:textId="77777777" w:rsidR="00F1770F" w:rsidRPr="00F1770F" w:rsidRDefault="00F1770F" w:rsidP="00F1770F">
      <w:pPr>
        <w:autoSpaceDE w:val="0"/>
        <w:autoSpaceDN w:val="0"/>
        <w:adjustRightInd w:val="0"/>
        <w:ind w:left="1440"/>
        <w:rPr>
          <w:rFonts w:cstheme="minorHAnsi"/>
          <w:b/>
          <w:bCs/>
          <w:szCs w:val="24"/>
        </w:rPr>
      </w:pPr>
      <w:r w:rsidRPr="00F1770F">
        <w:rPr>
          <w:rFonts w:cstheme="minorHAnsi"/>
          <w:b/>
          <w:bCs/>
          <w:szCs w:val="24"/>
        </w:rPr>
        <w:t xml:space="preserve">Definitions: </w:t>
      </w:r>
    </w:p>
    <w:p w14:paraId="2CD02503" w14:textId="77777777" w:rsidR="00F1770F" w:rsidRPr="00F1770F" w:rsidRDefault="00F1770F" w:rsidP="00F1770F">
      <w:pPr>
        <w:widowControl w:val="0"/>
        <w:autoSpaceDE w:val="0"/>
        <w:autoSpaceDN w:val="0"/>
        <w:rPr>
          <w:rFonts w:cstheme="minorHAnsi"/>
          <w:b/>
          <w:bCs/>
          <w:szCs w:val="24"/>
        </w:rPr>
      </w:pPr>
    </w:p>
    <w:p w14:paraId="4828B024" w14:textId="77777777" w:rsidR="00F1770F" w:rsidRPr="00F1770F" w:rsidRDefault="00F1770F" w:rsidP="00F1770F">
      <w:pPr>
        <w:autoSpaceDE w:val="0"/>
        <w:autoSpaceDN w:val="0"/>
        <w:adjustRightInd w:val="0"/>
        <w:ind w:left="1440"/>
        <w:rPr>
          <w:rFonts w:cstheme="minorHAnsi"/>
          <w:szCs w:val="24"/>
        </w:rPr>
      </w:pPr>
      <w:r w:rsidRPr="00F1770F">
        <w:rPr>
          <w:rFonts w:cstheme="minorHAnsi"/>
          <w:b/>
          <w:bCs/>
          <w:szCs w:val="24"/>
        </w:rPr>
        <w:t>Current and pending support</w:t>
      </w:r>
      <w:r w:rsidRPr="00F1770F">
        <w:rPr>
          <w:rFonts w:cstheme="minorHAnsi"/>
          <w:szCs w:val="24"/>
        </w:rPr>
        <w:t xml:space="preserve"> – (a) All resources made available, or expected to be made available, to an individual in support of the individual’s RD&amp;D efforts, regardless of (</w:t>
      </w:r>
      <w:proofErr w:type="spellStart"/>
      <w:r w:rsidRPr="00F1770F">
        <w:rPr>
          <w:rFonts w:cstheme="minorHAnsi"/>
          <w:szCs w:val="24"/>
        </w:rPr>
        <w:t>i</w:t>
      </w:r>
      <w:proofErr w:type="spellEnd"/>
      <w:r w:rsidRPr="00F1770F">
        <w:rPr>
          <w:rFonts w:cstheme="minorHAnsi"/>
          <w:szCs w:val="24"/>
        </w:rPr>
        <w:t xml:space="preserve">) whether the source is foreign or domestic; (ii) whether the resource is made available through the entity applying for an award or directly to the individual; or (iii) whether the resource has monetary value; and (b) includes in-kind contributions requiring a commitment of time and directly supporting the individual’s RD&amp;D efforts, such as the provision of office or laboratory space, equipment, supplies, employees, or students. This term has the same meaning as the term Other Support as applied to researchers in NSPM-33: For researchers, Other Support includes all resources made available to a researcher in support of and/or related to all of their professional RD&amp;D efforts, including resources provided directly to the individual or through the organization, and regardless of whether or not they have monetary value (e.g., even if the support received is only in-kind, such as office/laboratory space, equipment, supplies, or employees). This includes resource and/or financial support from all foreign and domestic entities, including but not limited to, gifts provided with terms or conditions, financial support for laboratory personnel, and participation of student and visiting researchers supported by other sources of funding. </w:t>
      </w:r>
    </w:p>
    <w:p w14:paraId="5BFA3CED" w14:textId="77777777" w:rsidR="00F1770F" w:rsidRPr="00F1770F" w:rsidRDefault="00F1770F" w:rsidP="00F1770F">
      <w:pPr>
        <w:widowControl w:val="0"/>
        <w:autoSpaceDE w:val="0"/>
        <w:autoSpaceDN w:val="0"/>
        <w:rPr>
          <w:rFonts w:cstheme="minorHAnsi"/>
          <w:szCs w:val="24"/>
        </w:rPr>
      </w:pPr>
    </w:p>
    <w:p w14:paraId="2A0046DC" w14:textId="77777777" w:rsidR="00F1770F" w:rsidRPr="00F1770F" w:rsidRDefault="00F1770F" w:rsidP="00F1770F">
      <w:pPr>
        <w:autoSpaceDE w:val="0"/>
        <w:autoSpaceDN w:val="0"/>
        <w:adjustRightInd w:val="0"/>
        <w:ind w:left="1440"/>
        <w:rPr>
          <w:rFonts w:cstheme="minorHAnsi"/>
          <w:b/>
          <w:bCs/>
          <w:szCs w:val="24"/>
        </w:rPr>
      </w:pPr>
      <w:r w:rsidRPr="00F1770F">
        <w:rPr>
          <w:rFonts w:eastAsiaTheme="minorEastAsia" w:cstheme="minorHAnsi"/>
          <w:b/>
          <w:szCs w:val="24"/>
        </w:rPr>
        <w:t xml:space="preserve">Foreign Government-Sponsored Talent Recruitment Program </w:t>
      </w:r>
      <w:r w:rsidRPr="00F1770F">
        <w:rPr>
          <w:rFonts w:cstheme="minorHAnsi"/>
          <w:szCs w:val="24"/>
        </w:rPr>
        <w:t>–</w:t>
      </w:r>
      <w:r w:rsidRPr="00F1770F">
        <w:rPr>
          <w:rFonts w:eastAsiaTheme="minorEastAsia" w:cstheme="minorHAnsi"/>
          <w:b/>
          <w:szCs w:val="24"/>
        </w:rPr>
        <w:t xml:space="preserve"> </w:t>
      </w:r>
      <w:r w:rsidRPr="00F1770F">
        <w:rPr>
          <w:rFonts w:eastAsiaTheme="minorEastAsia" w:cstheme="minorHAnsi"/>
          <w:bCs/>
          <w:szCs w:val="24"/>
        </w:rPr>
        <w:t>An effort</w:t>
      </w:r>
      <w:r w:rsidRPr="00F1770F">
        <w:rPr>
          <w:rFonts w:eastAsiaTheme="minorEastAsia" w:cstheme="minorHAnsi"/>
          <w:szCs w:val="24"/>
        </w:rPr>
        <w:t xml:space="preserve"> directly or indirectly organized, managed, or funded by a foreign government, or a foreign government instrumentality or entity, to recruit science and technology professionals or students (regardless of citizenship or national origin, or whether having a full-time or part-time position). Some foreign government-sponsored talent recruitment programs operate with the intent to import or otherwise acquire from abroad, sometimes through illicit means, proprietary technology or software, unpublished data and methods, and intellectual property to further the military modernization goals and/or economic goals of a foreign government. Many, but not all, programs aim to incentivize the targeted individual to relocate physically to the foreign state for the above purpose. Some programs allow for or encourage continued employment at U.S. research facilities or receipt of federal research funds while concurrently working at and/or receiving compensation from a foreign institution, and some direct participants not to disclose their participation to U.S. entities. Compensation could take many forms including cash, research funding, complimentary foreign travel, honorific titles, career advancement opportunities, promised future compensation, or other types of remuneration or consideration, including in-kind compensation.</w:t>
      </w:r>
    </w:p>
    <w:p w14:paraId="67AB3BF0" w14:textId="77777777" w:rsidR="00F1770F" w:rsidRPr="00F1770F" w:rsidRDefault="00F1770F" w:rsidP="00F1770F">
      <w:pPr>
        <w:widowControl w:val="0"/>
        <w:autoSpaceDE w:val="0"/>
        <w:autoSpaceDN w:val="0"/>
        <w:rPr>
          <w:rFonts w:cstheme="minorHAnsi"/>
          <w:b/>
          <w:bCs/>
          <w:szCs w:val="24"/>
        </w:rPr>
      </w:pPr>
    </w:p>
    <w:p w14:paraId="2221AE01" w14:textId="48A38009" w:rsidR="00F1770F" w:rsidRPr="00F1770F" w:rsidRDefault="00F1770F" w:rsidP="00F1770F">
      <w:pPr>
        <w:autoSpaceDE w:val="0"/>
        <w:autoSpaceDN w:val="0"/>
        <w:adjustRightInd w:val="0"/>
        <w:ind w:left="1440"/>
        <w:rPr>
          <w:rFonts w:cstheme="minorHAnsi"/>
          <w:szCs w:val="24"/>
        </w:rPr>
      </w:pPr>
      <w:r w:rsidRPr="00F1770F">
        <w:rPr>
          <w:rFonts w:cstheme="minorBidi"/>
          <w:b/>
          <w:bCs/>
        </w:rPr>
        <w:t>Senior/key personnel</w:t>
      </w:r>
      <w:r w:rsidRPr="00F1770F">
        <w:rPr>
          <w:rFonts w:cstheme="minorBidi"/>
        </w:rPr>
        <w:t xml:space="preserve"> – an individual who contributes </w:t>
      </w:r>
      <w:proofErr w:type="gramStart"/>
      <w:r w:rsidRPr="00F1770F">
        <w:rPr>
          <w:rFonts w:cstheme="minorBidi"/>
        </w:rPr>
        <w:t>in</w:t>
      </w:r>
      <w:proofErr w:type="gramEnd"/>
      <w:r w:rsidRPr="00F1770F">
        <w:rPr>
          <w:rFonts w:cstheme="minorBidi"/>
        </w:rPr>
        <w:t xml:space="preserve"> a substantive, meaningful way to the scientific development or execution of a research, development and demonstration (RD&amp;D) project proposed to be carried out with DOE award.</w:t>
      </w:r>
      <w:r w:rsidRPr="00F1770F">
        <w:rPr>
          <w:rFonts w:cstheme="minorBidi"/>
          <w:vertAlign w:val="superscript"/>
        </w:rPr>
        <w:footnoteReference w:id="85"/>
      </w:r>
      <w:r w:rsidRPr="6B59E98D">
        <w:rPr>
          <w:rFonts w:cstheme="minorBidi"/>
        </w:rPr>
        <w:t xml:space="preserve"> </w:t>
      </w:r>
    </w:p>
    <w:p w14:paraId="6584016A" w14:textId="77777777" w:rsidR="00F1770F" w:rsidRDefault="00F1770F" w:rsidP="00EF3121">
      <w:pPr>
        <w:autoSpaceDE w:val="0"/>
        <w:autoSpaceDN w:val="0"/>
        <w:adjustRightInd w:val="0"/>
        <w:ind w:left="1440"/>
        <w:rPr>
          <w:rFonts w:ascii="Calibri" w:eastAsiaTheme="minorHAnsi" w:hAnsi="Calibri" w:cstheme="minorBidi"/>
          <w:szCs w:val="22"/>
        </w:rPr>
      </w:pPr>
    </w:p>
    <w:p w14:paraId="01C0187B" w14:textId="0659628B" w:rsidR="00E64E3F" w:rsidRPr="00DB1DE6" w:rsidRDefault="00E64E3F" w:rsidP="00F836F4">
      <w:pPr>
        <w:pStyle w:val="FOAHeading3"/>
        <w:numPr>
          <w:ilvl w:val="0"/>
          <w:numId w:val="31"/>
        </w:numPr>
        <w:autoSpaceDE w:val="0"/>
        <w:autoSpaceDN w:val="0"/>
        <w:adjustRightInd w:val="0"/>
        <w:ind w:left="1440"/>
        <w:outlineLvl w:val="2"/>
        <w:rPr>
          <w:rFonts w:eastAsiaTheme="minorHAnsi" w:cstheme="minorBidi"/>
          <w:szCs w:val="22"/>
        </w:rPr>
      </w:pPr>
      <w:bookmarkStart w:id="239" w:name="_Toc109921705"/>
      <w:bookmarkStart w:id="240" w:name="_Hlk105169668"/>
      <w:r>
        <w:t>Locations of Work</w:t>
      </w:r>
      <w:bookmarkEnd w:id="239"/>
    </w:p>
    <w:p w14:paraId="19BA362B" w14:textId="7E7EB8ED" w:rsidR="00E64E3F" w:rsidRPr="00E64E3F" w:rsidRDefault="00E64E3F" w:rsidP="00DB1DE6">
      <w:pPr>
        <w:pStyle w:val="FOATemplateBody"/>
        <w:ind w:left="1440"/>
      </w:pPr>
      <w:r w:rsidRPr="00E64E3F">
        <w:t xml:space="preserve">The applicant must complete the supplied template by listing the </w:t>
      </w:r>
      <w:proofErr w:type="gramStart"/>
      <w:r w:rsidRPr="00E64E3F">
        <w:t>City</w:t>
      </w:r>
      <w:proofErr w:type="gramEnd"/>
      <w:r w:rsidRPr="00E64E3F">
        <w:t xml:space="preserve">, State, and zip code + 4 and State for each location where project work will be performed by the prime recipient or subrecipient(s). Save the completed template as a MS Excel file using the following convention for the title “Control </w:t>
      </w:r>
      <w:proofErr w:type="spellStart"/>
      <w:r w:rsidRPr="00E64E3F">
        <w:t>Number_LeadOrganization_LOW</w:t>
      </w:r>
      <w:proofErr w:type="spellEnd"/>
      <w:r w:rsidRPr="00E64E3F">
        <w:t>.”</w:t>
      </w:r>
    </w:p>
    <w:bookmarkEnd w:id="240"/>
    <w:p w14:paraId="38C27673" w14:textId="0E497B2C" w:rsidR="00E64E3F" w:rsidRPr="00E64E3F" w:rsidRDefault="00E64E3F" w:rsidP="00DB1DE6">
      <w:pPr>
        <w:pStyle w:val="FOATemplateBody"/>
      </w:pPr>
    </w:p>
    <w:p w14:paraId="4F4F6908" w14:textId="3E7CB658" w:rsidR="00E64E3F" w:rsidRPr="00DB1DE6" w:rsidRDefault="00E64E3F" w:rsidP="00F836F4">
      <w:pPr>
        <w:pStyle w:val="FOAHeading3"/>
        <w:numPr>
          <w:ilvl w:val="0"/>
          <w:numId w:val="31"/>
        </w:numPr>
        <w:autoSpaceDE w:val="0"/>
        <w:autoSpaceDN w:val="0"/>
        <w:adjustRightInd w:val="0"/>
        <w:ind w:left="1440"/>
        <w:outlineLvl w:val="2"/>
        <w:rPr>
          <w:rFonts w:eastAsiaTheme="minorHAnsi" w:cstheme="minorBidi"/>
          <w:szCs w:val="22"/>
        </w:rPr>
      </w:pPr>
      <w:bookmarkStart w:id="241" w:name="_Toc109921706"/>
      <w:r>
        <w:t>Environmental Questionnaire (EQ)</w:t>
      </w:r>
      <w:bookmarkEnd w:id="241"/>
    </w:p>
    <w:p w14:paraId="516C29AE" w14:textId="19B0A649" w:rsidR="00E64E3F" w:rsidRPr="00E64E3F" w:rsidRDefault="00E64E3F" w:rsidP="00DB1DE6">
      <w:pPr>
        <w:pStyle w:val="FOATemplateBody"/>
        <w:ind w:left="1440"/>
      </w:pPr>
      <w:r w:rsidRPr="00E64E3F">
        <w:t xml:space="preserve">You must complete the Environmental Questionnaire. This form is available on EERE Exchange at </w:t>
      </w:r>
      <w:hyperlink r:id="rId57" w:history="1">
        <w:r w:rsidR="00070D39" w:rsidRPr="007D4215">
          <w:rPr>
            <w:rStyle w:val="Hyperlink"/>
          </w:rPr>
          <w:t>https://eere</w:t>
        </w:r>
      </w:hyperlink>
      <w:r w:rsidRPr="00E64E3F">
        <w:t xml:space="preserve">-Exchange.energy.gov/. Save the Environmental Questionnaire in a single PDF file using the following convention for the title “Control </w:t>
      </w:r>
      <w:proofErr w:type="spellStart"/>
      <w:r w:rsidRPr="00E64E3F">
        <w:t>Number_LeadOrganization_EQ</w:t>
      </w:r>
      <w:proofErr w:type="spellEnd"/>
      <w:r w:rsidRPr="00E64E3F">
        <w:t>.”</w:t>
      </w:r>
    </w:p>
    <w:p w14:paraId="32D270AF" w14:textId="4E39AAC3" w:rsidR="00A866BE" w:rsidRDefault="00A866BE" w:rsidP="00EF3121">
      <w:pPr>
        <w:autoSpaceDE w:val="0"/>
        <w:autoSpaceDN w:val="0"/>
        <w:adjustRightInd w:val="0"/>
        <w:ind w:left="1440"/>
        <w:rPr>
          <w:rFonts w:ascii="Calibri" w:eastAsiaTheme="minorHAnsi" w:hAnsi="Calibri" w:cstheme="minorBidi"/>
          <w:szCs w:val="22"/>
        </w:rPr>
      </w:pPr>
    </w:p>
    <w:p w14:paraId="6BB782DC" w14:textId="77777777" w:rsidR="00E74F40" w:rsidRPr="00872882" w:rsidRDefault="004E672B" w:rsidP="0017595D">
      <w:pPr>
        <w:pStyle w:val="FOAHeading2"/>
      </w:pPr>
      <w:bookmarkStart w:id="242" w:name="_Toc517799199"/>
      <w:bookmarkStart w:id="243" w:name="_Toc519602365"/>
      <w:bookmarkStart w:id="244" w:name="_Toc519602531"/>
      <w:bookmarkStart w:id="245" w:name="_Toc520382640"/>
      <w:bookmarkStart w:id="246" w:name="_Toc520455638"/>
      <w:bookmarkStart w:id="247" w:name="_Toc520455808"/>
      <w:bookmarkStart w:id="248" w:name="_Toc517771560"/>
      <w:bookmarkStart w:id="249" w:name="_Toc517797777"/>
      <w:bookmarkStart w:id="250" w:name="_Toc517797857"/>
      <w:bookmarkStart w:id="251" w:name="_Toc517797935"/>
      <w:bookmarkStart w:id="252" w:name="_Toc517798050"/>
      <w:bookmarkStart w:id="253" w:name="_Toc517798275"/>
      <w:bookmarkStart w:id="254" w:name="_Toc517798356"/>
      <w:bookmarkStart w:id="255" w:name="_Toc517798916"/>
      <w:bookmarkStart w:id="256" w:name="_Toc517799201"/>
      <w:bookmarkStart w:id="257" w:name="_Toc519602172"/>
      <w:bookmarkStart w:id="258" w:name="_Toc519602244"/>
      <w:bookmarkStart w:id="259" w:name="_Toc519602367"/>
      <w:bookmarkStart w:id="260" w:name="_Toc519602533"/>
      <w:bookmarkStart w:id="261" w:name="_Toc520382642"/>
      <w:bookmarkStart w:id="262" w:name="_Toc520455640"/>
      <w:bookmarkStart w:id="263" w:name="_Toc520455810"/>
      <w:bookmarkStart w:id="264" w:name="_Toc517798917"/>
      <w:bookmarkStart w:id="265" w:name="_Toc519602245"/>
      <w:bookmarkStart w:id="266" w:name="_Toc519602368"/>
      <w:bookmarkStart w:id="267" w:name="_Toc109921707"/>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AF2304">
        <w:t>Content and Form of Replies to Reviewer Comments</w:t>
      </w:r>
      <w:bookmarkEnd w:id="264"/>
      <w:bookmarkEnd w:id="265"/>
      <w:bookmarkEnd w:id="266"/>
      <w:bookmarkEnd w:id="267"/>
    </w:p>
    <w:p w14:paraId="05CB6964" w14:textId="77777777" w:rsidR="0052400A" w:rsidRDefault="0052400A" w:rsidP="0052400A">
      <w:pPr>
        <w:ind w:left="1440"/>
      </w:pPr>
      <w:bookmarkStart w:id="268" w:name="_Hlk106125736"/>
      <w:r>
        <w:t xml:space="preserve">EERE </w:t>
      </w:r>
      <w:r w:rsidRPr="008858B4">
        <w:t xml:space="preserve">will provide applicants with reviewer comments following </w:t>
      </w:r>
      <w:r>
        <w:t xml:space="preserve">the </w:t>
      </w:r>
      <w:r w:rsidRPr="008858B4">
        <w:t xml:space="preserve">evaluation of all eligible Full Applications. Applicants have a brief opportunity to prepare a short Reply to Reviewer Comments </w:t>
      </w:r>
      <w:r>
        <w:t xml:space="preserve">(Reply). The Reply must not exceed three (3) pages. </w:t>
      </w:r>
      <w:r w:rsidRPr="008858B4">
        <w:t>If a Reply is more than three</w:t>
      </w:r>
      <w:r>
        <w:t xml:space="preserve"> (3)</w:t>
      </w:r>
      <w:r w:rsidRPr="008858B4">
        <w:t xml:space="preserve"> pages in length, EERE will review only the first three (3) pages and disregard any additional pages</w:t>
      </w:r>
      <w:r>
        <w:t>. Applicants may use the Reply to</w:t>
      </w:r>
      <w:r w:rsidRPr="008858B4">
        <w:t xml:space="preserve"> respond to </w:t>
      </w:r>
      <w:r>
        <w:t xml:space="preserve">one or more </w:t>
      </w:r>
      <w:r w:rsidRPr="008858B4">
        <w:t xml:space="preserve">comments or </w:t>
      </w:r>
      <w:r>
        <w:t xml:space="preserve">to </w:t>
      </w:r>
      <w:r w:rsidRPr="008858B4">
        <w:t>supplemen</w:t>
      </w:r>
      <w:r>
        <w:t>t</w:t>
      </w:r>
      <w:r w:rsidRPr="008858B4">
        <w:t xml:space="preserve"> their Full Application.</w:t>
      </w:r>
      <w:r>
        <w:t xml:space="preserve"> The Reply may include text, graphs, charts, or data.  </w:t>
      </w:r>
    </w:p>
    <w:p w14:paraId="6796C55E" w14:textId="77777777" w:rsidR="0052400A" w:rsidRDefault="0052400A" w:rsidP="0052400A"/>
    <w:p w14:paraId="1E1E8F27" w14:textId="77777777" w:rsidR="0052400A" w:rsidRPr="008858B4" w:rsidRDefault="0052400A" w:rsidP="0052400A">
      <w:pPr>
        <w:ind w:left="1440"/>
      </w:pPr>
      <w:r w:rsidRPr="00DE6DA5">
        <w:t xml:space="preserve">EERE will post the </w:t>
      </w:r>
      <w:r>
        <w:t>r</w:t>
      </w:r>
      <w:r w:rsidRPr="00DE6DA5">
        <w:t xml:space="preserve">eviewer </w:t>
      </w:r>
      <w:r>
        <w:t>c</w:t>
      </w:r>
      <w:r w:rsidRPr="00DE6DA5">
        <w:t xml:space="preserve">omments in </w:t>
      </w:r>
      <w:r>
        <w:t>EERE Exchange</w:t>
      </w:r>
      <w:r w:rsidRPr="00DE6DA5">
        <w:t>.</w:t>
      </w:r>
      <w:r w:rsidRPr="008858B4">
        <w:t xml:space="preserve"> The expected submission deadline is on the cover page of the FOA; however, it is the applicant’s responsibility to monitor </w:t>
      </w:r>
      <w:r>
        <w:t>EERE Exchange</w:t>
      </w:r>
      <w:r w:rsidRPr="008858B4">
        <w:t xml:space="preserve"> </w:t>
      </w:r>
      <w:proofErr w:type="gramStart"/>
      <w:r w:rsidRPr="008858B4">
        <w:t>in the event that</w:t>
      </w:r>
      <w:proofErr w:type="gramEnd"/>
      <w:r w:rsidRPr="008858B4">
        <w:t xml:space="preserve"> the expected date changes.</w:t>
      </w:r>
      <w:r>
        <w:t xml:space="preserve"> </w:t>
      </w:r>
      <w:r w:rsidRPr="008858B4">
        <w:t xml:space="preserve">The deadline will not be extended for applicants who are unable to timely submit their </w:t>
      </w:r>
      <w:r>
        <w:t>R</w:t>
      </w:r>
      <w:r w:rsidRPr="008858B4">
        <w:t xml:space="preserve">eply due to failure to check </w:t>
      </w:r>
      <w:r>
        <w:t xml:space="preserve">EERE Exchange </w:t>
      </w:r>
      <w:r w:rsidRPr="008858B4">
        <w:t>or relying on the expected date alone.</w:t>
      </w:r>
      <w:r>
        <w:t xml:space="preserve"> </w:t>
      </w:r>
      <w:r w:rsidRPr="008858B4">
        <w:t xml:space="preserve">Applicants should anticipate having approximately three (3) business days to submit </w:t>
      </w:r>
      <w:r>
        <w:t xml:space="preserve">a </w:t>
      </w:r>
      <w:r w:rsidRPr="008858B4">
        <w:t>Repl</w:t>
      </w:r>
      <w:r>
        <w:t>y</w:t>
      </w:r>
      <w:r w:rsidRPr="008858B4">
        <w:t>.</w:t>
      </w:r>
    </w:p>
    <w:p w14:paraId="15668324" w14:textId="77777777" w:rsidR="0052400A" w:rsidRPr="008858B4" w:rsidRDefault="0052400A" w:rsidP="0052400A">
      <w:pPr>
        <w:ind w:left="1440" w:hanging="360"/>
      </w:pPr>
    </w:p>
    <w:p w14:paraId="18C1C9DB" w14:textId="77777777" w:rsidR="0052400A" w:rsidRPr="008858B4" w:rsidRDefault="0052400A" w:rsidP="0052400A">
      <w:pPr>
        <w:ind w:left="1440"/>
      </w:pPr>
      <w:r w:rsidRPr="008858B4">
        <w:t xml:space="preserve">EERE will not review or consider ineligible Replies to Reviewer Comments (see </w:t>
      </w:r>
      <w:r w:rsidRPr="00563B4B">
        <w:t>Section III</w:t>
      </w:r>
      <w:r w:rsidRPr="008858B4">
        <w:t xml:space="preserve"> of the FOA). </w:t>
      </w:r>
      <w:r>
        <w:t>A</w:t>
      </w:r>
      <w:r w:rsidRPr="00DE6DA5">
        <w:t>pplicants are not required to submit a Reply to Reviewer Comments.</w:t>
      </w:r>
      <w:r>
        <w:t xml:space="preserve"> </w:t>
      </w:r>
      <w:r w:rsidRPr="008858B4">
        <w:t>EERE will review and consider each eligible Full Application, even if no Reply is submitted or if the Reply is found to be ineligible.</w:t>
      </w:r>
    </w:p>
    <w:bookmarkEnd w:id="268"/>
    <w:p w14:paraId="3E23092F" w14:textId="125A250A" w:rsidR="00481D71" w:rsidRPr="008858B4" w:rsidRDefault="00481D71" w:rsidP="00F26A57">
      <w:pPr>
        <w:ind w:left="1440"/>
      </w:pPr>
    </w:p>
    <w:p w14:paraId="0CFB368A" w14:textId="5E2B87CB" w:rsidR="006A24B8" w:rsidRPr="00872882" w:rsidRDefault="004E672B" w:rsidP="0017595D">
      <w:pPr>
        <w:pStyle w:val="FOAHeading2"/>
      </w:pPr>
      <w:bookmarkStart w:id="269" w:name="_Toc517798918"/>
      <w:bookmarkStart w:id="270" w:name="_Toc519602246"/>
      <w:bookmarkStart w:id="271" w:name="_Toc519602369"/>
      <w:bookmarkStart w:id="272" w:name="_Toc109921708"/>
      <w:r w:rsidRPr="00221643">
        <w:t>Post</w:t>
      </w:r>
      <w:r w:rsidR="000D17C5">
        <w:t xml:space="preserve"> Selection</w:t>
      </w:r>
      <w:r w:rsidRPr="00221643">
        <w:t xml:space="preserve"> Information Requests</w:t>
      </w:r>
      <w:bookmarkEnd w:id="269"/>
      <w:bookmarkEnd w:id="270"/>
      <w:bookmarkEnd w:id="271"/>
      <w:bookmarkEnd w:id="272"/>
      <w:r w:rsidR="00974BC5" w:rsidRPr="00A53BBC">
        <w:t xml:space="preserve"> </w:t>
      </w:r>
    </w:p>
    <w:p w14:paraId="1C67FF17" w14:textId="6BB87BED" w:rsidR="006A24B8" w:rsidRDefault="004E672B" w:rsidP="00E42B15">
      <w:pPr>
        <w:ind w:left="1440"/>
      </w:pPr>
      <w:r w:rsidRPr="008858B4">
        <w:t xml:space="preserve">If selected for award, EERE reserves the right to request additional or clarifying information </w:t>
      </w:r>
      <w:r w:rsidR="000D17C5">
        <w:t>regarding the following (non-exhaustive list)</w:t>
      </w:r>
      <w:r w:rsidRPr="008858B4">
        <w:t>:</w:t>
      </w:r>
    </w:p>
    <w:p w14:paraId="1F772823" w14:textId="36C8EA5F" w:rsidR="006907A3" w:rsidRDefault="006907A3" w:rsidP="00B10270">
      <w:pPr>
        <w:ind w:left="1296"/>
      </w:pPr>
    </w:p>
    <w:p w14:paraId="128DF005" w14:textId="5F8DA46C" w:rsidR="002E4FB8" w:rsidRPr="00291F55" w:rsidRDefault="00226338" w:rsidP="000408E6">
      <w:pPr>
        <w:pStyle w:val="ListParagraph"/>
        <w:numPr>
          <w:ilvl w:val="0"/>
          <w:numId w:val="85"/>
        </w:numPr>
        <w:ind w:left="2160"/>
      </w:pPr>
      <w:r>
        <w:rPr>
          <w:rFonts w:ascii="Calibri" w:hAnsi="Calibri"/>
        </w:rPr>
        <w:t>P</w:t>
      </w:r>
      <w:r w:rsidR="002E4FB8" w:rsidRPr="00FA3F9D">
        <w:rPr>
          <w:rFonts w:ascii="Calibri" w:hAnsi="Calibri"/>
        </w:rPr>
        <w:t>ersonnel proposed to work on the project</w:t>
      </w:r>
      <w:r w:rsidR="00F81AD6">
        <w:rPr>
          <w:rFonts w:ascii="Calibri" w:hAnsi="Calibri"/>
        </w:rPr>
        <w:t xml:space="preserve"> </w:t>
      </w:r>
      <w:r w:rsidR="002E4FB8" w:rsidRPr="00FA3F9D">
        <w:rPr>
          <w:rFonts w:ascii="Calibri" w:hAnsi="Calibri"/>
        </w:rPr>
        <w:t>and collaborating organizations</w:t>
      </w:r>
      <w:r w:rsidR="00B84A25">
        <w:rPr>
          <w:rFonts w:ascii="Calibri" w:hAnsi="Calibri"/>
        </w:rPr>
        <w:t xml:space="preserve"> (See</w:t>
      </w:r>
      <w:r w:rsidR="002E4FB8" w:rsidRPr="00FA3F9D">
        <w:rPr>
          <w:rFonts w:ascii="Calibri" w:hAnsi="Calibri"/>
        </w:rPr>
        <w:t xml:space="preserve"> Section </w:t>
      </w:r>
      <w:proofErr w:type="spellStart"/>
      <w:r w:rsidR="002E4FB8" w:rsidRPr="00FA3F9D">
        <w:rPr>
          <w:rFonts w:ascii="Calibri" w:hAnsi="Calibri"/>
        </w:rPr>
        <w:t>VI</w:t>
      </w:r>
      <w:r w:rsidR="001C683F" w:rsidRPr="00FA3F9D">
        <w:rPr>
          <w:rFonts w:ascii="Calibri" w:hAnsi="Calibri"/>
        </w:rPr>
        <w:t>.</w:t>
      </w:r>
      <w:proofErr w:type="gramStart"/>
      <w:r w:rsidR="001C683F" w:rsidRPr="00FA3F9D">
        <w:rPr>
          <w:rFonts w:ascii="Calibri" w:hAnsi="Calibri"/>
        </w:rPr>
        <w:t>B.xviii</w:t>
      </w:r>
      <w:proofErr w:type="spellEnd"/>
      <w:r w:rsidR="001C683F" w:rsidRPr="00FA3F9D">
        <w:rPr>
          <w:rFonts w:ascii="Calibri" w:hAnsi="Calibri"/>
        </w:rPr>
        <w:t>.</w:t>
      </w:r>
      <w:proofErr w:type="gramEnd"/>
      <w:r w:rsidR="00FA3F9D" w:rsidRPr="00FA3F9D">
        <w:t xml:space="preserve"> </w:t>
      </w:r>
      <w:r w:rsidR="00FA3F9D">
        <w:t>Participants and Collaborating Organizations</w:t>
      </w:r>
      <w:proofErr w:type="gramStart"/>
      <w:r w:rsidR="00B84A25">
        <w:t>)</w:t>
      </w:r>
      <w:r w:rsidR="001C683F" w:rsidRPr="00FA3F9D">
        <w:rPr>
          <w:rFonts w:ascii="Calibri" w:hAnsi="Calibri"/>
        </w:rPr>
        <w:t>;</w:t>
      </w:r>
      <w:proofErr w:type="gramEnd"/>
    </w:p>
    <w:p w14:paraId="70346080" w14:textId="50844CAF" w:rsidR="008A73A5" w:rsidRDefault="00377614" w:rsidP="000408E6">
      <w:pPr>
        <w:pStyle w:val="ListParagraph"/>
        <w:numPr>
          <w:ilvl w:val="0"/>
          <w:numId w:val="85"/>
        </w:numPr>
        <w:ind w:left="2160"/>
      </w:pPr>
      <w:r w:rsidRPr="00881C20">
        <w:rPr>
          <w:rFonts w:ascii="Calibri" w:hAnsi="Calibri"/>
        </w:rPr>
        <w:t>Current and Pending Support</w:t>
      </w:r>
      <w:r w:rsidR="00A5508D" w:rsidRPr="00291F55">
        <w:rPr>
          <w:rFonts w:ascii="Calibri" w:hAnsi="Calibri"/>
        </w:rPr>
        <w:t xml:space="preserve"> </w:t>
      </w:r>
      <w:r w:rsidR="00B84A25">
        <w:t xml:space="preserve">(See </w:t>
      </w:r>
      <w:r w:rsidR="00E40E48">
        <w:t>Section</w:t>
      </w:r>
      <w:r w:rsidR="00C531A6">
        <w:t xml:space="preserve">s </w:t>
      </w:r>
      <w:proofErr w:type="spellStart"/>
      <w:r w:rsidR="00C531A6">
        <w:t>IV.E.xvii</w:t>
      </w:r>
      <w:proofErr w:type="spellEnd"/>
      <w:r w:rsidR="00C531A6">
        <w:t xml:space="preserve"> and</w:t>
      </w:r>
      <w:r w:rsidR="00E40E48">
        <w:t xml:space="preserve"> </w:t>
      </w:r>
      <w:proofErr w:type="spellStart"/>
      <w:r w:rsidR="00E40E48">
        <w:t>VI.B.xix</w:t>
      </w:r>
      <w:proofErr w:type="spellEnd"/>
      <w:r w:rsidR="00E40E48">
        <w:t>. Current and Pending Support</w:t>
      </w:r>
      <w:proofErr w:type="gramStart"/>
      <w:r w:rsidR="00B84A25">
        <w:t>)</w:t>
      </w:r>
      <w:r w:rsidR="00E40E48">
        <w:t>;</w:t>
      </w:r>
      <w:proofErr w:type="gramEnd"/>
      <w:r w:rsidR="00E40E48" w:rsidRPr="00E40E48">
        <w:t xml:space="preserve"> </w:t>
      </w:r>
    </w:p>
    <w:p w14:paraId="115A2604" w14:textId="65B85EEB" w:rsidR="00807196" w:rsidRDefault="00807196" w:rsidP="000408E6">
      <w:pPr>
        <w:numPr>
          <w:ilvl w:val="0"/>
          <w:numId w:val="85"/>
        </w:numPr>
        <w:ind w:left="2160"/>
        <w:contextualSpacing/>
      </w:pPr>
      <w:r>
        <w:t xml:space="preserve">A Data Management Plan (if applicable) </w:t>
      </w:r>
      <w:r w:rsidR="000C7370">
        <w:t>describing</w:t>
      </w:r>
      <w:r w:rsidR="000C7370" w:rsidRPr="00AD4033">
        <w:t xml:space="preserve"> how all research data displayed in publications resulting from the proposed work </w:t>
      </w:r>
      <w:r w:rsidR="000C7370">
        <w:t xml:space="preserve">will be </w:t>
      </w:r>
      <w:r w:rsidR="000C7370" w:rsidRPr="00AD4033">
        <w:t>digitally accessible at the time of publications</w:t>
      </w:r>
      <w:r w:rsidR="000C7370">
        <w:t xml:space="preserve">, </w:t>
      </w:r>
      <w:r>
        <w:t xml:space="preserve">in accordance with Section </w:t>
      </w:r>
      <w:proofErr w:type="spellStart"/>
      <w:r>
        <w:t>VI.</w:t>
      </w:r>
      <w:proofErr w:type="gramStart"/>
      <w:r>
        <w:t>B.</w:t>
      </w:r>
      <w:r w:rsidR="008A73A5">
        <w:t>xxi</w:t>
      </w:r>
      <w:r w:rsidR="00FF749E">
        <w:t>i</w:t>
      </w:r>
      <w:proofErr w:type="spellEnd"/>
      <w:proofErr w:type="gramEnd"/>
      <w:r w:rsidR="008A73A5">
        <w:t>.</w:t>
      </w:r>
      <w:r w:rsidR="000C7370">
        <w:t>;</w:t>
      </w:r>
    </w:p>
    <w:p w14:paraId="04D119D6" w14:textId="77777777" w:rsidR="00E750B0" w:rsidRPr="008858B4" w:rsidRDefault="00E750B0" w:rsidP="000408E6">
      <w:pPr>
        <w:numPr>
          <w:ilvl w:val="0"/>
          <w:numId w:val="85"/>
        </w:numPr>
        <w:ind w:left="2160"/>
        <w:contextualSpacing/>
      </w:pPr>
      <w:r w:rsidRPr="008858B4">
        <w:t xml:space="preserve">Indirect cost </w:t>
      </w:r>
      <w:proofErr w:type="gramStart"/>
      <w:r w:rsidRPr="008858B4">
        <w:t>information</w:t>
      </w:r>
      <w:r>
        <w:t>;</w:t>
      </w:r>
      <w:proofErr w:type="gramEnd"/>
    </w:p>
    <w:p w14:paraId="64D8DA4A" w14:textId="77777777" w:rsidR="00E750B0" w:rsidRPr="008858B4" w:rsidRDefault="00E750B0" w:rsidP="000408E6">
      <w:pPr>
        <w:numPr>
          <w:ilvl w:val="0"/>
          <w:numId w:val="85"/>
        </w:numPr>
        <w:ind w:left="2160"/>
        <w:contextualSpacing/>
      </w:pPr>
      <w:r w:rsidRPr="008858B4">
        <w:t xml:space="preserve">Other budget </w:t>
      </w:r>
      <w:proofErr w:type="gramStart"/>
      <w:r w:rsidRPr="008858B4">
        <w:t>information</w:t>
      </w:r>
      <w:r>
        <w:t>;</w:t>
      </w:r>
      <w:proofErr w:type="gramEnd"/>
    </w:p>
    <w:p w14:paraId="6E3B47E2" w14:textId="77777777" w:rsidR="00E750B0" w:rsidRPr="008858B4" w:rsidRDefault="00E750B0" w:rsidP="000408E6">
      <w:pPr>
        <w:numPr>
          <w:ilvl w:val="0"/>
          <w:numId w:val="85"/>
        </w:numPr>
        <w:ind w:left="2160"/>
        <w:contextualSpacing/>
      </w:pPr>
      <w:r w:rsidRPr="008858B4">
        <w:t xml:space="preserve">Commitment Letters from Third Parties Contributing to Cost Share, if </w:t>
      </w:r>
      <w:proofErr w:type="gramStart"/>
      <w:r w:rsidRPr="008858B4">
        <w:t>applicable</w:t>
      </w:r>
      <w:r>
        <w:t>;</w:t>
      </w:r>
      <w:proofErr w:type="gramEnd"/>
    </w:p>
    <w:p w14:paraId="7341A4BB" w14:textId="77777777" w:rsidR="00E750B0" w:rsidRPr="008858B4" w:rsidRDefault="00E750B0" w:rsidP="000408E6">
      <w:pPr>
        <w:numPr>
          <w:ilvl w:val="0"/>
          <w:numId w:val="85"/>
        </w:numPr>
        <w:ind w:left="2160"/>
        <w:contextualSpacing/>
      </w:pPr>
      <w:r w:rsidRPr="008858B4">
        <w:t>Name and phone number of the Designated Responsible Employee for complying with national policies prohibiting discrimination (See 10 CFR 1040.5</w:t>
      </w:r>
      <w:proofErr w:type="gramStart"/>
      <w:r w:rsidRPr="008858B4">
        <w:t>)</w:t>
      </w:r>
      <w:r>
        <w:t>;</w:t>
      </w:r>
      <w:proofErr w:type="gramEnd"/>
    </w:p>
    <w:p w14:paraId="38598F0C" w14:textId="393D83F4" w:rsidR="00E750B0" w:rsidRDefault="00E750B0" w:rsidP="000408E6">
      <w:pPr>
        <w:numPr>
          <w:ilvl w:val="0"/>
          <w:numId w:val="85"/>
        </w:numPr>
        <w:ind w:left="2160"/>
        <w:contextualSpacing/>
      </w:pPr>
      <w:r w:rsidRPr="008858B4">
        <w:t xml:space="preserve">Representation of Limited Rights Data and Restricted Software, if </w:t>
      </w:r>
      <w:proofErr w:type="gramStart"/>
      <w:r w:rsidRPr="008858B4">
        <w:t>applicable</w:t>
      </w:r>
      <w:r>
        <w:t>;</w:t>
      </w:r>
      <w:proofErr w:type="gramEnd"/>
    </w:p>
    <w:p w14:paraId="5234D33A" w14:textId="14ABBAE0" w:rsidR="0099326A" w:rsidRDefault="0099326A" w:rsidP="000408E6">
      <w:pPr>
        <w:numPr>
          <w:ilvl w:val="0"/>
          <w:numId w:val="85"/>
        </w:numPr>
        <w:ind w:left="2160"/>
        <w:contextualSpacing/>
      </w:pPr>
      <w:r>
        <w:t xml:space="preserve">Information related to Davis-Bacon Act </w:t>
      </w:r>
      <w:proofErr w:type="gramStart"/>
      <w:r>
        <w:t>Requirements;</w:t>
      </w:r>
      <w:proofErr w:type="gramEnd"/>
    </w:p>
    <w:p w14:paraId="1B2CE551" w14:textId="2028D455" w:rsidR="00447B2B" w:rsidRPr="00447B2B" w:rsidRDefault="00447B2B" w:rsidP="000408E6">
      <w:pPr>
        <w:pStyle w:val="ListParagraph"/>
        <w:numPr>
          <w:ilvl w:val="0"/>
          <w:numId w:val="85"/>
        </w:numPr>
        <w:ind w:left="2160"/>
      </w:pPr>
      <w:r w:rsidRPr="00447B2B">
        <w:t xml:space="preserve">Information related to Community Benefits Agreements, Good Neighbor Agreements, or other agreements applicants may have made with the relevant community </w:t>
      </w:r>
    </w:p>
    <w:p w14:paraId="5ED1959A" w14:textId="07FBF69E" w:rsidR="00E750B0" w:rsidRDefault="00E750B0" w:rsidP="000408E6">
      <w:pPr>
        <w:numPr>
          <w:ilvl w:val="0"/>
          <w:numId w:val="85"/>
        </w:numPr>
        <w:ind w:left="2160"/>
        <w:contextualSpacing/>
      </w:pPr>
      <w:r w:rsidRPr="008858B4">
        <w:t>Environmental Questionnaire</w:t>
      </w:r>
      <w:r w:rsidR="0099326A">
        <w:t>; and</w:t>
      </w:r>
    </w:p>
    <w:p w14:paraId="00A8D0FF" w14:textId="7E3310F3" w:rsidR="0099326A" w:rsidRPr="008858B4" w:rsidRDefault="0099326A" w:rsidP="000408E6">
      <w:pPr>
        <w:numPr>
          <w:ilvl w:val="0"/>
          <w:numId w:val="85"/>
        </w:numPr>
        <w:ind w:left="2160"/>
        <w:contextualSpacing/>
      </w:pPr>
      <w:r>
        <w:t>Participants and Collaborating Organizations.</w:t>
      </w:r>
    </w:p>
    <w:p w14:paraId="2559A22B" w14:textId="77777777" w:rsidR="00E750B0" w:rsidRPr="008858B4" w:rsidRDefault="00E750B0" w:rsidP="00E750B0">
      <w:pPr>
        <w:contextualSpacing/>
        <w:rPr>
          <w:color w:val="0000FF"/>
        </w:rPr>
      </w:pPr>
    </w:p>
    <w:p w14:paraId="17E93EAC" w14:textId="0F3D236E" w:rsidR="006A24B8" w:rsidRPr="00872882" w:rsidRDefault="000C16CD" w:rsidP="0017595D">
      <w:pPr>
        <w:pStyle w:val="FOAHeading2"/>
      </w:pPr>
      <w:bookmarkStart w:id="273" w:name="_Toc517798919"/>
      <w:bookmarkStart w:id="274" w:name="_Toc519602247"/>
      <w:bookmarkStart w:id="275" w:name="_Toc519602370"/>
      <w:bookmarkStart w:id="276" w:name="_Toc109921709"/>
      <w:bookmarkStart w:id="277" w:name="_Hlk85627042"/>
      <w:r w:rsidRPr="00F6522E">
        <w:t>Unique Entity Identifier (UEI)</w:t>
      </w:r>
      <w:r w:rsidR="004E672B" w:rsidRPr="00221643">
        <w:t xml:space="preserve"> and System for Award Management</w:t>
      </w:r>
      <w:bookmarkEnd w:id="273"/>
      <w:bookmarkEnd w:id="274"/>
      <w:bookmarkEnd w:id="275"/>
      <w:r w:rsidR="004E672B" w:rsidRPr="00221643">
        <w:t xml:space="preserve"> </w:t>
      </w:r>
      <w:r w:rsidR="009F1B00">
        <w:t>(SAM)</w:t>
      </w:r>
      <w:bookmarkEnd w:id="276"/>
    </w:p>
    <w:p w14:paraId="6A161BAE" w14:textId="11A0A3E3" w:rsidR="006A24B8" w:rsidRPr="00AF2304" w:rsidRDefault="004E672B" w:rsidP="00E42B15">
      <w:pPr>
        <w:pStyle w:val="FOATemplateBody"/>
        <w:ind w:left="1440"/>
        <w:rPr>
          <w:rFonts w:asciiTheme="minorHAnsi" w:hAnsiTheme="minorHAnsi"/>
        </w:rPr>
      </w:pPr>
      <w:r w:rsidRPr="00AF2304">
        <w:rPr>
          <w:rFonts w:asciiTheme="minorHAnsi" w:hAnsiTheme="minorHAnsi"/>
        </w:rPr>
        <w:t xml:space="preserve">Each applicant (unless the applicant is an individual or </w:t>
      </w:r>
      <w:r w:rsidR="00710ED6">
        <w:rPr>
          <w:rFonts w:asciiTheme="minorHAnsi" w:hAnsiTheme="minorHAnsi"/>
        </w:rPr>
        <w:t>f</w:t>
      </w:r>
      <w:r w:rsidR="00710ED6" w:rsidRPr="00AF2304">
        <w:rPr>
          <w:rFonts w:asciiTheme="minorHAnsi" w:hAnsiTheme="minorHAnsi"/>
        </w:rPr>
        <w:t xml:space="preserve">ederal </w:t>
      </w:r>
      <w:r w:rsidRPr="00AF2304">
        <w:rPr>
          <w:rFonts w:asciiTheme="minorHAnsi" w:hAnsiTheme="minorHAnsi"/>
        </w:rPr>
        <w:t xml:space="preserve">awarding agency that is excepted from those requirements under 2 CFR 25.110(b) or (c), or has an exception approved by the </w:t>
      </w:r>
      <w:r w:rsidR="00710ED6">
        <w:rPr>
          <w:rFonts w:asciiTheme="minorHAnsi" w:hAnsiTheme="minorHAnsi"/>
        </w:rPr>
        <w:t>f</w:t>
      </w:r>
      <w:r w:rsidR="00710ED6" w:rsidRPr="00AF2304">
        <w:rPr>
          <w:rFonts w:asciiTheme="minorHAnsi" w:hAnsiTheme="minorHAnsi"/>
        </w:rPr>
        <w:t xml:space="preserve">ederal </w:t>
      </w:r>
      <w:r w:rsidRPr="00AF2304">
        <w:rPr>
          <w:rFonts w:asciiTheme="minorHAnsi" w:hAnsiTheme="minorHAnsi"/>
        </w:rPr>
        <w:t>awarding agency under 2 CF</w:t>
      </w:r>
      <w:r w:rsidR="003242B1" w:rsidRPr="00AF2304">
        <w:rPr>
          <w:rFonts w:asciiTheme="minorHAnsi" w:hAnsiTheme="minorHAnsi"/>
        </w:rPr>
        <w:t>R 25.110(d)) is required to: (1</w:t>
      </w:r>
      <w:r w:rsidRPr="00AF2304">
        <w:rPr>
          <w:rFonts w:asciiTheme="minorHAnsi" w:hAnsiTheme="minorHAnsi"/>
        </w:rPr>
        <w:t xml:space="preserve">) Be registered in the SAM at </w:t>
      </w:r>
      <w:hyperlink r:id="rId58" w:history="1">
        <w:r w:rsidRPr="00AF2304">
          <w:rPr>
            <w:rStyle w:val="Hyperlink"/>
            <w:rFonts w:asciiTheme="minorHAnsi" w:hAnsiTheme="minorHAnsi"/>
          </w:rPr>
          <w:t>https://www.sam.gov</w:t>
        </w:r>
      </w:hyperlink>
      <w:r w:rsidRPr="00AF2304">
        <w:rPr>
          <w:rFonts w:asciiTheme="minorHAnsi" w:hAnsiTheme="minorHAnsi"/>
        </w:rPr>
        <w:t xml:space="preserve"> before submitting its application;</w:t>
      </w:r>
      <w:r w:rsidR="003242B1" w:rsidRPr="00AF2304">
        <w:rPr>
          <w:rFonts w:asciiTheme="minorHAnsi" w:hAnsiTheme="minorHAnsi"/>
        </w:rPr>
        <w:t xml:space="preserve"> (2</w:t>
      </w:r>
      <w:r w:rsidRPr="00AF2304">
        <w:rPr>
          <w:rFonts w:asciiTheme="minorHAnsi" w:hAnsiTheme="minorHAnsi"/>
        </w:rPr>
        <w:t xml:space="preserve">) </w:t>
      </w:r>
      <w:r w:rsidR="00415EF2">
        <w:rPr>
          <w:rFonts w:asciiTheme="minorHAnsi" w:hAnsiTheme="minorHAnsi"/>
        </w:rPr>
        <w:t>include the</w:t>
      </w:r>
      <w:r w:rsidR="000C16CD">
        <w:rPr>
          <w:rFonts w:asciiTheme="minorHAnsi" w:hAnsiTheme="minorHAnsi"/>
        </w:rPr>
        <w:t xml:space="preserve"> UEI </w:t>
      </w:r>
      <w:r w:rsidR="003242B1" w:rsidRPr="00AF2304">
        <w:rPr>
          <w:rFonts w:asciiTheme="minorHAnsi" w:hAnsiTheme="minorHAnsi"/>
        </w:rPr>
        <w:t>in its application; and (3</w:t>
      </w:r>
      <w:r w:rsidRPr="00AF2304">
        <w:rPr>
          <w:rFonts w:asciiTheme="minorHAnsi" w:hAnsiTheme="minorHAnsi"/>
        </w:rPr>
        <w:t xml:space="preserve">) continue to maintain an active SAM registration with current information at all times during which it has an active </w:t>
      </w:r>
      <w:r w:rsidR="00710ED6">
        <w:rPr>
          <w:rFonts w:asciiTheme="minorHAnsi" w:hAnsiTheme="minorHAnsi"/>
        </w:rPr>
        <w:t>f</w:t>
      </w:r>
      <w:r w:rsidR="00710ED6" w:rsidRPr="00AF2304">
        <w:rPr>
          <w:rFonts w:asciiTheme="minorHAnsi" w:hAnsiTheme="minorHAnsi"/>
        </w:rPr>
        <w:t xml:space="preserve">ederal </w:t>
      </w:r>
      <w:r w:rsidRPr="00AF2304">
        <w:rPr>
          <w:rFonts w:asciiTheme="minorHAnsi" w:hAnsiTheme="minorHAnsi"/>
        </w:rPr>
        <w:t xml:space="preserve">award or an application or plan under consideration by a </w:t>
      </w:r>
      <w:r w:rsidR="00710ED6">
        <w:rPr>
          <w:rFonts w:asciiTheme="minorHAnsi" w:hAnsiTheme="minorHAnsi"/>
        </w:rPr>
        <w:t>f</w:t>
      </w:r>
      <w:r w:rsidR="00710ED6" w:rsidRPr="00AF2304">
        <w:rPr>
          <w:rFonts w:asciiTheme="minorHAnsi" w:hAnsiTheme="minorHAnsi"/>
        </w:rPr>
        <w:t xml:space="preserve">ederal </w:t>
      </w:r>
      <w:r w:rsidRPr="00AF2304">
        <w:rPr>
          <w:rFonts w:asciiTheme="minorHAnsi" w:hAnsiTheme="minorHAnsi"/>
        </w:rPr>
        <w:t xml:space="preserve">awarding agency. </w:t>
      </w:r>
      <w:r w:rsidRPr="00D236F1">
        <w:rPr>
          <w:rFonts w:asciiTheme="minorHAnsi" w:hAnsiTheme="minorHAnsi"/>
        </w:rPr>
        <w:t xml:space="preserve">DOE </w:t>
      </w:r>
      <w:r w:rsidRPr="00AF2304">
        <w:rPr>
          <w:rFonts w:asciiTheme="minorHAnsi" w:hAnsiTheme="minorHAnsi"/>
        </w:rPr>
        <w:t xml:space="preserve">may not make a </w:t>
      </w:r>
      <w:r w:rsidR="00710ED6">
        <w:rPr>
          <w:rFonts w:asciiTheme="minorHAnsi" w:hAnsiTheme="minorHAnsi"/>
        </w:rPr>
        <w:t>f</w:t>
      </w:r>
      <w:r w:rsidR="00710ED6" w:rsidRPr="00AF2304">
        <w:rPr>
          <w:rFonts w:asciiTheme="minorHAnsi" w:hAnsiTheme="minorHAnsi"/>
        </w:rPr>
        <w:t xml:space="preserve">ederal </w:t>
      </w:r>
      <w:r w:rsidRPr="00AF2304">
        <w:rPr>
          <w:rFonts w:asciiTheme="minorHAnsi" w:hAnsiTheme="minorHAnsi"/>
        </w:rPr>
        <w:t xml:space="preserve">award to an applicant until the applicant has complied with all applicable </w:t>
      </w:r>
      <w:r w:rsidR="000C16CD">
        <w:rPr>
          <w:rFonts w:asciiTheme="minorHAnsi" w:hAnsiTheme="minorHAnsi"/>
        </w:rPr>
        <w:t>UEI</w:t>
      </w:r>
      <w:r w:rsidRPr="00AF2304">
        <w:rPr>
          <w:rFonts w:asciiTheme="minorHAnsi" w:hAnsiTheme="minorHAnsi"/>
        </w:rPr>
        <w:t xml:space="preserve"> and SAM requirements and, if an applicant has not fully complied with the requirements by the time DOE is ready to make a </w:t>
      </w:r>
      <w:r w:rsidR="00710ED6">
        <w:rPr>
          <w:rFonts w:asciiTheme="minorHAnsi" w:hAnsiTheme="minorHAnsi"/>
        </w:rPr>
        <w:t>f</w:t>
      </w:r>
      <w:r w:rsidR="00710ED6" w:rsidRPr="00AF2304">
        <w:rPr>
          <w:rFonts w:asciiTheme="minorHAnsi" w:hAnsiTheme="minorHAnsi"/>
        </w:rPr>
        <w:t xml:space="preserve">ederal </w:t>
      </w:r>
      <w:r w:rsidRPr="00AF2304">
        <w:rPr>
          <w:rFonts w:asciiTheme="minorHAnsi" w:hAnsiTheme="minorHAnsi"/>
        </w:rPr>
        <w:t xml:space="preserve">award, the DOE </w:t>
      </w:r>
      <w:r w:rsidR="009A02DB">
        <w:rPr>
          <w:rFonts w:asciiTheme="minorHAnsi" w:hAnsiTheme="minorHAnsi"/>
        </w:rPr>
        <w:t>will</w:t>
      </w:r>
      <w:r w:rsidR="009A02DB" w:rsidRPr="00AF2304">
        <w:rPr>
          <w:rFonts w:asciiTheme="minorHAnsi" w:hAnsiTheme="minorHAnsi"/>
        </w:rPr>
        <w:t xml:space="preserve"> </w:t>
      </w:r>
      <w:r w:rsidRPr="00AF2304">
        <w:rPr>
          <w:rFonts w:asciiTheme="minorHAnsi" w:hAnsiTheme="minorHAnsi"/>
        </w:rPr>
        <w:t>determine that the</w:t>
      </w:r>
      <w:r w:rsidR="005B676A">
        <w:rPr>
          <w:rFonts w:asciiTheme="minorHAnsi" w:hAnsiTheme="minorHAnsi"/>
        </w:rPr>
        <w:t xml:space="preserve"> </w:t>
      </w:r>
      <w:r w:rsidRPr="00AF2304">
        <w:rPr>
          <w:rFonts w:asciiTheme="minorHAnsi" w:hAnsiTheme="minorHAnsi"/>
        </w:rPr>
        <w:t xml:space="preserve">applicant is not qualified to receive a </w:t>
      </w:r>
      <w:r w:rsidR="00710ED6">
        <w:rPr>
          <w:rFonts w:asciiTheme="minorHAnsi" w:hAnsiTheme="minorHAnsi"/>
        </w:rPr>
        <w:t>f</w:t>
      </w:r>
      <w:r w:rsidR="00710ED6" w:rsidRPr="00AF2304">
        <w:rPr>
          <w:rFonts w:asciiTheme="minorHAnsi" w:hAnsiTheme="minorHAnsi"/>
        </w:rPr>
        <w:t xml:space="preserve">ederal </w:t>
      </w:r>
      <w:r w:rsidRPr="00AF2304">
        <w:rPr>
          <w:rFonts w:asciiTheme="minorHAnsi" w:hAnsiTheme="minorHAnsi"/>
        </w:rPr>
        <w:t xml:space="preserve">award and use that determination as a basis for making a </w:t>
      </w:r>
      <w:r w:rsidR="00710ED6">
        <w:rPr>
          <w:rFonts w:asciiTheme="minorHAnsi" w:hAnsiTheme="minorHAnsi"/>
        </w:rPr>
        <w:t>f</w:t>
      </w:r>
      <w:r w:rsidR="00710ED6" w:rsidRPr="00AF2304">
        <w:rPr>
          <w:rFonts w:asciiTheme="minorHAnsi" w:hAnsiTheme="minorHAnsi"/>
        </w:rPr>
        <w:t xml:space="preserve">ederal </w:t>
      </w:r>
      <w:r w:rsidRPr="00AF2304">
        <w:rPr>
          <w:rFonts w:asciiTheme="minorHAnsi" w:hAnsiTheme="minorHAnsi"/>
        </w:rPr>
        <w:t>award to another applicant.</w:t>
      </w:r>
      <w:bookmarkEnd w:id="277"/>
      <w:r w:rsidRPr="008858B4">
        <w:rPr>
          <w:rFonts w:asciiTheme="minorHAnsi" w:hAnsiTheme="minorHAnsi"/>
        </w:rPr>
        <w:br/>
      </w:r>
      <w:bookmarkStart w:id="278" w:name="_Toc356975029"/>
      <w:bookmarkEnd w:id="278"/>
    </w:p>
    <w:p w14:paraId="3D350461" w14:textId="77777777" w:rsidR="0014599D" w:rsidRPr="00872882" w:rsidRDefault="004E672B" w:rsidP="0017595D">
      <w:pPr>
        <w:pStyle w:val="FOAHeading2"/>
      </w:pPr>
      <w:bookmarkStart w:id="279" w:name="_Toc517798920"/>
      <w:bookmarkStart w:id="280" w:name="_Toc519602248"/>
      <w:bookmarkStart w:id="281" w:name="_Toc519602371"/>
      <w:bookmarkStart w:id="282" w:name="_Toc109921710"/>
      <w:r w:rsidRPr="00221643">
        <w:t>Submission Dates and Times</w:t>
      </w:r>
      <w:bookmarkEnd w:id="279"/>
      <w:bookmarkEnd w:id="280"/>
      <w:bookmarkEnd w:id="281"/>
      <w:bookmarkEnd w:id="282"/>
    </w:p>
    <w:p w14:paraId="35F5CF36" w14:textId="38D2ACBF" w:rsidR="0014599D" w:rsidRDefault="004E672B" w:rsidP="00E42B15">
      <w:pPr>
        <w:pStyle w:val="FOATemplateBody"/>
        <w:ind w:left="1440"/>
        <w:rPr>
          <w:rFonts w:asciiTheme="minorHAnsi" w:hAnsiTheme="minorHAnsi"/>
        </w:rPr>
      </w:pPr>
      <w:r w:rsidRPr="0019651E">
        <w:rPr>
          <w:rFonts w:asciiTheme="minorHAnsi" w:hAnsiTheme="minorHAnsi"/>
        </w:rPr>
        <w:t xml:space="preserve">All required submissions must be submitted in </w:t>
      </w:r>
      <w:r w:rsidR="00EB0439">
        <w:rPr>
          <w:rFonts w:asciiTheme="minorHAnsi" w:hAnsiTheme="minorHAnsi"/>
        </w:rPr>
        <w:t>EERE Exchange</w:t>
      </w:r>
      <w:r w:rsidRPr="0019651E">
        <w:rPr>
          <w:rFonts w:asciiTheme="minorHAnsi" w:hAnsiTheme="minorHAnsi"/>
        </w:rPr>
        <w:t xml:space="preserve"> no later than 5 p.m. Eastern Time on the dates provided on the cover page of this FOA.</w:t>
      </w:r>
    </w:p>
    <w:p w14:paraId="321B1985" w14:textId="3D0A9C2F" w:rsidR="0014599D" w:rsidRPr="008858B4" w:rsidRDefault="0014599D" w:rsidP="0014599D">
      <w:pPr>
        <w:pStyle w:val="FOATemplateBody"/>
        <w:ind w:left="1080"/>
        <w:rPr>
          <w:rFonts w:asciiTheme="minorHAnsi" w:hAnsiTheme="minorHAnsi"/>
        </w:rPr>
      </w:pPr>
    </w:p>
    <w:p w14:paraId="54AEC10E" w14:textId="77777777" w:rsidR="0014599D" w:rsidRPr="00872882" w:rsidRDefault="004E672B" w:rsidP="0017595D">
      <w:pPr>
        <w:pStyle w:val="FOAHeading2"/>
      </w:pPr>
      <w:bookmarkStart w:id="283" w:name="_Toc517771565"/>
      <w:bookmarkStart w:id="284" w:name="_Toc517797782"/>
      <w:bookmarkStart w:id="285" w:name="_Toc517797862"/>
      <w:bookmarkStart w:id="286" w:name="_Toc517797940"/>
      <w:bookmarkStart w:id="287" w:name="_Toc517798055"/>
      <w:bookmarkStart w:id="288" w:name="_Toc517798280"/>
      <w:bookmarkStart w:id="289" w:name="_Toc517798361"/>
      <w:bookmarkStart w:id="290" w:name="_Toc517798921"/>
      <w:bookmarkStart w:id="291" w:name="_Toc517799206"/>
      <w:bookmarkStart w:id="292" w:name="_Toc519602177"/>
      <w:bookmarkStart w:id="293" w:name="_Toc519602249"/>
      <w:bookmarkStart w:id="294" w:name="_Toc519602372"/>
      <w:bookmarkStart w:id="295" w:name="_Toc519602538"/>
      <w:bookmarkStart w:id="296" w:name="_Toc520382647"/>
      <w:bookmarkStart w:id="297" w:name="_Toc520455645"/>
      <w:bookmarkStart w:id="298" w:name="_Toc520455815"/>
      <w:bookmarkStart w:id="299" w:name="_Toc517798922"/>
      <w:bookmarkStart w:id="300" w:name="_Toc519602250"/>
      <w:bookmarkStart w:id="301" w:name="_Toc519602373"/>
      <w:bookmarkStart w:id="302" w:name="_Toc10992171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AF2304">
        <w:t>Intergovernmental Review</w:t>
      </w:r>
      <w:bookmarkEnd w:id="299"/>
      <w:bookmarkEnd w:id="300"/>
      <w:bookmarkEnd w:id="301"/>
      <w:bookmarkEnd w:id="302"/>
    </w:p>
    <w:p w14:paraId="6E80F5E5" w14:textId="25838C59" w:rsidR="009762A3" w:rsidRPr="00B10270" w:rsidRDefault="004E672B" w:rsidP="00E42B15">
      <w:pPr>
        <w:ind w:left="1440"/>
        <w:rPr>
          <w:color w:val="000000" w:themeColor="text1"/>
        </w:rPr>
      </w:pPr>
      <w:r w:rsidRPr="00B10270">
        <w:rPr>
          <w:color w:val="000000" w:themeColor="text1"/>
        </w:rPr>
        <w:t>This FOA is not subject to Executive Order 12372 – Intergovernmental Review of Federal Programs.</w:t>
      </w:r>
    </w:p>
    <w:p w14:paraId="1BBFE7D9" w14:textId="186B0DF6" w:rsidR="00E625CC" w:rsidRDefault="00E625CC" w:rsidP="00E42B15">
      <w:pPr>
        <w:ind w:left="1440"/>
        <w:rPr>
          <w:b/>
          <w:color w:val="000000" w:themeColor="text1"/>
        </w:rPr>
      </w:pPr>
    </w:p>
    <w:p w14:paraId="3E3FF296" w14:textId="72703716" w:rsidR="006A24B8" w:rsidRPr="00872882" w:rsidRDefault="004E672B" w:rsidP="0017595D">
      <w:pPr>
        <w:pStyle w:val="FOAHeading2"/>
      </w:pPr>
      <w:bookmarkStart w:id="303" w:name="_Toc517798923"/>
      <w:bookmarkStart w:id="304" w:name="_Toc519602251"/>
      <w:bookmarkStart w:id="305" w:name="_Toc519602374"/>
      <w:bookmarkStart w:id="306" w:name="_Toc109921712"/>
      <w:r w:rsidRPr="00221643">
        <w:t>Funding Restrictions</w:t>
      </w:r>
      <w:bookmarkEnd w:id="303"/>
      <w:bookmarkEnd w:id="304"/>
      <w:bookmarkEnd w:id="305"/>
      <w:bookmarkEnd w:id="306"/>
      <w:r w:rsidR="00853350">
        <w:br/>
      </w:r>
    </w:p>
    <w:p w14:paraId="570CEE28" w14:textId="1F03700B" w:rsidR="006A24B8" w:rsidRPr="00872882" w:rsidRDefault="004E672B" w:rsidP="00F836F4">
      <w:pPr>
        <w:pStyle w:val="FOAHeading3"/>
        <w:numPr>
          <w:ilvl w:val="0"/>
          <w:numId w:val="32"/>
        </w:numPr>
        <w:ind w:left="1440"/>
        <w:outlineLvl w:val="2"/>
      </w:pPr>
      <w:bookmarkStart w:id="307" w:name="_Toc519602375"/>
      <w:bookmarkStart w:id="308" w:name="_Toc109921713"/>
      <w:r w:rsidRPr="00C72CE2">
        <w:t>Allowable Costs</w:t>
      </w:r>
      <w:bookmarkEnd w:id="307"/>
      <w:bookmarkEnd w:id="308"/>
    </w:p>
    <w:p w14:paraId="5CF2C339" w14:textId="11EA778D" w:rsidR="00DC5A84" w:rsidRPr="008858B4" w:rsidRDefault="004E672B" w:rsidP="00DC5A84">
      <w:pPr>
        <w:ind w:left="1440"/>
      </w:pPr>
      <w:r w:rsidRPr="008858B4">
        <w:t xml:space="preserve">All expenditures must be allowable, allocable, and reasonable in accordance with the applicable </w:t>
      </w:r>
      <w:r w:rsidR="00710ED6">
        <w:t>f</w:t>
      </w:r>
      <w:r w:rsidR="00710ED6" w:rsidRPr="008858B4">
        <w:t xml:space="preserve">ederal </w:t>
      </w:r>
      <w:r w:rsidRPr="008858B4">
        <w:t>cost principles.</w:t>
      </w:r>
      <w:r w:rsidR="00DC5A84" w:rsidRPr="00DC5A84">
        <w:t xml:space="preserve"> </w:t>
      </w:r>
      <w:r w:rsidR="00DC5A84">
        <w:t xml:space="preserve">Pursuant to 2 CFR 910.352, the cost principles in the Federal Acquisition Regulations (48 CFR Part 31.2) apply to for-profit entities. The cost principles contained in 2 CFR Part </w:t>
      </w:r>
      <w:proofErr w:type="gramStart"/>
      <w:r w:rsidR="00DC5A84">
        <w:t>200,</w:t>
      </w:r>
      <w:proofErr w:type="gramEnd"/>
      <w:r w:rsidR="00DC5A84">
        <w:t xml:space="preserve"> Subpart E apply to all entities other than for-profits. </w:t>
      </w:r>
    </w:p>
    <w:p w14:paraId="68383673" w14:textId="77777777" w:rsidR="00DC5A84" w:rsidRPr="000D6792" w:rsidRDefault="00DC5A84" w:rsidP="00DC5A84">
      <w:pPr>
        <w:pStyle w:val="ListParagraph"/>
        <w:ind w:left="1800"/>
        <w:contextualSpacing w:val="0"/>
        <w:rPr>
          <w:color w:val="1F497D"/>
          <w:highlight w:val="green"/>
        </w:rPr>
      </w:pPr>
    </w:p>
    <w:p w14:paraId="4F8DC453" w14:textId="77777777" w:rsidR="00DC5A84" w:rsidRPr="00DC5A84" w:rsidRDefault="00DC5A84" w:rsidP="00DC5A84">
      <w:pPr>
        <w:ind w:left="1440"/>
        <w:rPr>
          <w:color w:val="1F497D"/>
        </w:rPr>
      </w:pPr>
      <w:r w:rsidRPr="00DC5A84">
        <w:t>Costs to support or oppose union organizing, whether directly or as an offset for other funds, are unallowable.</w:t>
      </w:r>
    </w:p>
    <w:p w14:paraId="70A3C69A" w14:textId="0CB1893C" w:rsidR="006A24B8" w:rsidRPr="008858B4" w:rsidRDefault="006A24B8" w:rsidP="00DC5A84">
      <w:pPr>
        <w:ind w:left="1440"/>
      </w:pPr>
    </w:p>
    <w:p w14:paraId="5606F3E9" w14:textId="0DCF1DAA" w:rsidR="006A24B8" w:rsidRPr="00872882" w:rsidRDefault="004E672B" w:rsidP="00F836F4">
      <w:pPr>
        <w:pStyle w:val="FOAHeading3"/>
        <w:numPr>
          <w:ilvl w:val="0"/>
          <w:numId w:val="32"/>
        </w:numPr>
        <w:ind w:left="1440"/>
        <w:outlineLvl w:val="2"/>
      </w:pPr>
      <w:bookmarkStart w:id="309" w:name="_Toc519602376"/>
      <w:bookmarkStart w:id="310" w:name="_Toc109921714"/>
      <w:r w:rsidRPr="00C72CE2">
        <w:t>Pre-Award Costs</w:t>
      </w:r>
      <w:bookmarkEnd w:id="309"/>
      <w:bookmarkEnd w:id="310"/>
    </w:p>
    <w:p w14:paraId="63C8161F" w14:textId="77777777" w:rsidR="006A24B8" w:rsidRPr="008858B4" w:rsidRDefault="004E672B" w:rsidP="00A53BBC">
      <w:pPr>
        <w:ind w:left="1440"/>
      </w:pPr>
      <w:r w:rsidRPr="008858B4">
        <w:t xml:space="preserve">Selectees must request prior written approval to charge pre-award costs. Pre-award costs are those incurred prior to the effective date of the </w:t>
      </w:r>
      <w:r w:rsidR="00710ED6">
        <w:t>f</w:t>
      </w:r>
      <w:r w:rsidR="00710ED6" w:rsidRPr="008858B4">
        <w:t xml:space="preserve">ederal </w:t>
      </w:r>
      <w:r w:rsidRPr="008858B4">
        <w:t xml:space="preserve">award directly pursuant to the negotiation and in anticipation of the </w:t>
      </w:r>
      <w:r w:rsidR="00710ED6">
        <w:t>f</w:t>
      </w:r>
      <w:r w:rsidR="00710ED6" w:rsidRPr="008858B4">
        <w:t xml:space="preserve">ederal </w:t>
      </w:r>
      <w:r w:rsidRPr="008858B4">
        <w:t xml:space="preserve">award where such costs are necessary for efficient and timely performance of the scope of work. Such costs are allowable only to the extent that they would have been allowable if incurred after the date of the </w:t>
      </w:r>
      <w:r w:rsidR="00710ED6">
        <w:t>f</w:t>
      </w:r>
      <w:r w:rsidR="00710ED6" w:rsidRPr="008858B4">
        <w:t xml:space="preserve">ederal </w:t>
      </w:r>
      <w:r w:rsidRPr="008858B4">
        <w:t xml:space="preserve">award and </w:t>
      </w:r>
      <w:r w:rsidRPr="00120F39">
        <w:rPr>
          <w:b/>
        </w:rPr>
        <w:t>only</w:t>
      </w:r>
      <w:r w:rsidRPr="008858B4">
        <w:t xml:space="preserve"> with the written approval of the </w:t>
      </w:r>
      <w:r w:rsidR="00710ED6">
        <w:t>f</w:t>
      </w:r>
      <w:r w:rsidR="00710ED6" w:rsidRPr="008858B4">
        <w:t xml:space="preserve">ederal </w:t>
      </w:r>
      <w:r w:rsidRPr="008858B4">
        <w:t>awarding agency, through the Contracting Officer assigned to the award.</w:t>
      </w:r>
    </w:p>
    <w:p w14:paraId="0E05935C" w14:textId="77777777" w:rsidR="006A24B8" w:rsidRPr="008858B4" w:rsidRDefault="006A24B8" w:rsidP="00C250F9">
      <w:pPr>
        <w:ind w:left="1800" w:hanging="360"/>
      </w:pPr>
    </w:p>
    <w:p w14:paraId="06F2D9B6" w14:textId="1BA622F6" w:rsidR="006A24B8" w:rsidRPr="008858B4" w:rsidRDefault="004E672B" w:rsidP="00A53BBC">
      <w:pPr>
        <w:ind w:left="1440"/>
      </w:pPr>
      <w:r w:rsidRPr="008858B4">
        <w:t>Pre-award costs cannot be incurred prior to the Selection Official signing the</w:t>
      </w:r>
      <w:r w:rsidR="00EC6D63">
        <w:t xml:space="preserve"> </w:t>
      </w:r>
      <w:r w:rsidRPr="008858B4">
        <w:t>Se</w:t>
      </w:r>
      <w:r w:rsidR="00A06D9D">
        <w:t>lection Statement and Analysis.</w:t>
      </w:r>
    </w:p>
    <w:p w14:paraId="2D96D1D1" w14:textId="77777777" w:rsidR="006A24B8" w:rsidRPr="008858B4" w:rsidRDefault="006A24B8" w:rsidP="00A53BBC">
      <w:pPr>
        <w:ind w:left="1440"/>
      </w:pPr>
    </w:p>
    <w:p w14:paraId="0DFC0955" w14:textId="644C2FF8" w:rsidR="006A24B8" w:rsidRDefault="004E672B" w:rsidP="00CB7958">
      <w:pPr>
        <w:ind w:left="1440"/>
      </w:pPr>
      <w:r w:rsidRPr="008858B4">
        <w:t>Pre-</w:t>
      </w:r>
      <w:r w:rsidR="00942A1A">
        <w:t>a</w:t>
      </w:r>
      <w:r w:rsidR="00942A1A" w:rsidRPr="008858B4">
        <w:t xml:space="preserve">ward </w:t>
      </w:r>
      <w:r w:rsidRPr="008858B4">
        <w:t xml:space="preserve">expenditures are made at the </w:t>
      </w:r>
      <w:r w:rsidR="00A06D9D">
        <w:t>s</w:t>
      </w:r>
      <w:r w:rsidRPr="008858B4">
        <w:t>electee’s risk</w:t>
      </w:r>
      <w:r w:rsidR="009A02DB">
        <w:t>.</w:t>
      </w:r>
      <w:r w:rsidRPr="008858B4">
        <w:t xml:space="preserve"> EERE is not obligated to reimburse costs: (1) in the absence of appropriations; (2) if an award is not made; or (3) if an award is made for a lesser amount than the </w:t>
      </w:r>
      <w:r w:rsidR="00A06D9D">
        <w:t>s</w:t>
      </w:r>
      <w:r w:rsidRPr="008858B4">
        <w:t>electee anticipated.</w:t>
      </w:r>
    </w:p>
    <w:p w14:paraId="18FEC385" w14:textId="0F4B9221" w:rsidR="00CB7958" w:rsidRDefault="00CB7958" w:rsidP="00CB7958"/>
    <w:p w14:paraId="6131C0EC" w14:textId="2FA1EB88" w:rsidR="00727BB4" w:rsidRPr="00727BB4" w:rsidRDefault="004E672B" w:rsidP="00F836F4">
      <w:pPr>
        <w:pStyle w:val="ListParagraph"/>
        <w:numPr>
          <w:ilvl w:val="0"/>
          <w:numId w:val="54"/>
        </w:numPr>
        <w:ind w:left="1800"/>
        <w:rPr>
          <w:b/>
        </w:rPr>
      </w:pPr>
      <w:r w:rsidRPr="00727BB4">
        <w:rPr>
          <w:b/>
        </w:rPr>
        <w:t>National Environmental Policy Act (NEPA) Requirements</w:t>
      </w:r>
      <w:r w:rsidR="00A06D9D" w:rsidRPr="00A06D9D">
        <w:rPr>
          <w:b/>
        </w:rPr>
        <w:t xml:space="preserve"> </w:t>
      </w:r>
      <w:r w:rsidR="00A06D9D" w:rsidRPr="00727BB4">
        <w:rPr>
          <w:b/>
        </w:rPr>
        <w:t xml:space="preserve">Related </w:t>
      </w:r>
      <w:r w:rsidR="00A06D9D">
        <w:rPr>
          <w:b/>
        </w:rPr>
        <w:t xml:space="preserve">to </w:t>
      </w:r>
      <w:r w:rsidR="00A06D9D" w:rsidRPr="00727BB4">
        <w:rPr>
          <w:b/>
        </w:rPr>
        <w:t>Pre-Award Costs</w:t>
      </w:r>
    </w:p>
    <w:p w14:paraId="01964DAA" w14:textId="2DE42686" w:rsidR="00CB7958" w:rsidRPr="008858B4" w:rsidRDefault="004E672B" w:rsidP="00CB7958">
      <w:pPr>
        <w:ind w:left="1800"/>
      </w:pPr>
      <w:r w:rsidRPr="008858B4">
        <w:t xml:space="preserve">EERE’s decision whether and how to distribute </w:t>
      </w:r>
      <w:r>
        <w:t>f</w:t>
      </w:r>
      <w:r w:rsidRPr="008858B4">
        <w:t>ederal funds under this FOA is subject to NEPA. Applicants should carefully consider and should seek legal counsel or other expert advice before taking any action related to the proposed project</w:t>
      </w:r>
      <w:r w:rsidRPr="00CB7958">
        <w:t xml:space="preserve"> </w:t>
      </w:r>
      <w:r w:rsidR="00A06D9D">
        <w:t xml:space="preserve">that would have an adverse effect on the environment or limit the choice of reasonable alternatives </w:t>
      </w:r>
      <w:r w:rsidRPr="008858B4">
        <w:t>prior to EERE completing the NEPA review process.</w:t>
      </w:r>
    </w:p>
    <w:p w14:paraId="7E2E14B3" w14:textId="77777777" w:rsidR="00CB7958" w:rsidRPr="008858B4" w:rsidRDefault="00CB7958" w:rsidP="00CB7958">
      <w:pPr>
        <w:ind w:left="1800"/>
      </w:pPr>
    </w:p>
    <w:p w14:paraId="48DD073B" w14:textId="0EEEB69F" w:rsidR="00CB7958" w:rsidRDefault="004E672B" w:rsidP="00A53BBC">
      <w:pPr>
        <w:ind w:left="1800"/>
      </w:pPr>
      <w:r w:rsidRPr="008858B4">
        <w:t xml:space="preserve">EERE does not guarantee or assume any obligation to reimburse </w:t>
      </w:r>
      <w:r>
        <w:t xml:space="preserve">pre-award </w:t>
      </w:r>
      <w:r w:rsidRPr="008858B4">
        <w:t>costs incurred prior to receiving written authorization from the Contracting Officer. If the applicant elects to undertake activities that</w:t>
      </w:r>
      <w:r>
        <w:t xml:space="preserve"> DOE determines</w:t>
      </w:r>
      <w:r w:rsidRPr="008858B4">
        <w:t xml:space="preserve"> may have an adverse effect on the environment or limit the choice of reasonable alternatives prior to receiving such written authorization from the Contracting Officer, the applicant is doing so at risk of not receiving </w:t>
      </w:r>
      <w:r>
        <w:t>f</w:t>
      </w:r>
      <w:r w:rsidRPr="008858B4">
        <w:t xml:space="preserve">ederal funding </w:t>
      </w:r>
      <w:r>
        <w:t xml:space="preserve">for their project </w:t>
      </w:r>
      <w:r w:rsidRPr="008858B4">
        <w:t xml:space="preserve">and such costs may not be recognized as allowable cost share. </w:t>
      </w:r>
      <w:r w:rsidR="0023443A">
        <w:t>Nothing contained in the pre-award cost reimbursement regulations or any pre-award costs approval letter from the Contracting Officer override these NEPA requirements to obtain the written authorization from the Contracting Officer prior to taking any action that may have an adverse effect on the environment or limit the choice of reasonable alternatives. Likewise, if an application is selected for negotiation of award, and the prime recipient elects to undertake activities that are not authorized for federal funding by the Contracting Officer in advance of EERE completing a NEPA review, the prime recipient is doing so at risk of not receiving federal funding and such costs may not be recognized as allowable cost share.</w:t>
      </w:r>
    </w:p>
    <w:p w14:paraId="626B38D3" w14:textId="77777777" w:rsidR="00295B55" w:rsidRPr="008858B4" w:rsidRDefault="004E672B" w:rsidP="00A53BBC">
      <w:pPr>
        <w:ind w:left="1800"/>
      </w:pPr>
      <w:r w:rsidRPr="008858B4">
        <w:t xml:space="preserve"> </w:t>
      </w:r>
    </w:p>
    <w:p w14:paraId="466FE10D" w14:textId="3929F41A" w:rsidR="006A24B8" w:rsidRPr="00872882" w:rsidRDefault="004E672B" w:rsidP="00F836F4">
      <w:pPr>
        <w:pStyle w:val="FOAHeading3"/>
        <w:numPr>
          <w:ilvl w:val="0"/>
          <w:numId w:val="32"/>
        </w:numPr>
        <w:ind w:left="1440"/>
        <w:outlineLvl w:val="2"/>
      </w:pPr>
      <w:bookmarkStart w:id="311" w:name="_Toc519602377"/>
      <w:bookmarkStart w:id="312" w:name="_Toc109921715"/>
      <w:r w:rsidRPr="00C72CE2">
        <w:t>Performance of Work</w:t>
      </w:r>
      <w:r w:rsidRPr="0022038E">
        <w:t xml:space="preserve"> in the United States</w:t>
      </w:r>
      <w:bookmarkEnd w:id="311"/>
      <w:r w:rsidR="00685BA9">
        <w:t xml:space="preserve"> (Foreign Work Waiver)</w:t>
      </w:r>
      <w:bookmarkEnd w:id="312"/>
    </w:p>
    <w:p w14:paraId="4D1986DD" w14:textId="77777777" w:rsidR="00414266" w:rsidRPr="00B5344E" w:rsidRDefault="00414266" w:rsidP="00A53BBC">
      <w:pPr>
        <w:rPr>
          <w:highlight w:val="cyan"/>
        </w:rPr>
      </w:pPr>
    </w:p>
    <w:p w14:paraId="6757AFA3" w14:textId="77777777" w:rsidR="006A24B8" w:rsidRPr="00A53BBC" w:rsidRDefault="004E672B" w:rsidP="00F836F4">
      <w:pPr>
        <w:pStyle w:val="FOAHeading4"/>
        <w:numPr>
          <w:ilvl w:val="0"/>
          <w:numId w:val="33"/>
        </w:numPr>
        <w:ind w:left="1800"/>
      </w:pPr>
      <w:r w:rsidRPr="00C72CE2">
        <w:t>Requirement</w:t>
      </w:r>
    </w:p>
    <w:p w14:paraId="29F9FAE0" w14:textId="652AFBC3" w:rsidR="006A24B8" w:rsidRPr="009061D6" w:rsidRDefault="004E672B" w:rsidP="00A53BBC">
      <w:pPr>
        <w:ind w:left="1800"/>
        <w:rPr>
          <w:color w:val="000000"/>
        </w:rPr>
      </w:pPr>
      <w:r w:rsidRPr="00120F39">
        <w:t xml:space="preserve">All work performed under EERE </w:t>
      </w:r>
      <w:r w:rsidR="00942A1A">
        <w:t>a</w:t>
      </w:r>
      <w:r w:rsidR="00942A1A" w:rsidRPr="009061D6">
        <w:t xml:space="preserve">wards </w:t>
      </w:r>
      <w:r w:rsidRPr="009061D6">
        <w:t xml:space="preserve">must be performed in the United States. </w:t>
      </w:r>
      <w:r w:rsidR="00415EF2">
        <w:t>The prime recipient must flow down this requirement to its subrecipients.</w:t>
      </w:r>
    </w:p>
    <w:p w14:paraId="761A241C" w14:textId="77777777" w:rsidR="006A24B8" w:rsidRPr="008858B4" w:rsidRDefault="006A24B8" w:rsidP="001020E9">
      <w:pPr>
        <w:ind w:left="1800" w:hanging="360"/>
        <w:rPr>
          <w:color w:val="000000"/>
          <w:szCs w:val="24"/>
        </w:rPr>
      </w:pPr>
    </w:p>
    <w:p w14:paraId="63E843FA" w14:textId="77777777" w:rsidR="006A24B8" w:rsidRPr="0022038E" w:rsidRDefault="004E672B" w:rsidP="00F836F4">
      <w:pPr>
        <w:pStyle w:val="FOAHeading4"/>
        <w:numPr>
          <w:ilvl w:val="0"/>
          <w:numId w:val="33"/>
        </w:numPr>
        <w:ind w:left="1800"/>
      </w:pPr>
      <w:r w:rsidRPr="00C72CE2">
        <w:t>Failure to Comply</w:t>
      </w:r>
    </w:p>
    <w:p w14:paraId="6084A6C2" w14:textId="2EBB7774" w:rsidR="006A24B8" w:rsidRPr="009061D6" w:rsidRDefault="004E672B" w:rsidP="00A53BBC">
      <w:pPr>
        <w:ind w:left="1800"/>
        <w:rPr>
          <w:color w:val="000000"/>
        </w:rPr>
      </w:pPr>
      <w:r w:rsidRPr="00120F39">
        <w:t xml:space="preserve">If the </w:t>
      </w:r>
      <w:r w:rsidR="00647D5B">
        <w:t>p</w:t>
      </w:r>
      <w:r w:rsidR="00647D5B" w:rsidRPr="00120F39">
        <w:t xml:space="preserve">rime </w:t>
      </w:r>
      <w:r w:rsidR="00647D5B">
        <w:t>r</w:t>
      </w:r>
      <w:r w:rsidR="00647D5B" w:rsidRPr="00120F39">
        <w:t xml:space="preserve">ecipient </w:t>
      </w:r>
      <w:r w:rsidRPr="00120F39">
        <w:t xml:space="preserve">fails to comply with the Performance of Work in the United States requirement, EERE may deny reimbursement for the work conducted outside the United States and </w:t>
      </w:r>
      <w:r w:rsidRPr="009061D6">
        <w:t>such costs may not be recognized as allowable recipient cost share.</w:t>
      </w:r>
      <w:r w:rsidRPr="009061D6">
        <w:rPr>
          <w:color w:val="000000"/>
        </w:rPr>
        <w:t xml:space="preserve"> The </w:t>
      </w:r>
      <w:r w:rsidR="00647D5B">
        <w:rPr>
          <w:color w:val="000000"/>
        </w:rPr>
        <w:t>p</w:t>
      </w:r>
      <w:r w:rsidR="00647D5B" w:rsidRPr="009061D6">
        <w:rPr>
          <w:color w:val="000000"/>
        </w:rPr>
        <w:t xml:space="preserve">rime </w:t>
      </w:r>
      <w:r w:rsidR="00647D5B">
        <w:rPr>
          <w:color w:val="000000"/>
        </w:rPr>
        <w:t>r</w:t>
      </w:r>
      <w:r w:rsidR="00647D5B" w:rsidRPr="009061D6">
        <w:rPr>
          <w:color w:val="000000"/>
        </w:rPr>
        <w:t xml:space="preserve">ecipient </w:t>
      </w:r>
      <w:r w:rsidRPr="009061D6">
        <w:rPr>
          <w:color w:val="000000"/>
        </w:rPr>
        <w:t xml:space="preserve">is responsible should any work under this </w:t>
      </w:r>
      <w:r w:rsidR="00942A1A">
        <w:rPr>
          <w:color w:val="000000"/>
        </w:rPr>
        <w:t>a</w:t>
      </w:r>
      <w:r w:rsidR="00942A1A" w:rsidRPr="009061D6">
        <w:rPr>
          <w:color w:val="000000"/>
        </w:rPr>
        <w:t xml:space="preserve">ward </w:t>
      </w:r>
      <w:r w:rsidRPr="009061D6">
        <w:rPr>
          <w:color w:val="000000"/>
        </w:rPr>
        <w:t xml:space="preserve">be performed outside the United States, absent a waiver, regardless of </w:t>
      </w:r>
      <w:r w:rsidR="00D960AB">
        <w:rPr>
          <w:color w:val="000000"/>
        </w:rPr>
        <w:t>whether</w:t>
      </w:r>
      <w:r w:rsidR="00D960AB" w:rsidRPr="009061D6">
        <w:rPr>
          <w:color w:val="000000"/>
        </w:rPr>
        <w:t xml:space="preserve"> </w:t>
      </w:r>
      <w:r w:rsidRPr="009061D6">
        <w:rPr>
          <w:color w:val="000000"/>
        </w:rPr>
        <w:t xml:space="preserve">the work is performed by the </w:t>
      </w:r>
      <w:r w:rsidR="00647D5B">
        <w:rPr>
          <w:color w:val="000000"/>
        </w:rPr>
        <w:t>p</w:t>
      </w:r>
      <w:r w:rsidR="00647D5B" w:rsidRPr="009061D6">
        <w:rPr>
          <w:color w:val="000000"/>
        </w:rPr>
        <w:t xml:space="preserve">rime </w:t>
      </w:r>
      <w:r w:rsidR="00647D5B">
        <w:rPr>
          <w:color w:val="000000"/>
        </w:rPr>
        <w:t>r</w:t>
      </w:r>
      <w:r w:rsidR="00647D5B" w:rsidRPr="009061D6">
        <w:rPr>
          <w:color w:val="000000"/>
        </w:rPr>
        <w:t>ecipient</w:t>
      </w:r>
      <w:r w:rsidRPr="009061D6">
        <w:rPr>
          <w:color w:val="000000"/>
        </w:rPr>
        <w:t xml:space="preserve">, </w:t>
      </w:r>
      <w:r w:rsidR="00496B2A">
        <w:rPr>
          <w:color w:val="000000"/>
        </w:rPr>
        <w:t>s</w:t>
      </w:r>
      <w:r w:rsidR="00496B2A" w:rsidRPr="009061D6">
        <w:rPr>
          <w:color w:val="000000"/>
        </w:rPr>
        <w:t>ubrecipients</w:t>
      </w:r>
      <w:r w:rsidRPr="009061D6">
        <w:rPr>
          <w:color w:val="000000"/>
        </w:rPr>
        <w:t>, contractors or other project partners.</w:t>
      </w:r>
    </w:p>
    <w:p w14:paraId="5BFE519E" w14:textId="77777777" w:rsidR="006A24B8" w:rsidRPr="008858B4" w:rsidRDefault="006A24B8" w:rsidP="001020E9">
      <w:pPr>
        <w:pStyle w:val="BodyText2"/>
        <w:tabs>
          <w:tab w:val="left" w:pos="990"/>
        </w:tabs>
        <w:spacing w:after="0" w:line="240" w:lineRule="auto"/>
        <w:ind w:left="1800" w:hanging="360"/>
        <w:rPr>
          <w:rFonts w:asciiTheme="minorHAnsi" w:hAnsiTheme="minorHAnsi"/>
        </w:rPr>
      </w:pPr>
    </w:p>
    <w:p w14:paraId="468DFEE1" w14:textId="77777777" w:rsidR="006A24B8" w:rsidRPr="0022038E" w:rsidRDefault="004E672B" w:rsidP="00F836F4">
      <w:pPr>
        <w:pStyle w:val="FOAHeading4"/>
        <w:numPr>
          <w:ilvl w:val="0"/>
          <w:numId w:val="33"/>
        </w:numPr>
        <w:ind w:left="1800"/>
      </w:pPr>
      <w:r w:rsidRPr="00C72CE2">
        <w:t>Waiver</w:t>
      </w:r>
    </w:p>
    <w:p w14:paraId="5077C778" w14:textId="195D566D" w:rsidR="006A24B8" w:rsidRPr="008858B4" w:rsidRDefault="004E672B" w:rsidP="00A53BBC">
      <w:pPr>
        <w:ind w:left="1800"/>
        <w:rPr>
          <w:szCs w:val="24"/>
        </w:rPr>
      </w:pPr>
      <w:r w:rsidRPr="00120F39">
        <w:t xml:space="preserve">There may be limited circumstances where it is in the interest of the </w:t>
      </w:r>
      <w:r w:rsidR="00685BA9">
        <w:t>p</w:t>
      </w:r>
      <w:r w:rsidRPr="00120F39">
        <w:t xml:space="preserve">roject to perform a portion of the work outside the United States. To seek a </w:t>
      </w:r>
      <w:r w:rsidR="00685BA9">
        <w:t xml:space="preserve">foreign work </w:t>
      </w:r>
      <w:r w:rsidRPr="00120F39">
        <w:t>waiver</w:t>
      </w:r>
      <w:r w:rsidRPr="009061D6">
        <w:t>, the applicant must submit a written waiver request to EERE.</w:t>
      </w:r>
      <w:r w:rsidR="001A3502">
        <w:t xml:space="preserve"> </w:t>
      </w:r>
      <w:r w:rsidRPr="00203706">
        <w:rPr>
          <w:u w:val="single"/>
        </w:rPr>
        <w:t>Appendix C</w:t>
      </w:r>
      <w:r w:rsidRPr="008858B4">
        <w:rPr>
          <w:u w:val="single"/>
        </w:rPr>
        <w:t xml:space="preserve"> lists the necessary information that must be included in a request </w:t>
      </w:r>
      <w:r w:rsidR="00685BA9">
        <w:rPr>
          <w:u w:val="single"/>
        </w:rPr>
        <w:t>for a foreign work waiver</w:t>
      </w:r>
      <w:r w:rsidRPr="008858B4">
        <w:t>.</w:t>
      </w:r>
    </w:p>
    <w:p w14:paraId="1E2C163F" w14:textId="77777777" w:rsidR="006A24B8" w:rsidRPr="008858B4" w:rsidRDefault="006A24B8" w:rsidP="001020E9">
      <w:pPr>
        <w:ind w:left="1800" w:hanging="360"/>
        <w:rPr>
          <w:szCs w:val="24"/>
        </w:rPr>
      </w:pPr>
    </w:p>
    <w:p w14:paraId="5DFD56F3" w14:textId="45F4C773" w:rsidR="00F50B44" w:rsidRDefault="004E672B" w:rsidP="00A53BBC">
      <w:pPr>
        <w:ind w:left="1800"/>
      </w:pPr>
      <w:r w:rsidRPr="00120F39">
        <w:t>The applicant must demonstr</w:t>
      </w:r>
      <w:r w:rsidRPr="009061D6">
        <w:t>ate to the satisfaction of EERE that a waiver would further the purposes of the FOA and is in the economic interests of the United States. EERE may require additional information before considering a waiver request.</w:t>
      </w:r>
      <w:r w:rsidRPr="008858B4">
        <w:t xml:space="preserve"> Save the waiver request(s) in a single </w:t>
      </w:r>
      <w:r w:rsidR="0019651E">
        <w:t>PDF</w:t>
      </w:r>
      <w:r w:rsidRPr="008858B4">
        <w:t xml:space="preserve"> file</w:t>
      </w:r>
      <w:r w:rsidR="007B33B6">
        <w:t>.</w:t>
      </w:r>
      <w:r w:rsidR="001A3502">
        <w:t xml:space="preserve"> </w:t>
      </w:r>
      <w:r w:rsidRPr="008858B4">
        <w:t>The applicant does not have the right to appeal EERE’s decision concerning a waiver request.</w:t>
      </w:r>
    </w:p>
    <w:p w14:paraId="1C5E2596" w14:textId="2BDB83FA" w:rsidR="00CC35E3" w:rsidRPr="008858B4" w:rsidRDefault="00CC35E3" w:rsidP="00A53BBC">
      <w:pPr>
        <w:ind w:left="1800"/>
      </w:pPr>
    </w:p>
    <w:p w14:paraId="62D4B5E5" w14:textId="12899782" w:rsidR="006A24B8" w:rsidRPr="00872882" w:rsidRDefault="004E672B" w:rsidP="00F836F4">
      <w:pPr>
        <w:pStyle w:val="FOAHeading3"/>
        <w:numPr>
          <w:ilvl w:val="0"/>
          <w:numId w:val="32"/>
        </w:numPr>
        <w:ind w:left="1440"/>
        <w:outlineLvl w:val="2"/>
      </w:pPr>
      <w:bookmarkStart w:id="313" w:name="_Toc519602378"/>
      <w:bookmarkStart w:id="314" w:name="_Toc109921716"/>
      <w:r w:rsidRPr="00C72CE2">
        <w:t>Construction</w:t>
      </w:r>
      <w:bookmarkEnd w:id="313"/>
      <w:bookmarkEnd w:id="314"/>
    </w:p>
    <w:p w14:paraId="1552FA32" w14:textId="77777777" w:rsidR="006A24B8" w:rsidRPr="008858B4" w:rsidRDefault="004E672B" w:rsidP="00A53BBC">
      <w:pPr>
        <w:ind w:left="1440"/>
      </w:pPr>
      <w:r w:rsidRPr="008858B4">
        <w:t>Recipients are required to obtain written authorization from the Contracting Officer before incurring any major construction costs.</w:t>
      </w:r>
    </w:p>
    <w:p w14:paraId="2B550823" w14:textId="77777777" w:rsidR="006A24B8" w:rsidRPr="008858B4" w:rsidRDefault="006A24B8" w:rsidP="008858B4"/>
    <w:p w14:paraId="7825F47D" w14:textId="36B64B4C" w:rsidR="006A24B8" w:rsidRPr="00872882" w:rsidRDefault="004E672B" w:rsidP="00F836F4">
      <w:pPr>
        <w:pStyle w:val="FOAHeading3"/>
        <w:numPr>
          <w:ilvl w:val="0"/>
          <w:numId w:val="32"/>
        </w:numPr>
        <w:ind w:left="1440"/>
        <w:outlineLvl w:val="2"/>
      </w:pPr>
      <w:bookmarkStart w:id="315" w:name="_Toc519602379"/>
      <w:bookmarkStart w:id="316" w:name="_Toc109921717"/>
      <w:r w:rsidRPr="00C72CE2">
        <w:t>Foreign Travel</w:t>
      </w:r>
      <w:bookmarkEnd w:id="315"/>
      <w:bookmarkEnd w:id="316"/>
    </w:p>
    <w:p w14:paraId="69689D99" w14:textId="2F162A57" w:rsidR="006A24B8" w:rsidRPr="00841F8C" w:rsidRDefault="004E672B" w:rsidP="00A53BBC">
      <w:pPr>
        <w:ind w:left="1440"/>
      </w:pPr>
      <w:r w:rsidRPr="00841F8C">
        <w:t>If international travel is proposed for your project, please note that your organization must comply with the International Air Transportation Fair Competitive Practices Act of 1974 (49 USC 40118), commonly referred to as the “Fly America Act,” and implementing regulations at 41 CFR 301-10.131 through 301-10.143. The law and regulations require air transport of people or property to, from, between, or within a country other than the United States, the cost of which is supported under this award, to be performed by or under a cost-sharing arrangement with a U.S. flag carrier, if service is available.</w:t>
      </w:r>
      <w:r w:rsidR="001A3502" w:rsidRPr="00841F8C">
        <w:t xml:space="preserve"> </w:t>
      </w:r>
      <w:r w:rsidR="00DB6205" w:rsidRPr="00841F8C">
        <w:t>Foreign travel costs are allowable only with the written prior approval of the Contracting Officer assigned to the award.</w:t>
      </w:r>
    </w:p>
    <w:p w14:paraId="585674C3" w14:textId="51C85F88" w:rsidR="006A24B8" w:rsidRDefault="006A24B8" w:rsidP="00A53BBC">
      <w:pPr>
        <w:ind w:left="1440"/>
        <w:rPr>
          <w:u w:val="single"/>
        </w:rPr>
      </w:pPr>
    </w:p>
    <w:p w14:paraId="3C079ECD" w14:textId="4F0462D8" w:rsidR="006A24B8" w:rsidRPr="00872882" w:rsidRDefault="004E672B" w:rsidP="00F836F4">
      <w:pPr>
        <w:pStyle w:val="FOAHeading3"/>
        <w:numPr>
          <w:ilvl w:val="0"/>
          <w:numId w:val="32"/>
        </w:numPr>
        <w:ind w:left="1440"/>
        <w:outlineLvl w:val="2"/>
      </w:pPr>
      <w:bookmarkStart w:id="317" w:name="_Toc519602380"/>
      <w:bookmarkStart w:id="318" w:name="_Toc109921718"/>
      <w:r w:rsidRPr="00C72CE2">
        <w:t>Equipment and Supplies</w:t>
      </w:r>
      <w:bookmarkEnd w:id="317"/>
      <w:bookmarkEnd w:id="318"/>
    </w:p>
    <w:p w14:paraId="0B63E9A1" w14:textId="77777777" w:rsidR="006A24B8" w:rsidRPr="008858B4" w:rsidRDefault="004E672B" w:rsidP="00A53BBC">
      <w:pPr>
        <w:ind w:left="1440"/>
      </w:pPr>
      <w:r w:rsidRPr="008858B4">
        <w:t xml:space="preserve">To the greatest extent practicable, all equipment and products purchased with funds made available under this FOA should be </w:t>
      </w:r>
      <w:proofErr w:type="gramStart"/>
      <w:r w:rsidRPr="008858B4">
        <w:t>American-made</w:t>
      </w:r>
      <w:proofErr w:type="gramEnd"/>
      <w:r w:rsidRPr="008858B4">
        <w:t>. This requirement does not apply to used or leased equipment.</w:t>
      </w:r>
    </w:p>
    <w:p w14:paraId="13068016" w14:textId="77777777" w:rsidR="006A24B8" w:rsidRPr="008858B4" w:rsidRDefault="006A24B8" w:rsidP="00A53BBC">
      <w:pPr>
        <w:ind w:left="1440" w:hanging="180"/>
      </w:pPr>
    </w:p>
    <w:p w14:paraId="7B6C811D" w14:textId="049E7451" w:rsidR="006A24B8" w:rsidRDefault="004E672B" w:rsidP="00A53BBC">
      <w:pPr>
        <w:ind w:left="1440"/>
      </w:pPr>
      <w:r w:rsidRPr="008858B4">
        <w:t xml:space="preserve">Property disposition will be required at the end of a project if the current fair market value of property exceeds $5,000. </w:t>
      </w:r>
      <w:r w:rsidR="00D960AB">
        <w:t>For-profit entity disposition requirements are set forth at 2 CFR 910.360. Property disposit</w:t>
      </w:r>
      <w:r w:rsidR="00B76CAD">
        <w:t>ion requirements for other non-f</w:t>
      </w:r>
      <w:r w:rsidR="00D960AB">
        <w:t xml:space="preserve">ederal entities are set forth </w:t>
      </w:r>
      <w:r w:rsidR="00D960AB" w:rsidRPr="008858B4">
        <w:t>in 2 CFR 200.310 – 200.316</w:t>
      </w:r>
      <w:r w:rsidR="00A1543B">
        <w:t>.</w:t>
      </w:r>
    </w:p>
    <w:p w14:paraId="0CA22D6D" w14:textId="77777777" w:rsidR="006A24B8" w:rsidRPr="008858B4" w:rsidRDefault="006A24B8" w:rsidP="008858B4"/>
    <w:p w14:paraId="7E4E3EDE" w14:textId="2CFF864B" w:rsidR="00122AA1" w:rsidRPr="00135647" w:rsidRDefault="00016817" w:rsidP="00F836F4">
      <w:pPr>
        <w:pStyle w:val="FOAHeading3"/>
        <w:numPr>
          <w:ilvl w:val="0"/>
          <w:numId w:val="32"/>
        </w:numPr>
        <w:ind w:left="1440"/>
        <w:outlineLvl w:val="2"/>
      </w:pPr>
      <w:bookmarkStart w:id="319" w:name="_Toc109921719"/>
      <w:bookmarkStart w:id="320" w:name="_Toc519602381"/>
      <w:r>
        <w:t>Buy America Requirement</w:t>
      </w:r>
      <w:r w:rsidR="00D74B8D">
        <w:t>s</w:t>
      </w:r>
      <w:r>
        <w:t xml:space="preserve"> for </w:t>
      </w:r>
      <w:r w:rsidR="00122AA1" w:rsidRPr="00135647">
        <w:t>Infrastructure Projects</w:t>
      </w:r>
      <w:bookmarkEnd w:id="319"/>
    </w:p>
    <w:p w14:paraId="32FB4E54" w14:textId="77777777" w:rsidR="003F3D06" w:rsidRPr="003F3D06" w:rsidRDefault="003F3D06" w:rsidP="000408E6">
      <w:pPr>
        <w:pStyle w:val="FOAHeading3"/>
        <w:numPr>
          <w:ilvl w:val="0"/>
          <w:numId w:val="0"/>
        </w:numPr>
        <w:ind w:left="1440"/>
      </w:pPr>
      <w:r w:rsidRPr="003F3D06">
        <w:rPr>
          <w:rFonts w:asciiTheme="minorHAnsi" w:hAnsiTheme="minorHAnsi"/>
          <w:b w:val="0"/>
          <w:sz w:val="24"/>
          <w:szCs w:val="20"/>
        </w:rPr>
        <w:t xml:space="preserve">Federally assisted projects which involve infrastructure work, undertaken by applicable recipient types, require that: </w:t>
      </w:r>
    </w:p>
    <w:p w14:paraId="6DF8AD2D" w14:textId="77777777" w:rsidR="003F3D06" w:rsidRPr="000408E6" w:rsidRDefault="003F3D06" w:rsidP="000408E6"/>
    <w:p w14:paraId="78188E2E" w14:textId="77777777" w:rsidR="003F3D06" w:rsidRPr="000408E6" w:rsidRDefault="003F3D06" w:rsidP="000408E6">
      <w:pPr>
        <w:pStyle w:val="ListParagraph"/>
        <w:numPr>
          <w:ilvl w:val="0"/>
          <w:numId w:val="127"/>
        </w:numPr>
        <w:ind w:left="2160"/>
      </w:pPr>
      <w:r w:rsidRPr="000408E6">
        <w:t xml:space="preserve">all iron, steel, and manufactured products used in the infrastructure work are produced in the United States; and </w:t>
      </w:r>
    </w:p>
    <w:p w14:paraId="61137E35" w14:textId="77777777" w:rsidR="003F3D06" w:rsidRPr="000408E6" w:rsidRDefault="003F3D06" w:rsidP="000408E6">
      <w:pPr>
        <w:pStyle w:val="ListParagraph"/>
        <w:numPr>
          <w:ilvl w:val="0"/>
          <w:numId w:val="127"/>
        </w:numPr>
        <w:ind w:left="2160"/>
      </w:pPr>
      <w:r w:rsidRPr="000408E6">
        <w:t>all construction materials used in the infrastructure work are manufactured in the United States.</w:t>
      </w:r>
      <w:r w:rsidRPr="000408E6">
        <w:rPr>
          <w:rFonts w:eastAsiaTheme="minorHAnsi"/>
        </w:rPr>
        <w:t xml:space="preserve"> </w:t>
      </w:r>
    </w:p>
    <w:p w14:paraId="43DDAF10" w14:textId="77777777" w:rsidR="003F3D06" w:rsidRPr="003F3D06" w:rsidRDefault="003F3D06" w:rsidP="000408E6">
      <w:pPr>
        <w:pStyle w:val="FOAHeading3"/>
        <w:numPr>
          <w:ilvl w:val="0"/>
          <w:numId w:val="0"/>
        </w:numPr>
        <w:ind w:left="2160"/>
      </w:pPr>
    </w:p>
    <w:p w14:paraId="2A91E3A9" w14:textId="0F0BD8BF" w:rsidR="003F3D06" w:rsidRPr="003F3D06" w:rsidRDefault="003F3D06" w:rsidP="000408E6">
      <w:pPr>
        <w:pStyle w:val="FOAHeading3"/>
        <w:numPr>
          <w:ilvl w:val="0"/>
          <w:numId w:val="0"/>
        </w:numPr>
        <w:ind w:left="1440"/>
      </w:pPr>
      <w:r w:rsidRPr="003F3D06">
        <w:rPr>
          <w:rFonts w:asciiTheme="minorHAnsi" w:hAnsiTheme="minorHAnsi"/>
          <w:b w:val="0"/>
          <w:sz w:val="24"/>
          <w:szCs w:val="20"/>
        </w:rPr>
        <w:t xml:space="preserve">Whether a given project must apply this requirement is project-specific and </w:t>
      </w:r>
      <w:r w:rsidR="004532A3" w:rsidRPr="003F3D06">
        <w:rPr>
          <w:rFonts w:asciiTheme="minorHAnsi" w:hAnsiTheme="minorHAnsi"/>
          <w:b w:val="0"/>
          <w:sz w:val="24"/>
          <w:szCs w:val="20"/>
        </w:rPr>
        <w:t>dependent</w:t>
      </w:r>
      <w:r w:rsidRPr="003F3D06">
        <w:rPr>
          <w:rFonts w:asciiTheme="minorHAnsi" w:hAnsiTheme="minorHAnsi"/>
          <w:b w:val="0"/>
          <w:sz w:val="24"/>
          <w:szCs w:val="20"/>
        </w:rPr>
        <w:t xml:space="preserve"> on several factors, such as the recipient’s entity type, whether the work involves “infrastructure,” as that term is defined in Section 70914 of the Bipartisan Infrastructure Law, and whether the infrastructure in question is publicly owned or serves a public function.</w:t>
      </w:r>
    </w:p>
    <w:p w14:paraId="39D7A4FC" w14:textId="77777777" w:rsidR="003F3D06" w:rsidRPr="003F3D06" w:rsidRDefault="003F3D06" w:rsidP="000408E6">
      <w:pPr>
        <w:pStyle w:val="FOAHeading3"/>
        <w:numPr>
          <w:ilvl w:val="0"/>
          <w:numId w:val="0"/>
        </w:numPr>
        <w:ind w:left="1440"/>
      </w:pPr>
    </w:p>
    <w:p w14:paraId="20E1222D" w14:textId="77777777" w:rsidR="003F3D06" w:rsidRPr="003F3D06" w:rsidRDefault="003F3D06" w:rsidP="000408E6">
      <w:pPr>
        <w:pStyle w:val="FOAHeading3"/>
        <w:numPr>
          <w:ilvl w:val="0"/>
          <w:numId w:val="0"/>
        </w:numPr>
        <w:ind w:left="1440"/>
      </w:pPr>
      <w:r w:rsidRPr="003F3D06">
        <w:rPr>
          <w:rFonts w:asciiTheme="minorHAnsi" w:hAnsiTheme="minorHAnsi"/>
          <w:b w:val="0"/>
          <w:sz w:val="24"/>
          <w:szCs w:val="20"/>
        </w:rPr>
        <w:t xml:space="preserve">Applicants are strongly encouraged to consult Appendix D of this FOA to determine whether their project may have to apply this requirement, both to make an early determination as to the need of a waiver, as well as to determine what impact, if any, this requirement may have on the proposed project’s budget.   </w:t>
      </w:r>
    </w:p>
    <w:p w14:paraId="755CBCD9" w14:textId="77777777" w:rsidR="00122AA1" w:rsidRDefault="00122AA1" w:rsidP="000408E6">
      <w:pPr>
        <w:pStyle w:val="FOATemplateBody"/>
        <w:ind w:left="1440"/>
      </w:pPr>
    </w:p>
    <w:p w14:paraId="5D6158E3" w14:textId="01C5C1E7" w:rsidR="00122AA1" w:rsidRPr="00AC63BE" w:rsidRDefault="00122AA1" w:rsidP="00F836F4">
      <w:pPr>
        <w:pStyle w:val="FOAHeading3"/>
        <w:numPr>
          <w:ilvl w:val="0"/>
          <w:numId w:val="32"/>
        </w:numPr>
        <w:ind w:left="1440"/>
        <w:outlineLvl w:val="2"/>
      </w:pPr>
      <w:bookmarkStart w:id="321" w:name="_Toc109921720"/>
      <w:r w:rsidRPr="00DB1DE6">
        <w:t>Davis-Bacon Act Requirements</w:t>
      </w:r>
      <w:bookmarkEnd w:id="321"/>
    </w:p>
    <w:p w14:paraId="4437DF2A" w14:textId="77777777" w:rsidR="003F3D06" w:rsidRPr="003F3D06" w:rsidRDefault="003F3D06" w:rsidP="003F3D06">
      <w:pPr>
        <w:pStyle w:val="FOATemplateBody"/>
        <w:ind w:left="1440"/>
        <w:rPr>
          <w:rFonts w:asciiTheme="minorHAnsi" w:hAnsiTheme="minorHAnsi"/>
        </w:rPr>
      </w:pPr>
      <w:r w:rsidRPr="003F3D06">
        <w:rPr>
          <w:rFonts w:asciiTheme="minorHAnsi" w:hAnsiTheme="minorHAnsi"/>
        </w:rPr>
        <w:t>Projects awarded</w:t>
      </w:r>
      <w:r w:rsidRPr="003F3D06">
        <w:t xml:space="preserve"> under this FOA will be funded under Division D of the Bipartisan Infrastructure Law. Accordingly, per section 41101 of that law, </w:t>
      </w:r>
      <w:r w:rsidRPr="003F3D06">
        <w:rPr>
          <w:rFonts w:asciiTheme="minorHAnsi" w:hAnsiTheme="minorHAnsi"/>
        </w:rPr>
        <w:t xml:space="preserve">all laborers and mechanics employed by the applicant, subrecipients, contractors or subcontractors in the performance of construction, alteration, or repair work funded in whole or in part under this FOA shall be paid wages at rates not less than those prevailing on similar projects in the locality, as determined by the Secretary of Labor in accordance with subchapter IV of chapter 31 of title 40, United States Code commonly referred to as the “Davis-Bacon Act” (DBA). </w:t>
      </w:r>
    </w:p>
    <w:p w14:paraId="2E79331D" w14:textId="77777777" w:rsidR="003F3D06" w:rsidRPr="003F3D06" w:rsidRDefault="003F3D06" w:rsidP="003F3D06">
      <w:pPr>
        <w:pStyle w:val="FOATemplateBody"/>
        <w:ind w:left="1440"/>
        <w:rPr>
          <w:rFonts w:asciiTheme="minorHAnsi" w:hAnsiTheme="minorHAnsi"/>
        </w:rPr>
      </w:pPr>
    </w:p>
    <w:p w14:paraId="7AAAA5BD" w14:textId="77777777" w:rsidR="003F3D06" w:rsidRPr="003F3D06" w:rsidRDefault="003F3D06" w:rsidP="003F3D06">
      <w:pPr>
        <w:pStyle w:val="FOATemplateBody"/>
        <w:ind w:left="1440"/>
        <w:rPr>
          <w:rFonts w:asciiTheme="minorHAnsi" w:hAnsiTheme="minorHAnsi"/>
        </w:rPr>
      </w:pPr>
      <w:r w:rsidRPr="003F3D06">
        <w:rPr>
          <w:rFonts w:asciiTheme="minorHAnsi" w:hAnsiTheme="minorHAnsi"/>
        </w:rPr>
        <w:t xml:space="preserve">Applicants shall provide written assurance acknowledging the DBA requirements above, and confirming that the laborers and mechanics performing construction, alteration, or repair work on projects funded in whole or in part by awards made as a result of this FOA are paid or will be paid wages at rates not less than those prevailing on projects of a character similar in the locality as determined by subchapter IV of Chapter 31 of Title 40, United States Code (Davis-Bacon Act).  </w:t>
      </w:r>
    </w:p>
    <w:p w14:paraId="7FA54B6D" w14:textId="77777777" w:rsidR="003F3D06" w:rsidRPr="003F3D06" w:rsidRDefault="003F3D06" w:rsidP="003F3D06">
      <w:pPr>
        <w:pStyle w:val="FOATemplateBody"/>
        <w:rPr>
          <w:rFonts w:asciiTheme="minorHAnsi" w:hAnsiTheme="minorHAnsi"/>
        </w:rPr>
      </w:pPr>
    </w:p>
    <w:p w14:paraId="034B99E6" w14:textId="77777777" w:rsidR="003F3D06" w:rsidRPr="003F3D06" w:rsidRDefault="003F3D06" w:rsidP="003F3D06">
      <w:pPr>
        <w:pStyle w:val="FOATemplateBody"/>
        <w:ind w:left="1440"/>
        <w:rPr>
          <w:rFonts w:asciiTheme="minorHAnsi" w:hAnsiTheme="minorHAnsi"/>
        </w:rPr>
      </w:pPr>
      <w:r w:rsidRPr="003F3D06">
        <w:rPr>
          <w:rFonts w:asciiTheme="minorHAnsi" w:hAnsiTheme="minorHAnsi"/>
        </w:rPr>
        <w:t xml:space="preserve">Applicants acknowledge that they will comply with </w:t>
      </w:r>
      <w:proofErr w:type="gramStart"/>
      <w:r w:rsidRPr="003F3D06">
        <w:rPr>
          <w:rFonts w:asciiTheme="minorHAnsi" w:hAnsiTheme="minorHAnsi"/>
        </w:rPr>
        <w:t>all of</w:t>
      </w:r>
      <w:proofErr w:type="gramEnd"/>
      <w:r w:rsidRPr="003F3D06">
        <w:rPr>
          <w:rFonts w:asciiTheme="minorHAnsi" w:hAnsiTheme="minorHAnsi"/>
        </w:rPr>
        <w:t xml:space="preserve"> the Davis-Bacon Act requirements, including but not limited to:</w:t>
      </w:r>
    </w:p>
    <w:p w14:paraId="065BC56E" w14:textId="77777777" w:rsidR="003F3D06" w:rsidRPr="003F3D06" w:rsidRDefault="003F3D06" w:rsidP="003F3D06">
      <w:pPr>
        <w:pStyle w:val="FOATemplateBody"/>
        <w:ind w:left="1440"/>
        <w:rPr>
          <w:rFonts w:asciiTheme="minorHAnsi" w:hAnsiTheme="minorHAnsi"/>
        </w:rPr>
      </w:pPr>
    </w:p>
    <w:p w14:paraId="09B1BB46" w14:textId="77777777" w:rsidR="003F3D06" w:rsidRPr="003F3D06" w:rsidRDefault="003F3D06" w:rsidP="003F3D06">
      <w:pPr>
        <w:pStyle w:val="FOATemplateBody"/>
        <w:ind w:left="1872"/>
        <w:rPr>
          <w:rFonts w:asciiTheme="minorHAnsi" w:hAnsiTheme="minorHAnsi"/>
        </w:rPr>
      </w:pPr>
      <w:r w:rsidRPr="003F3D06" w:rsidDel="005E47DB">
        <w:rPr>
          <w:rFonts w:asciiTheme="minorHAnsi" w:hAnsiTheme="minorHAnsi"/>
        </w:rPr>
        <w:t xml:space="preserve">(1) </w:t>
      </w:r>
      <w:r w:rsidRPr="003F3D06">
        <w:rPr>
          <w:rFonts w:asciiTheme="minorHAnsi" w:hAnsiTheme="minorHAnsi"/>
        </w:rPr>
        <w:t>ensuring that the wage determination(s) and appropriate Davis-Bacon clauses and requirements are flowed down to and incorporated into any applicable subcontracts or subrecipient awards.</w:t>
      </w:r>
    </w:p>
    <w:p w14:paraId="026A1A48" w14:textId="77777777" w:rsidR="003F3D06" w:rsidRPr="003F3D06" w:rsidRDefault="003F3D06" w:rsidP="003F3D06">
      <w:pPr>
        <w:pStyle w:val="FOATemplateBody"/>
        <w:ind w:left="1872"/>
        <w:rPr>
          <w:rFonts w:asciiTheme="minorHAnsi" w:hAnsiTheme="minorHAnsi"/>
        </w:rPr>
      </w:pPr>
    </w:p>
    <w:p w14:paraId="3B7EE6AB" w14:textId="77777777" w:rsidR="003F3D06" w:rsidRPr="003F3D06" w:rsidRDefault="003F3D06" w:rsidP="003F3D06">
      <w:pPr>
        <w:pStyle w:val="FOATemplateBody"/>
        <w:ind w:left="1872"/>
        <w:rPr>
          <w:rFonts w:asciiTheme="minorHAnsi" w:hAnsiTheme="minorHAnsi"/>
        </w:rPr>
      </w:pPr>
      <w:r w:rsidRPr="003F3D06">
        <w:rPr>
          <w:rFonts w:asciiTheme="minorHAnsi" w:hAnsiTheme="minorHAnsi"/>
        </w:rPr>
        <w:t>(2) ensuring that if wage determination(s) and appropriate Davis-Bacon clauses and requirements are improperly omitted from contracts and subrecipient awards, the applicable wage determination(s) and clauses are retroactively incorporated to the start of performance.</w:t>
      </w:r>
    </w:p>
    <w:p w14:paraId="0E640F00" w14:textId="77777777" w:rsidR="003F3D06" w:rsidRPr="003F3D06" w:rsidRDefault="003F3D06" w:rsidP="003F3D06">
      <w:pPr>
        <w:pStyle w:val="FOATemplateBody"/>
        <w:ind w:left="1872"/>
        <w:rPr>
          <w:rFonts w:asciiTheme="minorHAnsi" w:hAnsiTheme="minorHAnsi"/>
        </w:rPr>
      </w:pPr>
    </w:p>
    <w:p w14:paraId="2FA028E0" w14:textId="77777777" w:rsidR="003F3D06" w:rsidRPr="003F3D06" w:rsidRDefault="003F3D06" w:rsidP="003F3D06">
      <w:pPr>
        <w:pStyle w:val="FOATemplateBody"/>
        <w:ind w:left="1872"/>
        <w:rPr>
          <w:rFonts w:asciiTheme="minorHAnsi" w:hAnsiTheme="minorHAnsi"/>
        </w:rPr>
      </w:pPr>
      <w:r w:rsidRPr="003F3D06">
        <w:rPr>
          <w:rFonts w:asciiTheme="minorHAnsi" w:hAnsiTheme="minorHAnsi"/>
        </w:rPr>
        <w:t xml:space="preserve">(3) being responsible for compliance by any subcontractor or subrecipient with the Davis-Bacon labor standards. </w:t>
      </w:r>
    </w:p>
    <w:p w14:paraId="2E4CE3DB" w14:textId="77777777" w:rsidR="003F3D06" w:rsidRPr="003F3D06" w:rsidRDefault="003F3D06" w:rsidP="003F3D06">
      <w:pPr>
        <w:pStyle w:val="FOATemplateBody"/>
        <w:ind w:left="1872"/>
        <w:rPr>
          <w:rFonts w:asciiTheme="minorHAnsi" w:hAnsiTheme="minorHAnsi"/>
        </w:rPr>
      </w:pPr>
    </w:p>
    <w:p w14:paraId="56CE112A" w14:textId="77777777" w:rsidR="003F3D06" w:rsidRPr="003F3D06" w:rsidRDefault="003F3D06" w:rsidP="003F3D06">
      <w:pPr>
        <w:pStyle w:val="FOATemplateBody"/>
        <w:ind w:left="1872"/>
        <w:rPr>
          <w:rFonts w:asciiTheme="minorHAnsi" w:hAnsiTheme="minorHAnsi"/>
        </w:rPr>
      </w:pPr>
      <w:r w:rsidRPr="003F3D06">
        <w:rPr>
          <w:rFonts w:asciiTheme="minorHAnsi" w:hAnsiTheme="minorHAnsi"/>
        </w:rPr>
        <w:t xml:space="preserve">(4) receiving and reviewing certified weekly payrolls submitted by all subcontractors and subrecipients for accuracy and to identify potential compliance issues. </w:t>
      </w:r>
    </w:p>
    <w:p w14:paraId="3A755279" w14:textId="77777777" w:rsidR="003F3D06" w:rsidRPr="003F3D06" w:rsidRDefault="003F3D06" w:rsidP="003F3D06">
      <w:pPr>
        <w:pStyle w:val="FOATemplateBody"/>
        <w:ind w:left="1872"/>
        <w:rPr>
          <w:rFonts w:asciiTheme="minorHAnsi" w:hAnsiTheme="minorHAnsi"/>
        </w:rPr>
      </w:pPr>
    </w:p>
    <w:p w14:paraId="41E9BA1C" w14:textId="77777777" w:rsidR="003F3D06" w:rsidRPr="003F3D06" w:rsidRDefault="003F3D06" w:rsidP="003F3D06">
      <w:pPr>
        <w:pStyle w:val="FOATemplateBody"/>
        <w:ind w:left="1872"/>
        <w:rPr>
          <w:rFonts w:asciiTheme="minorHAnsi" w:hAnsiTheme="minorHAnsi"/>
        </w:rPr>
      </w:pPr>
      <w:r w:rsidRPr="003F3D06">
        <w:rPr>
          <w:rFonts w:asciiTheme="minorHAnsi" w:hAnsiTheme="minorHAnsi"/>
        </w:rPr>
        <w:t xml:space="preserve">(5) maintaining original certified weekly payrolls for 3 years after the completion of the project and must make those payrolls available to the DOE or the Department of Labor upon request, as required by 29 CFR 5.6(a)(2). </w:t>
      </w:r>
    </w:p>
    <w:p w14:paraId="3E9588F5" w14:textId="77777777" w:rsidR="003F3D06" w:rsidRPr="003F3D06" w:rsidRDefault="003F3D06" w:rsidP="003F3D06">
      <w:pPr>
        <w:pStyle w:val="FOATemplateBody"/>
        <w:ind w:left="1872"/>
        <w:rPr>
          <w:rFonts w:asciiTheme="minorHAnsi" w:hAnsiTheme="minorHAnsi"/>
        </w:rPr>
      </w:pPr>
    </w:p>
    <w:p w14:paraId="09B3EF1B" w14:textId="77777777" w:rsidR="003F3D06" w:rsidRPr="003F3D06" w:rsidRDefault="003F3D06" w:rsidP="003F3D06">
      <w:pPr>
        <w:pStyle w:val="FOATemplateBody"/>
        <w:ind w:left="1872"/>
        <w:rPr>
          <w:rFonts w:asciiTheme="minorHAnsi" w:hAnsiTheme="minorHAnsi"/>
        </w:rPr>
      </w:pPr>
      <w:r w:rsidRPr="003F3D06">
        <w:rPr>
          <w:rFonts w:asciiTheme="minorHAnsi" w:hAnsiTheme="minorHAnsi"/>
        </w:rPr>
        <w:t xml:space="preserve">(6) conducting payroll and job-site reviews for construction work, including interviews with employees, with such frequency as may be necessary to assure compliance by its subcontractors and subrecipients and as requested or directed by the DOE. </w:t>
      </w:r>
    </w:p>
    <w:p w14:paraId="56E898F4" w14:textId="77777777" w:rsidR="003F3D06" w:rsidRPr="003F3D06" w:rsidRDefault="003F3D06" w:rsidP="003F3D06">
      <w:pPr>
        <w:pStyle w:val="FOATemplateBody"/>
        <w:ind w:left="1872"/>
        <w:rPr>
          <w:rFonts w:asciiTheme="minorHAnsi" w:hAnsiTheme="minorHAnsi"/>
        </w:rPr>
      </w:pPr>
    </w:p>
    <w:p w14:paraId="3440A0AF" w14:textId="77777777" w:rsidR="003F3D06" w:rsidRPr="003F3D06" w:rsidRDefault="003F3D06" w:rsidP="003F3D06">
      <w:pPr>
        <w:pStyle w:val="FOATemplateBody"/>
        <w:ind w:left="1872"/>
        <w:rPr>
          <w:rFonts w:asciiTheme="minorHAnsi" w:hAnsiTheme="minorHAnsi"/>
        </w:rPr>
      </w:pPr>
      <w:r w:rsidRPr="003F3D06">
        <w:rPr>
          <w:rFonts w:asciiTheme="minorHAnsi" w:hAnsiTheme="minorHAnsi"/>
        </w:rPr>
        <w:t xml:space="preserve">(7) cooperating with any authorized representative of the Department of Labor in their inspection of records, interviews with employees, and other actions undertaken as part of a Department of Labor investigation. </w:t>
      </w:r>
    </w:p>
    <w:p w14:paraId="2E611D76" w14:textId="77777777" w:rsidR="003F3D06" w:rsidRPr="003F3D06" w:rsidRDefault="003F3D06" w:rsidP="003F3D06">
      <w:pPr>
        <w:pStyle w:val="FOATemplateBody"/>
        <w:ind w:left="1872"/>
        <w:rPr>
          <w:rFonts w:asciiTheme="minorHAnsi" w:hAnsiTheme="minorHAnsi"/>
        </w:rPr>
      </w:pPr>
    </w:p>
    <w:p w14:paraId="5EB40112" w14:textId="77777777" w:rsidR="003F3D06" w:rsidRPr="003F3D06" w:rsidRDefault="003F3D06" w:rsidP="003F3D06">
      <w:pPr>
        <w:pStyle w:val="FOATemplateBody"/>
        <w:ind w:left="1872"/>
        <w:rPr>
          <w:rFonts w:asciiTheme="minorHAnsi" w:hAnsiTheme="minorHAnsi"/>
        </w:rPr>
      </w:pPr>
      <w:r w:rsidRPr="003F3D06">
        <w:rPr>
          <w:rFonts w:asciiTheme="minorHAnsi" w:hAnsiTheme="minorHAnsi"/>
        </w:rPr>
        <w:t xml:space="preserve">(8) posting in a prominent and accessible place the wage determination(s) and Department of Labor Publication: WH-1321, Notice to Employees Working on Federal or Federally Assisted Construction Projects. </w:t>
      </w:r>
    </w:p>
    <w:p w14:paraId="3A99FB23" w14:textId="77777777" w:rsidR="003F3D06" w:rsidRPr="003F3D06" w:rsidRDefault="003F3D06" w:rsidP="003F3D06">
      <w:pPr>
        <w:pStyle w:val="FOATemplateBody"/>
        <w:ind w:left="1872"/>
        <w:rPr>
          <w:rFonts w:asciiTheme="minorHAnsi" w:hAnsiTheme="minorHAnsi"/>
        </w:rPr>
      </w:pPr>
    </w:p>
    <w:p w14:paraId="40444143" w14:textId="77777777" w:rsidR="003F3D06" w:rsidRPr="003F3D06" w:rsidRDefault="003F3D06" w:rsidP="003F3D06">
      <w:pPr>
        <w:pStyle w:val="FOATemplateBody"/>
        <w:ind w:left="1872"/>
        <w:rPr>
          <w:rFonts w:asciiTheme="minorHAnsi" w:hAnsiTheme="minorHAnsi"/>
        </w:rPr>
      </w:pPr>
      <w:r w:rsidRPr="003F3D06">
        <w:rPr>
          <w:rFonts w:asciiTheme="minorHAnsi" w:hAnsiTheme="minorHAnsi"/>
        </w:rPr>
        <w:t xml:space="preserve">(9) notifying the Contracting Officer of all labor standards issues, including all complaints regarding incorrect payment of prevailing wages and/or fringe benefits, received from the recipient, subrecipient, contractor, or subcontractor employees; significant labor standards violations, as defined in 29 CFR 5.7; disputes concerning labor standards pursuant to 29 CFR parts 4, 6, and 8 and as defined in FAR 52.222-14; disputed labor standards determinations; Department of Labor investigations; or legal or judicial proceedings related to the labor standards under this Contract, a subcontract, or subrecipient award. </w:t>
      </w:r>
    </w:p>
    <w:p w14:paraId="15886F20" w14:textId="77777777" w:rsidR="003F3D06" w:rsidRPr="003F3D06" w:rsidRDefault="003F3D06" w:rsidP="003F3D06">
      <w:pPr>
        <w:pStyle w:val="FOATemplateBody"/>
        <w:ind w:left="1872"/>
        <w:rPr>
          <w:rFonts w:asciiTheme="minorHAnsi" w:hAnsiTheme="minorHAnsi"/>
        </w:rPr>
      </w:pPr>
    </w:p>
    <w:p w14:paraId="2E1BD28D" w14:textId="77777777" w:rsidR="003F3D06" w:rsidRPr="003F3D06" w:rsidRDefault="003F3D06" w:rsidP="003F3D06">
      <w:pPr>
        <w:pStyle w:val="FOATemplateBody"/>
        <w:ind w:left="1872"/>
        <w:rPr>
          <w:rFonts w:asciiTheme="minorHAnsi" w:hAnsiTheme="minorHAnsi"/>
        </w:rPr>
      </w:pPr>
      <w:r w:rsidRPr="003F3D06">
        <w:rPr>
          <w:rFonts w:asciiTheme="minorHAnsi" w:hAnsiTheme="minorHAnsi"/>
        </w:rPr>
        <w:t xml:space="preserve">(10) preparing and submitting to the Contracting Officer, the Office of Management and Budget Control Number 1910-5165, Davis Bacon Semi-Annual Labor Compliance Report, by April 21 and October 21 of each year. Form submittal will be administered through the </w:t>
      </w:r>
      <w:proofErr w:type="spellStart"/>
      <w:r w:rsidRPr="003F3D06">
        <w:rPr>
          <w:rFonts w:asciiTheme="minorHAnsi" w:hAnsiTheme="minorHAnsi"/>
        </w:rPr>
        <w:t>iBenefits</w:t>
      </w:r>
      <w:proofErr w:type="spellEnd"/>
      <w:r w:rsidRPr="003F3D06">
        <w:rPr>
          <w:rFonts w:asciiTheme="minorHAnsi" w:hAnsiTheme="minorHAnsi"/>
        </w:rPr>
        <w:t xml:space="preserve"> system (https://doeibenefits2.energy.gov) or its successor system.</w:t>
      </w:r>
    </w:p>
    <w:p w14:paraId="7C694056" w14:textId="77777777" w:rsidR="003F3D06" w:rsidRPr="003F3D06" w:rsidRDefault="003F3D06" w:rsidP="003F3D06">
      <w:pPr>
        <w:pStyle w:val="FOATemplateBody"/>
        <w:ind w:left="1440"/>
        <w:rPr>
          <w:rFonts w:asciiTheme="minorHAnsi" w:hAnsiTheme="minorHAnsi"/>
        </w:rPr>
      </w:pPr>
    </w:p>
    <w:p w14:paraId="6CD630A1" w14:textId="77777777" w:rsidR="003F3D06" w:rsidRPr="003F3D06" w:rsidRDefault="003F3D06" w:rsidP="003F3D06">
      <w:pPr>
        <w:pStyle w:val="FOATemplateBody"/>
        <w:ind w:left="1440"/>
        <w:rPr>
          <w:rFonts w:asciiTheme="minorHAnsi" w:hAnsiTheme="minorHAnsi"/>
        </w:rPr>
      </w:pPr>
      <w:r w:rsidRPr="003F3D06">
        <w:rPr>
          <w:rFonts w:asciiTheme="minorHAnsi" w:hAnsiTheme="minorHAnsi"/>
        </w:rPr>
        <w:t xml:space="preserve">Recipients of funding under this FOA will also be required to undergo Davis-Bacon Act compliance training and to maintain competency in Davis-Bacon Act compliance.  The Contracting Officer will notify the recipient of any DOE sponsored Davis-Bacon Act compliance trainings. The U.S. Department of Labor (“DOL”) offers free Prevailing Wage Seminars several times a year that meet this requirement, at </w:t>
      </w:r>
      <w:hyperlink r:id="rId59" w:history="1">
        <w:r w:rsidRPr="003F3D06">
          <w:rPr>
            <w:rStyle w:val="Hyperlink"/>
            <w:rFonts w:asciiTheme="minorHAnsi" w:hAnsiTheme="minorHAnsi"/>
          </w:rPr>
          <w:t>https://www.dol.gov/agencies/whd/government-contracts/construction/seminars/events</w:t>
        </w:r>
      </w:hyperlink>
      <w:r w:rsidRPr="003F3D06">
        <w:rPr>
          <w:rFonts w:asciiTheme="minorHAnsi" w:hAnsiTheme="minorHAnsi"/>
        </w:rPr>
        <w:t>.</w:t>
      </w:r>
    </w:p>
    <w:p w14:paraId="70148766" w14:textId="77777777" w:rsidR="003F3D06" w:rsidRPr="003F3D06" w:rsidRDefault="003F3D06" w:rsidP="003F3D06">
      <w:pPr>
        <w:pStyle w:val="FOATemplateBody"/>
        <w:ind w:left="1440"/>
        <w:rPr>
          <w:rFonts w:asciiTheme="minorHAnsi" w:hAnsiTheme="minorHAnsi"/>
        </w:rPr>
      </w:pPr>
    </w:p>
    <w:p w14:paraId="5E9B3815" w14:textId="77777777" w:rsidR="003F3D06" w:rsidRDefault="003F3D06" w:rsidP="003F3D06">
      <w:pPr>
        <w:pStyle w:val="FOATemplateBody"/>
        <w:ind w:left="1440"/>
        <w:rPr>
          <w:rFonts w:asciiTheme="minorHAnsi" w:hAnsiTheme="minorHAnsi"/>
        </w:rPr>
      </w:pPr>
      <w:r w:rsidRPr="003F3D06">
        <w:rPr>
          <w:rFonts w:asciiTheme="minorHAnsi" w:hAnsiTheme="minorHAnsi"/>
        </w:rPr>
        <w:t xml:space="preserve">For additional guidance on how to comply with the Davis-Bacon provisions and clauses, see </w:t>
      </w:r>
      <w:hyperlink r:id="rId60" w:history="1">
        <w:r w:rsidRPr="003F3D06">
          <w:rPr>
            <w:rStyle w:val="Hyperlink"/>
            <w:rFonts w:asciiTheme="minorHAnsi" w:hAnsiTheme="minorHAnsi"/>
          </w:rPr>
          <w:t>https://www.dol.gov/agencies/whd/government-contracts/construction</w:t>
        </w:r>
      </w:hyperlink>
      <w:r w:rsidRPr="003F3D06">
        <w:rPr>
          <w:rFonts w:asciiTheme="minorHAnsi" w:hAnsiTheme="minorHAnsi"/>
        </w:rPr>
        <w:t xml:space="preserve">  and  </w:t>
      </w:r>
      <w:hyperlink r:id="rId61" w:history="1">
        <w:r w:rsidRPr="003F3D06">
          <w:rPr>
            <w:rStyle w:val="Hyperlink"/>
            <w:rFonts w:asciiTheme="minorHAnsi" w:hAnsiTheme="minorHAnsi"/>
          </w:rPr>
          <w:t>https://www.dol.gov/agencies/whd/government-contracts/protections-for-workers-in-construction</w:t>
        </w:r>
      </w:hyperlink>
      <w:r w:rsidRPr="003F3D06">
        <w:rPr>
          <w:rFonts w:asciiTheme="minorHAnsi" w:hAnsiTheme="minorHAnsi"/>
        </w:rPr>
        <w:t xml:space="preserve"> .</w:t>
      </w:r>
    </w:p>
    <w:p w14:paraId="39720CA8" w14:textId="77777777" w:rsidR="00324858" w:rsidRDefault="00324858" w:rsidP="00122AA1">
      <w:pPr>
        <w:ind w:left="1440"/>
      </w:pPr>
    </w:p>
    <w:p w14:paraId="44B553B0" w14:textId="6C290FC1" w:rsidR="006A24B8" w:rsidRPr="00872882" w:rsidRDefault="004E672B" w:rsidP="00F836F4">
      <w:pPr>
        <w:pStyle w:val="FOAHeading3"/>
        <w:numPr>
          <w:ilvl w:val="0"/>
          <w:numId w:val="32"/>
        </w:numPr>
        <w:ind w:left="1440"/>
        <w:outlineLvl w:val="2"/>
      </w:pPr>
      <w:bookmarkStart w:id="322" w:name="_Toc109921721"/>
      <w:r w:rsidRPr="00C72CE2">
        <w:t>Lobbying</w:t>
      </w:r>
      <w:bookmarkEnd w:id="320"/>
      <w:bookmarkEnd w:id="322"/>
    </w:p>
    <w:p w14:paraId="7B585D67" w14:textId="77777777" w:rsidR="006A24B8" w:rsidRPr="008858B4" w:rsidRDefault="004E672B" w:rsidP="00A53BBC">
      <w:pPr>
        <w:ind w:left="1440"/>
      </w:pPr>
      <w:r w:rsidRPr="008858B4">
        <w:t xml:space="preserve">Recipients and </w:t>
      </w:r>
      <w:r w:rsidR="00496B2A">
        <w:t>s</w:t>
      </w:r>
      <w:r w:rsidR="00496B2A" w:rsidRPr="008858B4">
        <w:t xml:space="preserve">ubrecipients </w:t>
      </w:r>
      <w:r w:rsidRPr="008858B4">
        <w:t xml:space="preserve">may not use any </w:t>
      </w:r>
      <w:r w:rsidR="00506F43">
        <w:t>f</w:t>
      </w:r>
      <w:r w:rsidR="00506F43" w:rsidRPr="008858B4">
        <w:t xml:space="preserve">ederal </w:t>
      </w:r>
      <w:r w:rsidRPr="008858B4">
        <w:t>funds to influence or attempt to influence, directly or indirectly, congressional action on any legislative or appropriation matters.</w:t>
      </w:r>
    </w:p>
    <w:p w14:paraId="080429CA" w14:textId="77777777" w:rsidR="006A24B8" w:rsidRPr="008858B4" w:rsidRDefault="006A24B8" w:rsidP="00A53BBC">
      <w:pPr>
        <w:ind w:left="1440" w:hanging="180"/>
      </w:pPr>
    </w:p>
    <w:p w14:paraId="22C3D71E" w14:textId="3E48B437" w:rsidR="006A24B8" w:rsidRPr="008858B4" w:rsidRDefault="004E672B" w:rsidP="00A53BBC">
      <w:pPr>
        <w:ind w:left="1440"/>
      </w:pPr>
      <w:r w:rsidRPr="008858B4">
        <w:t xml:space="preserve">Recipients and </w:t>
      </w:r>
      <w:r w:rsidR="00496B2A">
        <w:t>s</w:t>
      </w:r>
      <w:r w:rsidR="00496B2A" w:rsidRPr="008858B4">
        <w:t xml:space="preserve">ubrecipients </w:t>
      </w:r>
      <w:r w:rsidRPr="008858B4">
        <w:t>are required to complete and submit SF-LLL, “Disclosure of Lobbying Activities” (</w:t>
      </w:r>
      <w:hyperlink r:id="rId62" w:history="1">
        <w:r w:rsidR="00A52A6D">
          <w:rPr>
            <w:rStyle w:val="Hyperlink"/>
          </w:rPr>
          <w:t>https://www.grants.gov/web/grants/forms/sf-424-individual-family.html</w:t>
        </w:r>
      </w:hyperlink>
      <w:r w:rsidRPr="008858B4">
        <w:t xml:space="preserve">) </w:t>
      </w:r>
      <w:r w:rsidR="00A52A6D" w:rsidRPr="00AF2304">
        <w:rPr>
          <w:rFonts w:ascii="Calibri" w:hAnsi="Calibri"/>
        </w:rPr>
        <w:t>to ensure that non-</w:t>
      </w:r>
      <w:r w:rsidR="00506F43">
        <w:rPr>
          <w:rFonts w:ascii="Calibri" w:hAnsi="Calibri"/>
        </w:rPr>
        <w:t>f</w:t>
      </w:r>
      <w:r w:rsidR="00506F43" w:rsidRPr="00AF2304">
        <w:rPr>
          <w:rFonts w:ascii="Calibri" w:hAnsi="Calibri"/>
        </w:rPr>
        <w:t xml:space="preserve">ederal </w:t>
      </w:r>
      <w:r w:rsidR="00A52A6D" w:rsidRPr="00AF2304">
        <w:rPr>
          <w:rFonts w:ascii="Calibri" w:hAnsi="Calibri"/>
        </w:rPr>
        <w:t xml:space="preserve">funds have not been paid </w:t>
      </w:r>
      <w:r w:rsidR="001F3E66" w:rsidRPr="00AF2304">
        <w:rPr>
          <w:rFonts w:ascii="Calibri" w:hAnsi="Calibri"/>
        </w:rPr>
        <w:t>and</w:t>
      </w:r>
      <w:r w:rsidR="00A52A6D" w:rsidRPr="00AF2304">
        <w:rPr>
          <w:rFonts w:ascii="Calibri" w:hAnsi="Calibri"/>
        </w:rPr>
        <w:t xml:space="preserve"> will not be paid to any person for influencing or attempting to influence any of the following in connection with </w:t>
      </w:r>
      <w:r w:rsidR="004A082A">
        <w:rPr>
          <w:rFonts w:ascii="Calibri" w:hAnsi="Calibri"/>
        </w:rPr>
        <w:t>the</w:t>
      </w:r>
      <w:r w:rsidR="004A082A" w:rsidRPr="00AF2304">
        <w:rPr>
          <w:rFonts w:ascii="Calibri" w:hAnsi="Calibri"/>
        </w:rPr>
        <w:t xml:space="preserve"> </w:t>
      </w:r>
      <w:r w:rsidR="00A52A6D" w:rsidRPr="00AF2304">
        <w:rPr>
          <w:rFonts w:ascii="Calibri" w:hAnsi="Calibri"/>
        </w:rPr>
        <w:t>application:</w:t>
      </w:r>
    </w:p>
    <w:p w14:paraId="4E205E3C" w14:textId="0636815E" w:rsidR="006A24B8" w:rsidRPr="008858B4" w:rsidRDefault="006A24B8" w:rsidP="00163C59">
      <w:pPr>
        <w:ind w:left="1620" w:hanging="180"/>
      </w:pPr>
    </w:p>
    <w:p w14:paraId="4ACBF073" w14:textId="774C8F62" w:rsidR="006A24B8" w:rsidRPr="008858B4" w:rsidRDefault="004E672B" w:rsidP="00AA4320">
      <w:pPr>
        <w:pStyle w:val="ListParagraph"/>
        <w:numPr>
          <w:ilvl w:val="0"/>
          <w:numId w:val="12"/>
        </w:numPr>
      </w:pPr>
      <w:r w:rsidRPr="008858B4">
        <w:t xml:space="preserve">An officer or employee of any </w:t>
      </w:r>
      <w:r w:rsidR="00506F43">
        <w:t>f</w:t>
      </w:r>
      <w:r w:rsidR="00506F43" w:rsidRPr="008858B4">
        <w:t xml:space="preserve">ederal </w:t>
      </w:r>
      <w:proofErr w:type="gramStart"/>
      <w:r w:rsidRPr="008858B4">
        <w:t>agency;</w:t>
      </w:r>
      <w:proofErr w:type="gramEnd"/>
    </w:p>
    <w:p w14:paraId="0CD43EA7" w14:textId="70C6F74F" w:rsidR="006A24B8" w:rsidRPr="008858B4" w:rsidRDefault="004E672B" w:rsidP="00AA4320">
      <w:pPr>
        <w:pStyle w:val="ListParagraph"/>
        <w:numPr>
          <w:ilvl w:val="0"/>
          <w:numId w:val="12"/>
        </w:numPr>
      </w:pPr>
      <w:r w:rsidRPr="008858B4">
        <w:t xml:space="preserve">A Member of </w:t>
      </w:r>
      <w:proofErr w:type="gramStart"/>
      <w:r w:rsidRPr="008858B4">
        <w:t>Congress;</w:t>
      </w:r>
      <w:proofErr w:type="gramEnd"/>
    </w:p>
    <w:p w14:paraId="45743C19" w14:textId="5A6155B3" w:rsidR="006A24B8" w:rsidRPr="008858B4" w:rsidRDefault="004E672B" w:rsidP="00AA4320">
      <w:pPr>
        <w:pStyle w:val="ListParagraph"/>
        <w:numPr>
          <w:ilvl w:val="0"/>
          <w:numId w:val="12"/>
        </w:numPr>
      </w:pPr>
      <w:r w:rsidRPr="008858B4">
        <w:t>An officer or employee of Congress; or</w:t>
      </w:r>
    </w:p>
    <w:p w14:paraId="1732641A" w14:textId="19C7E9C3" w:rsidR="006A24B8" w:rsidRPr="008858B4" w:rsidRDefault="004E672B" w:rsidP="00AA4320">
      <w:pPr>
        <w:pStyle w:val="ListParagraph"/>
        <w:numPr>
          <w:ilvl w:val="0"/>
          <w:numId w:val="12"/>
        </w:numPr>
      </w:pPr>
      <w:r w:rsidRPr="008858B4">
        <w:t>An employee of a Member of Congress.</w:t>
      </w:r>
    </w:p>
    <w:p w14:paraId="0336E4D5" w14:textId="77777777" w:rsidR="006A24B8" w:rsidRPr="008858B4" w:rsidRDefault="006A24B8" w:rsidP="008858B4"/>
    <w:p w14:paraId="6BF5795F" w14:textId="48CF280F" w:rsidR="006A24B8" w:rsidRPr="00872882" w:rsidRDefault="004E672B" w:rsidP="00F836F4">
      <w:pPr>
        <w:pStyle w:val="FOAHeading3"/>
        <w:numPr>
          <w:ilvl w:val="0"/>
          <w:numId w:val="32"/>
        </w:numPr>
        <w:ind w:left="1440"/>
        <w:outlineLvl w:val="2"/>
      </w:pPr>
      <w:bookmarkStart w:id="323" w:name="_Toc519602382"/>
      <w:bookmarkStart w:id="324" w:name="_Toc109921722"/>
      <w:r w:rsidRPr="00C72CE2">
        <w:t>Risk Assessment</w:t>
      </w:r>
      <w:bookmarkEnd w:id="323"/>
      <w:bookmarkEnd w:id="324"/>
    </w:p>
    <w:p w14:paraId="433E21FB" w14:textId="77777777" w:rsidR="006A24B8" w:rsidRDefault="004E672B" w:rsidP="00A53BBC">
      <w:pPr>
        <w:ind w:left="1440"/>
      </w:pPr>
      <w:r w:rsidRPr="008858B4">
        <w:t xml:space="preserve">Prior to making a </w:t>
      </w:r>
      <w:r w:rsidR="00506F43">
        <w:t>f</w:t>
      </w:r>
      <w:r w:rsidR="00506F43" w:rsidRPr="008858B4">
        <w:t xml:space="preserve">ederal </w:t>
      </w:r>
      <w:r w:rsidRPr="008858B4">
        <w:t xml:space="preserve">award, the DOE is required by 31 U.S.C. 3321 and 41 U.S.C. 2313 to review information available through any </w:t>
      </w:r>
      <w:r w:rsidR="00B90439">
        <w:t>Office of Management and Budget (</w:t>
      </w:r>
      <w:r w:rsidRPr="008858B4">
        <w:t>OMB</w:t>
      </w:r>
      <w:r w:rsidR="00B90439">
        <w:t>)</w:t>
      </w:r>
      <w:r w:rsidRPr="008858B4">
        <w:t xml:space="preserve">-designated repositories of government-wide eligibility qualification or financial integrity information, such as SAM Exclusions and “Do Not Pay.” </w:t>
      </w:r>
    </w:p>
    <w:p w14:paraId="41AA7D50" w14:textId="77777777" w:rsidR="00EC1EF0" w:rsidRPr="008858B4" w:rsidRDefault="00EC1EF0" w:rsidP="00A53BBC">
      <w:pPr>
        <w:ind w:left="1440"/>
      </w:pPr>
    </w:p>
    <w:p w14:paraId="44964BD1" w14:textId="50249B3C" w:rsidR="006A24B8" w:rsidRDefault="004E672B" w:rsidP="00A53BBC">
      <w:pPr>
        <w:ind w:left="1440"/>
        <w:rPr>
          <w:rFonts w:cs="Arial"/>
          <w:szCs w:val="24"/>
        </w:rPr>
      </w:pPr>
      <w:r w:rsidRPr="00AF2304">
        <w:rPr>
          <w:rFonts w:cs="Arial"/>
          <w:szCs w:val="24"/>
        </w:rPr>
        <w:t xml:space="preserve">In addition, DOE evaluates the risk(s) posed by applicants before they receive </w:t>
      </w:r>
      <w:r w:rsidR="00506F43">
        <w:rPr>
          <w:rFonts w:cs="Arial"/>
          <w:szCs w:val="24"/>
        </w:rPr>
        <w:t>f</w:t>
      </w:r>
      <w:r w:rsidR="00506F43" w:rsidRPr="00AF2304">
        <w:rPr>
          <w:rFonts w:cs="Arial"/>
          <w:szCs w:val="24"/>
        </w:rPr>
        <w:t xml:space="preserve">ederal </w:t>
      </w:r>
      <w:r w:rsidRPr="00AF2304">
        <w:rPr>
          <w:rFonts w:cs="Arial"/>
          <w:szCs w:val="24"/>
        </w:rPr>
        <w:t xml:space="preserve">awards. This evaluation may </w:t>
      </w:r>
      <w:proofErr w:type="gramStart"/>
      <w:r w:rsidRPr="00AF2304">
        <w:rPr>
          <w:rFonts w:cs="Arial"/>
          <w:szCs w:val="24"/>
        </w:rPr>
        <w:t>consider:</w:t>
      </w:r>
      <w:proofErr w:type="gramEnd"/>
      <w:r w:rsidRPr="00AF2304">
        <w:rPr>
          <w:rFonts w:cs="Arial"/>
          <w:szCs w:val="24"/>
        </w:rPr>
        <w:t xml:space="preserve"> results of the evaluation of the applicant</w:t>
      </w:r>
      <w:r w:rsidR="00070D39">
        <w:rPr>
          <w:rFonts w:cs="Arial"/>
          <w:szCs w:val="24"/>
        </w:rPr>
        <w:t>’</w:t>
      </w:r>
      <w:r w:rsidRPr="00AF2304">
        <w:rPr>
          <w:rFonts w:cs="Arial"/>
          <w:szCs w:val="24"/>
        </w:rPr>
        <w:t xml:space="preserve">s eligibility; the quality of the application; </w:t>
      </w:r>
      <w:r w:rsidR="00935FFB" w:rsidRPr="00935FFB">
        <w:rPr>
          <w:rFonts w:cs="Arial"/>
          <w:szCs w:val="24"/>
        </w:rPr>
        <w:t>mitigation of labor and community disputes;</w:t>
      </w:r>
      <w:r w:rsidR="00935FFB">
        <w:rPr>
          <w:rFonts w:cs="Arial"/>
          <w:szCs w:val="24"/>
        </w:rPr>
        <w:t xml:space="preserve"> </w:t>
      </w:r>
      <w:r w:rsidRPr="00AF2304">
        <w:rPr>
          <w:rFonts w:cs="Arial"/>
          <w:szCs w:val="24"/>
        </w:rPr>
        <w:t xml:space="preserve">financial stability; quality of management systems and ability to meet the management standards prescribed in this part; </w:t>
      </w:r>
      <w:r w:rsidR="00935FFB" w:rsidRPr="00AF2304">
        <w:rPr>
          <w:rFonts w:cs="Arial"/>
          <w:szCs w:val="24"/>
        </w:rPr>
        <w:t>history of performance;</w:t>
      </w:r>
      <w:r w:rsidR="00935FFB">
        <w:rPr>
          <w:rFonts w:cs="Arial"/>
          <w:szCs w:val="24"/>
        </w:rPr>
        <w:t xml:space="preserve"> </w:t>
      </w:r>
      <w:r w:rsidRPr="00AF2304">
        <w:rPr>
          <w:rFonts w:cs="Arial"/>
          <w:szCs w:val="24"/>
        </w:rPr>
        <w:t>reports and findings from audits; and the applicant's ability to effectively implement statutory, regulatory, or other requirements imposed on non-</w:t>
      </w:r>
      <w:r w:rsidR="00506F43">
        <w:rPr>
          <w:rFonts w:cs="Arial"/>
          <w:szCs w:val="24"/>
        </w:rPr>
        <w:t>f</w:t>
      </w:r>
      <w:r w:rsidR="00506F43" w:rsidRPr="00AF2304">
        <w:rPr>
          <w:rFonts w:cs="Arial"/>
          <w:szCs w:val="24"/>
        </w:rPr>
        <w:t xml:space="preserve">ederal </w:t>
      </w:r>
      <w:r w:rsidRPr="00AF2304">
        <w:rPr>
          <w:rFonts w:cs="Arial"/>
          <w:szCs w:val="24"/>
        </w:rPr>
        <w:t>entities.</w:t>
      </w:r>
    </w:p>
    <w:p w14:paraId="5AE16749" w14:textId="77777777" w:rsidR="00101E99" w:rsidRPr="00AF2304" w:rsidRDefault="00101E99" w:rsidP="009F07F7">
      <w:pPr>
        <w:rPr>
          <w:rFonts w:cs="Arial"/>
          <w:szCs w:val="24"/>
        </w:rPr>
      </w:pPr>
    </w:p>
    <w:p w14:paraId="54E75E07" w14:textId="77777777" w:rsidR="006A24B8" w:rsidRPr="00AF2304" w:rsidRDefault="004E672B" w:rsidP="00A53BBC">
      <w:pPr>
        <w:ind w:left="1440"/>
        <w:rPr>
          <w:rFonts w:cs="Arial"/>
          <w:szCs w:val="24"/>
        </w:rPr>
      </w:pPr>
      <w:r w:rsidRPr="00AF2304">
        <w:rPr>
          <w:rFonts w:cs="Arial"/>
          <w:szCs w:val="24"/>
        </w:rPr>
        <w:t xml:space="preserve">In addition to this review, DOE must comply with the guidelines on government-wide suspension and debarment in 2 CFR </w:t>
      </w:r>
      <w:proofErr w:type="gramStart"/>
      <w:r w:rsidRPr="00AF2304">
        <w:rPr>
          <w:rFonts w:cs="Arial"/>
          <w:szCs w:val="24"/>
        </w:rPr>
        <w:t>180, and</w:t>
      </w:r>
      <w:proofErr w:type="gramEnd"/>
      <w:r w:rsidRPr="00AF2304">
        <w:rPr>
          <w:rFonts w:cs="Arial"/>
          <w:szCs w:val="24"/>
        </w:rPr>
        <w:t xml:space="preserve"> must require non-</w:t>
      </w:r>
      <w:r w:rsidR="00506F43">
        <w:rPr>
          <w:rFonts w:cs="Arial"/>
          <w:szCs w:val="24"/>
        </w:rPr>
        <w:t>f</w:t>
      </w:r>
      <w:r w:rsidR="00506F43" w:rsidRPr="00AF2304">
        <w:rPr>
          <w:rFonts w:cs="Arial"/>
          <w:szCs w:val="24"/>
        </w:rPr>
        <w:t xml:space="preserve">ederal </w:t>
      </w:r>
      <w:r w:rsidRPr="00AF2304">
        <w:rPr>
          <w:rFonts w:cs="Arial"/>
          <w:szCs w:val="24"/>
        </w:rPr>
        <w:t xml:space="preserve">entities to comply with these provisions. These provisions restrict </w:t>
      </w:r>
      <w:r w:rsidR="00506F43">
        <w:rPr>
          <w:rFonts w:cs="Arial"/>
          <w:szCs w:val="24"/>
        </w:rPr>
        <w:t>f</w:t>
      </w:r>
      <w:r w:rsidR="00506F43" w:rsidRPr="00AF2304">
        <w:rPr>
          <w:rFonts w:cs="Arial"/>
          <w:szCs w:val="24"/>
        </w:rPr>
        <w:t xml:space="preserve">ederal </w:t>
      </w:r>
      <w:r w:rsidRPr="00AF2304">
        <w:rPr>
          <w:rFonts w:cs="Arial"/>
          <w:szCs w:val="24"/>
        </w:rPr>
        <w:t xml:space="preserve">awards, subawards and contracts with certain parties that are debarred, </w:t>
      </w:r>
      <w:proofErr w:type="gramStart"/>
      <w:r w:rsidRPr="00AF2304">
        <w:rPr>
          <w:rFonts w:cs="Arial"/>
          <w:szCs w:val="24"/>
        </w:rPr>
        <w:t>suspended</w:t>
      </w:r>
      <w:proofErr w:type="gramEnd"/>
      <w:r w:rsidRPr="00AF2304">
        <w:rPr>
          <w:rFonts w:cs="Arial"/>
          <w:szCs w:val="24"/>
        </w:rPr>
        <w:t xml:space="preserve"> or otherwise excluded from or ineligible for participation in </w:t>
      </w:r>
      <w:r w:rsidR="00506F43">
        <w:rPr>
          <w:rFonts w:cs="Arial"/>
          <w:szCs w:val="24"/>
        </w:rPr>
        <w:t>f</w:t>
      </w:r>
      <w:r w:rsidR="00506F43" w:rsidRPr="00AF2304">
        <w:rPr>
          <w:rFonts w:cs="Arial"/>
          <w:szCs w:val="24"/>
        </w:rPr>
        <w:t xml:space="preserve">ederal </w:t>
      </w:r>
      <w:r w:rsidRPr="00AF2304">
        <w:rPr>
          <w:rFonts w:cs="Arial"/>
          <w:szCs w:val="24"/>
        </w:rPr>
        <w:t>programs or activities.</w:t>
      </w:r>
    </w:p>
    <w:p w14:paraId="4B0F08DC" w14:textId="77777777" w:rsidR="009A08CC" w:rsidRPr="008858B4" w:rsidRDefault="009A08CC" w:rsidP="00A53BBC">
      <w:pPr>
        <w:ind w:left="1620"/>
        <w:rPr>
          <w:rFonts w:cs="Arial"/>
          <w:szCs w:val="24"/>
        </w:rPr>
      </w:pPr>
    </w:p>
    <w:p w14:paraId="1AD3C35B" w14:textId="7025B668" w:rsidR="006A24B8" w:rsidRPr="00872882" w:rsidRDefault="004E672B" w:rsidP="00F836F4">
      <w:pPr>
        <w:pStyle w:val="FOAHeading3"/>
        <w:numPr>
          <w:ilvl w:val="0"/>
          <w:numId w:val="32"/>
        </w:numPr>
        <w:ind w:left="1440"/>
        <w:outlineLvl w:val="2"/>
      </w:pPr>
      <w:bookmarkStart w:id="325" w:name="_Toc519602383"/>
      <w:bookmarkStart w:id="326" w:name="_Toc109921723"/>
      <w:r w:rsidRPr="00C72CE2">
        <w:t>Invoice Review and Approval</w:t>
      </w:r>
      <w:bookmarkEnd w:id="325"/>
      <w:bookmarkEnd w:id="326"/>
    </w:p>
    <w:p w14:paraId="48FA2EF5" w14:textId="77777777" w:rsidR="005B7647" w:rsidRDefault="004E672B" w:rsidP="00A53BBC">
      <w:pPr>
        <w:ind w:left="1440"/>
      </w:pPr>
      <w:r>
        <w:t>DOE employs a risk-based approach to determine the level of supporting documentation required for approving invoice payment</w:t>
      </w:r>
      <w:r w:rsidR="003779D9">
        <w:t>s</w:t>
      </w:r>
      <w:r>
        <w:t xml:space="preserve">. </w:t>
      </w:r>
      <w:r w:rsidR="003C78F2">
        <w:t xml:space="preserve">Recipients may be required to provide some or </w:t>
      </w:r>
      <w:proofErr w:type="gramStart"/>
      <w:r w:rsidR="003C78F2">
        <w:t>all of</w:t>
      </w:r>
      <w:proofErr w:type="gramEnd"/>
      <w:r w:rsidR="003C78F2">
        <w:t xml:space="preserve"> the following items with their requests for reimbursement:</w:t>
      </w:r>
    </w:p>
    <w:p w14:paraId="40E84FFC" w14:textId="77777777" w:rsidR="003C78F2" w:rsidRPr="00023062" w:rsidRDefault="004E672B" w:rsidP="00AA4320">
      <w:pPr>
        <w:pStyle w:val="ListParagraph"/>
        <w:numPr>
          <w:ilvl w:val="0"/>
          <w:numId w:val="24"/>
        </w:numPr>
        <w:ind w:left="2160"/>
      </w:pPr>
      <w:r w:rsidRPr="00023062">
        <w:t>Summa</w:t>
      </w:r>
      <w:r w:rsidR="005B3606" w:rsidRPr="00023062">
        <w:t xml:space="preserve">ry of costs by cost </w:t>
      </w:r>
      <w:proofErr w:type="gramStart"/>
      <w:r w:rsidR="005B3606" w:rsidRPr="00023062">
        <w:t>categories</w:t>
      </w:r>
      <w:r w:rsidR="009A02DB">
        <w:t>;</w:t>
      </w:r>
      <w:proofErr w:type="gramEnd"/>
    </w:p>
    <w:p w14:paraId="2B514E5D" w14:textId="4FA35DF9" w:rsidR="003C78F2" w:rsidRDefault="004E672B" w:rsidP="00AA4320">
      <w:pPr>
        <w:pStyle w:val="ListParagraph"/>
        <w:numPr>
          <w:ilvl w:val="0"/>
          <w:numId w:val="24"/>
        </w:numPr>
        <w:ind w:left="2160"/>
      </w:pPr>
      <w:r w:rsidRPr="00023062">
        <w:t xml:space="preserve">Timesheets or personnel hours </w:t>
      </w:r>
      <w:proofErr w:type="gramStart"/>
      <w:r w:rsidRPr="00023062">
        <w:t>report</w:t>
      </w:r>
      <w:r w:rsidR="009A02DB">
        <w:t>;</w:t>
      </w:r>
      <w:proofErr w:type="gramEnd"/>
    </w:p>
    <w:p w14:paraId="49590A73" w14:textId="26A74709" w:rsidR="00F05C1B" w:rsidRDefault="00F05C1B" w:rsidP="00AA4320">
      <w:pPr>
        <w:pStyle w:val="ListParagraph"/>
        <w:numPr>
          <w:ilvl w:val="0"/>
          <w:numId w:val="24"/>
        </w:numPr>
        <w:ind w:left="2160"/>
      </w:pPr>
      <w:r w:rsidRPr="00F05C1B">
        <w:t xml:space="preserve">Proof of compliance with Davis-Bacon Act and electronic submittals of certified payroll reports if </w:t>
      </w:r>
      <w:proofErr w:type="gramStart"/>
      <w:r w:rsidRPr="00F05C1B">
        <w:t>applicable</w:t>
      </w:r>
      <w:r>
        <w:t>;</w:t>
      </w:r>
      <w:proofErr w:type="gramEnd"/>
    </w:p>
    <w:p w14:paraId="7A5CF02B" w14:textId="65E5C1DF" w:rsidR="00F05C1B" w:rsidRPr="00023062" w:rsidRDefault="00F05C1B" w:rsidP="00AA4320">
      <w:pPr>
        <w:pStyle w:val="ListParagraph"/>
        <w:numPr>
          <w:ilvl w:val="0"/>
          <w:numId w:val="24"/>
        </w:numPr>
        <w:ind w:left="2160"/>
      </w:pPr>
      <w:r w:rsidRPr="00F05C1B">
        <w:t xml:space="preserve">Disclosure of any citations related to NLRA, FLSA, OSH, SCA, or DBA, or Title </w:t>
      </w:r>
      <w:proofErr w:type="gramStart"/>
      <w:r w:rsidRPr="00F05C1B">
        <w:t>VII</w:t>
      </w:r>
      <w:r>
        <w:t>;</w:t>
      </w:r>
      <w:proofErr w:type="gramEnd"/>
    </w:p>
    <w:p w14:paraId="69381B20" w14:textId="77777777" w:rsidR="003C78F2" w:rsidRPr="00023062" w:rsidRDefault="004E672B" w:rsidP="00AA4320">
      <w:pPr>
        <w:pStyle w:val="ListParagraph"/>
        <w:numPr>
          <w:ilvl w:val="0"/>
          <w:numId w:val="24"/>
        </w:numPr>
        <w:ind w:left="2160"/>
      </w:pPr>
      <w:r w:rsidRPr="00023062">
        <w:t xml:space="preserve">Invoices/receipts for all travel, equipment, supplies, contractual, and other </w:t>
      </w:r>
      <w:proofErr w:type="gramStart"/>
      <w:r w:rsidRPr="00023062">
        <w:t>costs</w:t>
      </w:r>
      <w:r w:rsidR="009A02DB">
        <w:t>;</w:t>
      </w:r>
      <w:proofErr w:type="gramEnd"/>
    </w:p>
    <w:p w14:paraId="2875968F" w14:textId="77777777" w:rsidR="003C78F2" w:rsidRPr="00023062" w:rsidRDefault="004E672B" w:rsidP="00AA4320">
      <w:pPr>
        <w:pStyle w:val="ListParagraph"/>
        <w:numPr>
          <w:ilvl w:val="0"/>
          <w:numId w:val="24"/>
        </w:numPr>
        <w:ind w:left="2160"/>
      </w:pPr>
      <w:r w:rsidRPr="00023062">
        <w:t xml:space="preserve">UCC filing proof for equipment </w:t>
      </w:r>
      <w:r w:rsidR="00DA23FD" w:rsidRPr="00023062">
        <w:t>acquired with project funds by</w:t>
      </w:r>
      <w:r w:rsidRPr="00023062">
        <w:t xml:space="preserve"> for-profit recipients </w:t>
      </w:r>
      <w:r w:rsidR="005B3606" w:rsidRPr="00023062">
        <w:t xml:space="preserve">and </w:t>
      </w:r>
      <w:proofErr w:type="gramStart"/>
      <w:r w:rsidR="005B3606" w:rsidRPr="00023062">
        <w:t>subrecipients</w:t>
      </w:r>
      <w:r w:rsidR="009A02DB">
        <w:t>;</w:t>
      </w:r>
      <w:proofErr w:type="gramEnd"/>
    </w:p>
    <w:p w14:paraId="421DB00F" w14:textId="77777777" w:rsidR="00F10C9E" w:rsidRPr="00023062" w:rsidRDefault="004E672B" w:rsidP="00AA4320">
      <w:pPr>
        <w:pStyle w:val="ListParagraph"/>
        <w:numPr>
          <w:ilvl w:val="0"/>
          <w:numId w:val="24"/>
        </w:numPr>
        <w:ind w:left="2160"/>
      </w:pPr>
      <w:r w:rsidRPr="00023062">
        <w:t xml:space="preserve">Explanation of cost share for invoicing </w:t>
      </w:r>
      <w:proofErr w:type="gramStart"/>
      <w:r w:rsidRPr="00023062">
        <w:t>period</w:t>
      </w:r>
      <w:r w:rsidR="009A02DB">
        <w:t>;</w:t>
      </w:r>
      <w:proofErr w:type="gramEnd"/>
      <w:r w:rsidRPr="00023062">
        <w:tab/>
      </w:r>
    </w:p>
    <w:p w14:paraId="07F80D90" w14:textId="77777777" w:rsidR="00F10C9E" w:rsidRPr="00023062" w:rsidRDefault="004E672B" w:rsidP="00AA4320">
      <w:pPr>
        <w:pStyle w:val="ListParagraph"/>
        <w:numPr>
          <w:ilvl w:val="0"/>
          <w:numId w:val="24"/>
        </w:numPr>
        <w:ind w:left="2160"/>
      </w:pPr>
      <w:r w:rsidRPr="00023062">
        <w:t>Analogous information for some subrecipients</w:t>
      </w:r>
      <w:r w:rsidR="009A02DB">
        <w:t>; and</w:t>
      </w:r>
      <w:r w:rsidRPr="00023062">
        <w:tab/>
      </w:r>
    </w:p>
    <w:p w14:paraId="522D062F" w14:textId="67CFECF6" w:rsidR="00104961" w:rsidRDefault="004E672B" w:rsidP="00AA4320">
      <w:pPr>
        <w:pStyle w:val="ListParagraph"/>
        <w:numPr>
          <w:ilvl w:val="0"/>
          <w:numId w:val="24"/>
        </w:numPr>
        <w:ind w:left="2160"/>
      </w:pPr>
      <w:r w:rsidRPr="00023062">
        <w:t>Other items as required by DOE</w:t>
      </w:r>
      <w:r w:rsidR="009A02DB">
        <w:t>.</w:t>
      </w:r>
    </w:p>
    <w:p w14:paraId="2EC280C5" w14:textId="77777777" w:rsidR="007C4BA4" w:rsidRDefault="007C4BA4" w:rsidP="007C4BA4">
      <w:pPr>
        <w:pStyle w:val="ListParagraph"/>
        <w:ind w:left="1800"/>
      </w:pPr>
    </w:p>
    <w:p w14:paraId="0ABEB9C9" w14:textId="77AA667E" w:rsidR="007C4BA4" w:rsidRPr="00135647" w:rsidRDefault="007C4BA4" w:rsidP="007C4BA4">
      <w:pPr>
        <w:pStyle w:val="FOAHeading3"/>
        <w:ind w:left="1440"/>
      </w:pPr>
      <w:r w:rsidRPr="00135647">
        <w:t xml:space="preserve">Prohibition related to Foreign Government-Sponsored Talent Recruitment Programs </w:t>
      </w:r>
    </w:p>
    <w:p w14:paraId="6D6B7553" w14:textId="77777777" w:rsidR="007C4BA4" w:rsidRPr="00135647" w:rsidRDefault="007C4BA4" w:rsidP="007C4BA4"/>
    <w:p w14:paraId="5190C70D" w14:textId="77777777" w:rsidR="00935FFB" w:rsidRPr="00935FFB" w:rsidRDefault="00935FFB" w:rsidP="00AA4320">
      <w:pPr>
        <w:pStyle w:val="FOATemplateBody"/>
        <w:numPr>
          <w:ilvl w:val="1"/>
          <w:numId w:val="27"/>
        </w:numPr>
        <w:ind w:left="1800"/>
        <w:rPr>
          <w:rFonts w:asciiTheme="minorHAnsi" w:eastAsiaTheme="minorEastAsia" w:hAnsiTheme="minorHAnsi"/>
          <w:b/>
          <w:szCs w:val="24"/>
        </w:rPr>
      </w:pPr>
      <w:r w:rsidRPr="00935FFB">
        <w:rPr>
          <w:rFonts w:asciiTheme="minorHAnsi" w:eastAsiaTheme="minorEastAsia" w:hAnsiTheme="minorHAnsi"/>
          <w:b/>
          <w:szCs w:val="24"/>
        </w:rPr>
        <w:t>Prohibition</w:t>
      </w:r>
    </w:p>
    <w:p w14:paraId="3A31134B" w14:textId="5486D92C" w:rsidR="00935FFB" w:rsidRPr="00935FFB" w:rsidRDefault="00935FFB" w:rsidP="00AA4320">
      <w:pPr>
        <w:ind w:left="1800"/>
      </w:pPr>
      <w:r w:rsidRPr="00935FFB">
        <w:rPr>
          <w:rFonts w:eastAsiaTheme="minorEastAsia"/>
          <w:szCs w:val="24"/>
        </w:rPr>
        <w:t xml:space="preserve">Persons participating in a Foreign Government-Sponsored Talent Recruitment Program of a Foreign Country of Risk are prohibited from participating in projects selected for federal funding under this FOA. Should an award </w:t>
      </w:r>
      <w:r w:rsidR="004532A3" w:rsidRPr="00935FFB">
        <w:rPr>
          <w:rFonts w:eastAsiaTheme="minorEastAsia"/>
          <w:szCs w:val="24"/>
        </w:rPr>
        <w:t>result</w:t>
      </w:r>
      <w:r w:rsidRPr="00935FFB">
        <w:rPr>
          <w:rFonts w:eastAsiaTheme="minorEastAsia"/>
          <w:szCs w:val="24"/>
        </w:rPr>
        <w:t xml:space="preserve"> from this FOA, the recipient must exercise continuing due diligence to reasonably ensure that no individuals participating on the DOE-funded project are participating in a Foreign Government-Sponsored Talent Recruitment Program of a Foreign Country of Risk. </w:t>
      </w:r>
      <w:r w:rsidRPr="00935FFB">
        <w:t xml:space="preserve"> </w:t>
      </w:r>
      <w:r w:rsidRPr="00935FFB">
        <w:rPr>
          <w:rFonts w:eastAsiaTheme="minorEastAsia"/>
          <w:szCs w:val="24"/>
        </w:rPr>
        <w:t xml:space="preserve">Consequences for violations of this prohibition will be determined according to applicable law, regulations, and policy.  </w:t>
      </w:r>
      <w:r w:rsidRPr="00935FFB">
        <w:rPr>
          <w:rFonts w:eastAsia="Calibri"/>
          <w:szCs w:val="24"/>
        </w:rPr>
        <w:t xml:space="preserve">Further, the recipient must notify DOE within five (5) business days upon learning that an individual on the project team is or is believed to be participating in a foreign government talent recruitment program of a foreign country of risk. </w:t>
      </w:r>
      <w:r w:rsidRPr="00935FFB">
        <w:rPr>
          <w:rFonts w:eastAsiaTheme="minorEastAsia"/>
          <w:szCs w:val="24"/>
        </w:rPr>
        <w:t>DOE may modify and add requirements related to this prohibition to the extent required by law.</w:t>
      </w:r>
    </w:p>
    <w:p w14:paraId="07BDE85C" w14:textId="77777777" w:rsidR="00935FFB" w:rsidRPr="00935FFB" w:rsidRDefault="00935FFB" w:rsidP="00AA4320">
      <w:pPr>
        <w:pStyle w:val="FOATemplateBody"/>
        <w:ind w:left="1800"/>
        <w:rPr>
          <w:rFonts w:asciiTheme="minorHAnsi" w:eastAsiaTheme="minorEastAsia" w:hAnsiTheme="minorHAnsi"/>
          <w:b/>
          <w:szCs w:val="24"/>
        </w:rPr>
      </w:pPr>
    </w:p>
    <w:p w14:paraId="1B87C92C" w14:textId="77777777" w:rsidR="00935FFB" w:rsidRPr="00935FFB" w:rsidRDefault="00935FFB" w:rsidP="00AA4320">
      <w:pPr>
        <w:pStyle w:val="FOATemplateBody"/>
        <w:numPr>
          <w:ilvl w:val="1"/>
          <w:numId w:val="27"/>
        </w:numPr>
        <w:ind w:left="1800"/>
        <w:rPr>
          <w:rFonts w:asciiTheme="minorHAnsi" w:eastAsiaTheme="minorEastAsia" w:hAnsiTheme="minorHAnsi"/>
          <w:b/>
          <w:szCs w:val="24"/>
        </w:rPr>
      </w:pPr>
      <w:r w:rsidRPr="00935FFB">
        <w:rPr>
          <w:rFonts w:asciiTheme="minorHAnsi" w:eastAsiaTheme="minorEastAsia" w:hAnsiTheme="minorHAnsi"/>
          <w:b/>
          <w:szCs w:val="24"/>
        </w:rPr>
        <w:t xml:space="preserve">Definitions </w:t>
      </w:r>
    </w:p>
    <w:p w14:paraId="433D55DB" w14:textId="77777777" w:rsidR="00935FFB" w:rsidRPr="00935FFB" w:rsidRDefault="00935FFB" w:rsidP="00F836F4">
      <w:pPr>
        <w:pStyle w:val="FOATemplateBody"/>
        <w:numPr>
          <w:ilvl w:val="0"/>
          <w:numId w:val="98"/>
        </w:numPr>
        <w:rPr>
          <w:rFonts w:asciiTheme="minorHAnsi" w:eastAsiaTheme="minorEastAsia" w:hAnsiTheme="minorHAnsi"/>
          <w:szCs w:val="24"/>
        </w:rPr>
      </w:pPr>
      <w:r w:rsidRPr="00935FFB">
        <w:rPr>
          <w:rFonts w:asciiTheme="minorHAnsi" w:eastAsiaTheme="minorEastAsia" w:hAnsiTheme="minorHAnsi"/>
          <w:b/>
          <w:szCs w:val="24"/>
        </w:rPr>
        <w:t xml:space="preserve">Foreign Government-Sponsored Talent Recruitment Program. </w:t>
      </w:r>
      <w:r w:rsidRPr="00935FFB">
        <w:rPr>
          <w:rFonts w:asciiTheme="minorHAnsi" w:eastAsiaTheme="minorEastAsia" w:hAnsiTheme="minorHAnsi"/>
          <w:szCs w:val="24"/>
        </w:rPr>
        <w:t>An effort directly or indirectly organized, managed, or funded by a foreign government, or a foreign government instrumentality or entity, to recruit science and technology professionals or students (regardless of citizenship or national origin, or whether having a full-time or part-time position). Some foreign government-sponsored talent recruitment programs operate with the intent to import or otherwise acquire from abroad, sometimes through illicit means, proprietary technology or software, unpublished data and methods, and intellectual property to further the military modernization goals and/or economic goals of a foreign government. Many, but not all, programs aim to incentivize the targeted individual to relocate physically to the foreign state for the above purpose. Some programs allow for or encourage continued employment at U.S. research facilities or receipt of Federal research funds while concurrently working at and/or receiving compensation from a foreign institution, and some direct participants not to disclose their participation to U.S. entities. Compensation could take many forms including cash, research funding, complimentary foreign travel, honorific titles, career advancement opportunities, promised future compensation, or other types of remuneration or consideration, including in-kind compensation.</w:t>
      </w:r>
      <w:r w:rsidRPr="00935FFB">
        <w:rPr>
          <w:rFonts w:asciiTheme="minorHAnsi" w:eastAsiaTheme="minorEastAsia" w:hAnsiTheme="minorHAnsi"/>
          <w:szCs w:val="24"/>
        </w:rPr>
        <w:tab/>
      </w:r>
    </w:p>
    <w:p w14:paraId="2313873B" w14:textId="77777777" w:rsidR="00935FFB" w:rsidRPr="00935FFB" w:rsidRDefault="00935FFB" w:rsidP="00F836F4">
      <w:pPr>
        <w:pStyle w:val="FOATemplateBody"/>
        <w:numPr>
          <w:ilvl w:val="0"/>
          <w:numId w:val="98"/>
        </w:numPr>
        <w:spacing w:before="120"/>
        <w:rPr>
          <w:rFonts w:asciiTheme="minorHAnsi" w:eastAsiaTheme="minorEastAsia" w:hAnsiTheme="minorHAnsi"/>
          <w:szCs w:val="24"/>
        </w:rPr>
      </w:pPr>
      <w:r w:rsidRPr="00935FFB">
        <w:rPr>
          <w:rFonts w:asciiTheme="minorHAnsi" w:eastAsiaTheme="minorEastAsia" w:hAnsiTheme="minorHAnsi"/>
          <w:b/>
          <w:bCs/>
          <w:szCs w:val="24"/>
        </w:rPr>
        <w:t>Foreign Country of Risk.</w:t>
      </w:r>
      <w:r w:rsidRPr="00935FFB">
        <w:rPr>
          <w:rFonts w:asciiTheme="minorHAnsi" w:eastAsiaTheme="minorEastAsia" w:hAnsiTheme="minorHAnsi"/>
          <w:szCs w:val="24"/>
        </w:rPr>
        <w:t xml:space="preserve"> DOE has designated the following countries as foreign countries of risk: Iran, North Korea, Russia, and China. This list is subject to change. </w:t>
      </w:r>
    </w:p>
    <w:p w14:paraId="0D257A00" w14:textId="5EEDD4C2" w:rsidR="001C26C4" w:rsidRDefault="001C26C4" w:rsidP="001C26C4">
      <w:pPr>
        <w:pStyle w:val="FOATemplateBody"/>
        <w:spacing w:before="120"/>
        <w:rPr>
          <w:rFonts w:asciiTheme="minorHAnsi" w:eastAsiaTheme="minorEastAsia" w:hAnsiTheme="minorHAnsi"/>
          <w:szCs w:val="24"/>
        </w:rPr>
      </w:pPr>
    </w:p>
    <w:p w14:paraId="0BA8CB03" w14:textId="77777777" w:rsidR="001C26C4" w:rsidRPr="00D00A1F" w:rsidRDefault="001C26C4" w:rsidP="00D00A1F">
      <w:pPr>
        <w:pStyle w:val="FOAHeading3"/>
        <w:ind w:left="1440"/>
        <w:outlineLvl w:val="2"/>
        <w:rPr>
          <w:rFonts w:eastAsia="Calibri"/>
        </w:rPr>
      </w:pPr>
      <w:bookmarkStart w:id="327" w:name="_Toc103174869"/>
      <w:bookmarkStart w:id="328" w:name="_Toc109921724"/>
      <w:r w:rsidRPr="001C26C4">
        <w:rPr>
          <w:rFonts w:eastAsia="Calibri"/>
        </w:rPr>
        <w:t>Affirmative Action and Pay Transparency Requirements</w:t>
      </w:r>
      <w:bookmarkEnd w:id="327"/>
      <w:bookmarkEnd w:id="328"/>
    </w:p>
    <w:p w14:paraId="6580E99C" w14:textId="77777777" w:rsidR="001C26C4" w:rsidRPr="001C26C4" w:rsidRDefault="001C26C4" w:rsidP="001C26C4">
      <w:pPr>
        <w:ind w:left="1440"/>
      </w:pPr>
      <w:r w:rsidRPr="001C26C4">
        <w:t xml:space="preserve">All federally assisted construction contracts exceeding $10,000 annually will be subject to the requirements of Executive Order 11246: </w:t>
      </w:r>
    </w:p>
    <w:p w14:paraId="1D8EF65E" w14:textId="77777777" w:rsidR="001C26C4" w:rsidRPr="001C26C4" w:rsidRDefault="001C26C4" w:rsidP="001C26C4">
      <w:pPr>
        <w:rPr>
          <w:rFonts w:ascii="Calibri" w:eastAsia="Calibri" w:hAnsi="Calibri" w:cs="Arial"/>
          <w:szCs w:val="24"/>
        </w:rPr>
      </w:pPr>
    </w:p>
    <w:p w14:paraId="108E2ED2" w14:textId="77777777" w:rsidR="001C26C4" w:rsidRPr="001C26C4" w:rsidRDefault="001C26C4" w:rsidP="005B676A">
      <w:pPr>
        <w:ind w:left="1872"/>
        <w:rPr>
          <w:rFonts w:ascii="Calibri" w:eastAsiaTheme="minorHAnsi" w:hAnsi="Calibri" w:cstheme="minorBidi"/>
          <w:szCs w:val="22"/>
        </w:rPr>
      </w:pPr>
      <w:r w:rsidRPr="001C26C4">
        <w:rPr>
          <w:rFonts w:ascii="Calibri" w:eastAsiaTheme="minorHAnsi" w:hAnsi="Calibri" w:cstheme="minorBidi"/>
          <w:szCs w:val="22"/>
        </w:rPr>
        <w:t xml:space="preserve">(1) Recipients, subrecipients, contractors and subcontractors are prohibited from discriminating in employment decisions </w:t>
      </w:r>
      <w:proofErr w:type="gramStart"/>
      <w:r w:rsidRPr="001C26C4">
        <w:rPr>
          <w:rFonts w:ascii="Calibri" w:eastAsiaTheme="minorHAnsi" w:hAnsi="Calibri" w:cstheme="minorBidi"/>
          <w:szCs w:val="22"/>
        </w:rPr>
        <w:t>on the basis of</w:t>
      </w:r>
      <w:proofErr w:type="gramEnd"/>
      <w:r w:rsidRPr="001C26C4">
        <w:rPr>
          <w:rFonts w:ascii="Calibri" w:eastAsiaTheme="minorHAnsi" w:hAnsi="Calibri" w:cstheme="minorBidi"/>
          <w:szCs w:val="22"/>
        </w:rPr>
        <w:t xml:space="preserve"> race, color, religion, sex, sexual orientation, gender identity or national origin. </w:t>
      </w:r>
    </w:p>
    <w:p w14:paraId="39A6EA62" w14:textId="77777777" w:rsidR="001C26C4" w:rsidRPr="001C26C4" w:rsidRDefault="001C26C4" w:rsidP="001C26C4">
      <w:pPr>
        <w:ind w:left="1872"/>
        <w:rPr>
          <w:rFonts w:ascii="Calibri" w:eastAsia="Calibri" w:hAnsi="Calibri" w:cs="Arial"/>
          <w:b/>
          <w:bCs/>
          <w:szCs w:val="24"/>
        </w:rPr>
      </w:pPr>
    </w:p>
    <w:p w14:paraId="537A7F00" w14:textId="77777777" w:rsidR="001C26C4" w:rsidRPr="001C26C4" w:rsidRDefault="001C26C4" w:rsidP="001C26C4">
      <w:pPr>
        <w:ind w:left="1872"/>
        <w:rPr>
          <w:rFonts w:ascii="Calibri" w:eastAsia="Calibri" w:hAnsi="Calibri" w:cs="Arial"/>
          <w:b/>
          <w:bCs/>
          <w:szCs w:val="24"/>
        </w:rPr>
      </w:pPr>
      <w:r w:rsidRPr="001C26C4">
        <w:rPr>
          <w:rFonts w:ascii="Calibri" w:eastAsiaTheme="minorHAnsi" w:hAnsi="Calibri" w:cstheme="minorBidi"/>
          <w:szCs w:val="22"/>
        </w:rPr>
        <w:t>(2)</w:t>
      </w:r>
      <w:r w:rsidRPr="001C26C4">
        <w:rPr>
          <w:rFonts w:ascii="Calibri" w:eastAsiaTheme="minorHAnsi" w:hAnsi="Calibri" w:cstheme="minorBidi"/>
          <w:szCs w:val="22"/>
        </w:rPr>
        <w:tab/>
        <w:t>Recipients and Contractors are required to take affirmative action to ensure that equal opportunity is provided in all aspects of their employment. This includes flowing down the appropriate language to all subrecipients, contractors and subcontractors.</w:t>
      </w:r>
    </w:p>
    <w:p w14:paraId="1D671531" w14:textId="77777777" w:rsidR="001C26C4" w:rsidRPr="001C26C4" w:rsidRDefault="001C26C4" w:rsidP="001C26C4">
      <w:pPr>
        <w:ind w:left="1872"/>
        <w:rPr>
          <w:rFonts w:ascii="Calibri" w:eastAsia="Calibri" w:hAnsi="Calibri" w:cs="Arial"/>
          <w:b/>
          <w:bCs/>
          <w:szCs w:val="24"/>
        </w:rPr>
      </w:pPr>
    </w:p>
    <w:p w14:paraId="16A4CBC0" w14:textId="77777777" w:rsidR="001C26C4" w:rsidRPr="001C26C4" w:rsidRDefault="001C26C4" w:rsidP="001C26C4">
      <w:pPr>
        <w:ind w:left="1872"/>
        <w:rPr>
          <w:rFonts w:ascii="Calibri" w:eastAsia="Calibri" w:hAnsi="Calibri" w:cs="Arial"/>
          <w:b/>
          <w:bCs/>
          <w:szCs w:val="24"/>
        </w:rPr>
      </w:pPr>
      <w:r w:rsidRPr="001C26C4">
        <w:rPr>
          <w:rFonts w:ascii="Calibri" w:eastAsiaTheme="minorHAnsi" w:hAnsi="Calibri" w:cstheme="minorBidi"/>
          <w:szCs w:val="22"/>
        </w:rPr>
        <w:t>(3)</w:t>
      </w:r>
      <w:r w:rsidRPr="001C26C4">
        <w:rPr>
          <w:rFonts w:ascii="Calibri" w:eastAsiaTheme="minorHAnsi" w:hAnsi="Calibri" w:cstheme="minorBidi"/>
          <w:szCs w:val="22"/>
        </w:rPr>
        <w:tab/>
        <w:t>Recipients, subrecipients, contractors and subcontractors are prohibited from taking adverse employment actions against applicants and employees for asking about, discussing, or sharing information about their pay or, under certain circumstances, the pay of their co‐workers.</w:t>
      </w:r>
    </w:p>
    <w:p w14:paraId="4B293B26" w14:textId="77777777" w:rsidR="001C26C4" w:rsidRPr="001C26C4" w:rsidRDefault="001C26C4" w:rsidP="001C26C4">
      <w:pPr>
        <w:ind w:left="720" w:firstLine="720"/>
        <w:rPr>
          <w:rFonts w:ascii="Calibri" w:eastAsia="Calibri" w:hAnsi="Calibri" w:cs="Arial"/>
          <w:szCs w:val="24"/>
        </w:rPr>
      </w:pPr>
    </w:p>
    <w:p w14:paraId="07CEF5B4" w14:textId="77777777" w:rsidR="001C26C4" w:rsidRPr="001C26C4" w:rsidRDefault="001C26C4" w:rsidP="001C26C4">
      <w:pPr>
        <w:ind w:left="720" w:firstLine="720"/>
        <w:rPr>
          <w:rFonts w:ascii="Calibri" w:eastAsia="Calibri" w:hAnsi="Calibri" w:cs="Arial"/>
          <w:b/>
          <w:bCs/>
          <w:szCs w:val="24"/>
        </w:rPr>
      </w:pPr>
      <w:r w:rsidRPr="001C26C4">
        <w:rPr>
          <w:rFonts w:ascii="Calibri" w:eastAsiaTheme="minorHAnsi" w:hAnsi="Calibri" w:cstheme="minorBidi"/>
          <w:szCs w:val="22"/>
        </w:rPr>
        <w:t xml:space="preserve">The Department of Labor’s (DOL) Office of Federal Contractor Compliance </w:t>
      </w:r>
      <w:r w:rsidRPr="001C26C4">
        <w:rPr>
          <w:rFonts w:ascii="Calibri" w:eastAsiaTheme="minorHAnsi" w:hAnsi="Calibri" w:cstheme="minorBidi"/>
          <w:szCs w:val="22"/>
        </w:rPr>
        <w:tab/>
        <w:t xml:space="preserve">Programs (OFCCP) uses a neutral process to schedule contractors for </w:t>
      </w:r>
      <w:r w:rsidRPr="001C26C4">
        <w:rPr>
          <w:rFonts w:ascii="Calibri" w:eastAsiaTheme="minorHAnsi" w:hAnsi="Calibri" w:cstheme="minorBidi"/>
          <w:szCs w:val="22"/>
        </w:rPr>
        <w:tab/>
      </w:r>
      <w:r w:rsidRPr="001C26C4">
        <w:rPr>
          <w:rFonts w:ascii="Calibri" w:eastAsiaTheme="minorHAnsi" w:hAnsi="Calibri" w:cstheme="minorBidi"/>
          <w:szCs w:val="22"/>
        </w:rPr>
        <w:tab/>
        <w:t>compliance evaluations.  OFCCP’s Technical Assistance Guide</w:t>
      </w:r>
      <w:r w:rsidRPr="001C26C4">
        <w:rPr>
          <w:rFonts w:ascii="Calibri" w:eastAsiaTheme="minorHAnsi" w:hAnsi="Calibri" w:cstheme="minorBidi"/>
          <w:szCs w:val="22"/>
          <w:vertAlign w:val="superscript"/>
        </w:rPr>
        <w:footnoteReference w:id="86"/>
      </w:r>
      <w:r w:rsidRPr="001C26C4">
        <w:rPr>
          <w:rFonts w:ascii="Calibri" w:eastAsiaTheme="minorHAnsi" w:hAnsi="Calibri" w:cstheme="minorBidi"/>
          <w:szCs w:val="22"/>
        </w:rPr>
        <w:t xml:space="preserve"> should be </w:t>
      </w:r>
      <w:r w:rsidRPr="001C26C4">
        <w:rPr>
          <w:rFonts w:ascii="Calibri" w:eastAsiaTheme="minorHAnsi" w:hAnsi="Calibri" w:cstheme="minorBidi"/>
          <w:szCs w:val="22"/>
        </w:rPr>
        <w:tab/>
      </w:r>
      <w:r w:rsidRPr="001C26C4">
        <w:rPr>
          <w:rFonts w:ascii="Calibri" w:eastAsiaTheme="minorHAnsi" w:hAnsi="Calibri" w:cstheme="minorBidi"/>
          <w:szCs w:val="22"/>
        </w:rPr>
        <w:tab/>
        <w:t xml:space="preserve">consulted to gain an understanding of the requirements and possible actions the </w:t>
      </w:r>
      <w:r w:rsidRPr="001C26C4">
        <w:rPr>
          <w:rFonts w:ascii="Calibri" w:eastAsiaTheme="minorHAnsi" w:hAnsi="Calibri" w:cstheme="minorBidi"/>
          <w:szCs w:val="22"/>
        </w:rPr>
        <w:tab/>
        <w:t xml:space="preserve">recipients, subrecipients, contractors and subcontractors must take. </w:t>
      </w:r>
    </w:p>
    <w:p w14:paraId="29B4A627" w14:textId="77777777" w:rsidR="001C26C4" w:rsidRPr="001C26C4" w:rsidRDefault="001C26C4" w:rsidP="001C26C4">
      <w:pPr>
        <w:rPr>
          <w:rFonts w:ascii="Calibri" w:eastAsiaTheme="minorHAnsi" w:hAnsi="Calibri" w:cstheme="minorBidi"/>
          <w:szCs w:val="22"/>
        </w:rPr>
      </w:pPr>
    </w:p>
    <w:p w14:paraId="1256DCA5" w14:textId="77777777" w:rsidR="001C26C4" w:rsidRPr="001C26C4" w:rsidRDefault="001C26C4" w:rsidP="001C26C4">
      <w:pPr>
        <w:ind w:left="720" w:firstLine="720"/>
        <w:rPr>
          <w:rFonts w:ascii="Calibri" w:eastAsia="Calibri" w:hAnsi="Calibri" w:cs="Arial"/>
          <w:b/>
          <w:bCs/>
          <w:szCs w:val="24"/>
        </w:rPr>
      </w:pPr>
      <w:r w:rsidRPr="001C26C4">
        <w:rPr>
          <w:rFonts w:ascii="Calibri" w:eastAsiaTheme="minorHAnsi" w:hAnsi="Calibri" w:cstheme="minorBidi"/>
          <w:szCs w:val="22"/>
        </w:rPr>
        <w:t xml:space="preserve">Additionally, for construction projects valued at $35 million or more and lasting </w:t>
      </w:r>
      <w:r w:rsidRPr="001C26C4">
        <w:rPr>
          <w:rFonts w:ascii="Calibri" w:eastAsiaTheme="minorHAnsi" w:hAnsi="Calibri" w:cstheme="minorBidi"/>
          <w:szCs w:val="22"/>
        </w:rPr>
        <w:tab/>
        <w:t xml:space="preserve">more than one year, the recipients, subrecipients, contractors and </w:t>
      </w:r>
      <w:r w:rsidRPr="001C26C4">
        <w:rPr>
          <w:rFonts w:ascii="Calibri" w:eastAsiaTheme="minorHAnsi" w:hAnsi="Calibri" w:cstheme="minorBidi"/>
          <w:szCs w:val="22"/>
        </w:rPr>
        <w:tab/>
      </w:r>
      <w:r w:rsidRPr="001C26C4">
        <w:rPr>
          <w:rFonts w:ascii="Calibri" w:eastAsiaTheme="minorHAnsi" w:hAnsi="Calibri" w:cstheme="minorBidi"/>
          <w:szCs w:val="22"/>
        </w:rPr>
        <w:tab/>
      </w:r>
      <w:r w:rsidRPr="001C26C4">
        <w:rPr>
          <w:rFonts w:ascii="Calibri" w:eastAsiaTheme="minorHAnsi" w:hAnsi="Calibri" w:cstheme="minorBidi"/>
          <w:szCs w:val="22"/>
        </w:rPr>
        <w:tab/>
        <w:t xml:space="preserve">subcontractors may be assigned by OFCCP as a mega construction project and </w:t>
      </w:r>
      <w:r w:rsidRPr="001C26C4">
        <w:rPr>
          <w:rFonts w:ascii="Calibri" w:eastAsiaTheme="minorHAnsi" w:hAnsi="Calibri" w:cstheme="minorBidi"/>
          <w:szCs w:val="22"/>
        </w:rPr>
        <w:tab/>
        <w:t>may be neutrally selected for a compliance evaluation by OFCCP.</w:t>
      </w:r>
      <w:r w:rsidRPr="001C26C4">
        <w:rPr>
          <w:rFonts w:ascii="Calibri" w:eastAsiaTheme="minorHAnsi" w:hAnsi="Calibri" w:cstheme="minorBidi"/>
          <w:szCs w:val="22"/>
          <w:vertAlign w:val="superscript"/>
        </w:rPr>
        <w:footnoteReference w:id="87"/>
      </w:r>
      <w:r w:rsidRPr="001C26C4">
        <w:rPr>
          <w:rFonts w:ascii="Calibri" w:eastAsiaTheme="minorHAnsi" w:hAnsi="Calibri" w:cstheme="minorBidi"/>
          <w:szCs w:val="22"/>
        </w:rPr>
        <w:t xml:space="preserve"> </w:t>
      </w:r>
    </w:p>
    <w:p w14:paraId="6507FB54" w14:textId="77777777" w:rsidR="001C26C4" w:rsidRPr="001C26C4" w:rsidRDefault="001C26C4" w:rsidP="00563B4B">
      <w:pPr>
        <w:pStyle w:val="FOATemplateBody"/>
        <w:spacing w:before="120"/>
        <w:rPr>
          <w:rFonts w:asciiTheme="minorHAnsi" w:eastAsiaTheme="minorEastAsia" w:hAnsiTheme="minorHAnsi"/>
          <w:szCs w:val="24"/>
        </w:rPr>
      </w:pPr>
    </w:p>
    <w:p w14:paraId="2DA8D947" w14:textId="6D5353F1" w:rsidR="006A24B8" w:rsidRPr="00126FBB" w:rsidRDefault="004E672B" w:rsidP="0017729B">
      <w:pPr>
        <w:pStyle w:val="FOAHeading1"/>
      </w:pPr>
      <w:bookmarkStart w:id="329" w:name="_Toc517798924"/>
      <w:bookmarkStart w:id="330" w:name="_Toc519602252"/>
      <w:bookmarkStart w:id="331" w:name="_Toc519602387"/>
      <w:bookmarkStart w:id="332" w:name="_Toc109921725"/>
      <w:r w:rsidRPr="00126FBB">
        <w:t>Application Review Information</w:t>
      </w:r>
      <w:bookmarkEnd w:id="329"/>
      <w:bookmarkEnd w:id="330"/>
      <w:bookmarkEnd w:id="331"/>
      <w:bookmarkEnd w:id="332"/>
    </w:p>
    <w:p w14:paraId="41A44718" w14:textId="77777777" w:rsidR="006035F9" w:rsidRPr="00B5344E" w:rsidRDefault="006035F9" w:rsidP="00A53BBC"/>
    <w:p w14:paraId="56483670" w14:textId="0C4A4832" w:rsidR="006A24B8" w:rsidRPr="001B113C" w:rsidRDefault="004E672B" w:rsidP="0017595D">
      <w:pPr>
        <w:pStyle w:val="FOAHeading2"/>
      </w:pPr>
      <w:bookmarkStart w:id="333" w:name="_Toc517798925"/>
      <w:bookmarkStart w:id="334" w:name="_Toc519602253"/>
      <w:bookmarkStart w:id="335" w:name="_Toc519602388"/>
      <w:bookmarkStart w:id="336" w:name="_Toc109921726"/>
      <w:r w:rsidRPr="001B113C">
        <w:t>Technical Review Criteria</w:t>
      </w:r>
      <w:bookmarkEnd w:id="333"/>
      <w:bookmarkEnd w:id="334"/>
      <w:bookmarkEnd w:id="335"/>
      <w:bookmarkEnd w:id="336"/>
    </w:p>
    <w:p w14:paraId="2B5D54E9" w14:textId="3EAB9C82" w:rsidR="006035F9" w:rsidRPr="00B5344E" w:rsidRDefault="006035F9" w:rsidP="00A53BBC"/>
    <w:p w14:paraId="368F298A" w14:textId="114D1702" w:rsidR="006A24B8" w:rsidRPr="00872882" w:rsidRDefault="004E672B" w:rsidP="00F836F4">
      <w:pPr>
        <w:pStyle w:val="FOAHeading3"/>
        <w:numPr>
          <w:ilvl w:val="0"/>
          <w:numId w:val="34"/>
        </w:numPr>
        <w:ind w:left="1440"/>
        <w:outlineLvl w:val="2"/>
      </w:pPr>
      <w:bookmarkStart w:id="337" w:name="_Toc519602389"/>
      <w:bookmarkStart w:id="338" w:name="_Toc109921727"/>
      <w:r w:rsidRPr="00C72CE2">
        <w:t>Concept Papers</w:t>
      </w:r>
      <w:bookmarkEnd w:id="337"/>
      <w:bookmarkEnd w:id="338"/>
    </w:p>
    <w:p w14:paraId="2D396422" w14:textId="19A0BB3A" w:rsidR="006A24B8" w:rsidRPr="008858B4" w:rsidRDefault="004E672B" w:rsidP="00A53BBC">
      <w:pPr>
        <w:ind w:left="1440"/>
      </w:pPr>
      <w:r w:rsidRPr="008858B4">
        <w:t>Concept Papers are evaluated based on consideration the following factors.</w:t>
      </w:r>
      <w:r w:rsidR="004F0212">
        <w:t xml:space="preserve"> All sub-criteria are of equal weight.</w:t>
      </w:r>
    </w:p>
    <w:p w14:paraId="5677D680" w14:textId="589391BD" w:rsidR="0049292D" w:rsidRDefault="0049292D" w:rsidP="00A53BBC">
      <w:pPr>
        <w:pStyle w:val="PlainText"/>
        <w:ind w:left="1440"/>
        <w:rPr>
          <w:b/>
          <w:sz w:val="24"/>
          <w:szCs w:val="24"/>
        </w:rPr>
      </w:pPr>
    </w:p>
    <w:tbl>
      <w:tblPr>
        <w:tblStyle w:val="TableGrid"/>
        <w:tblW w:w="0" w:type="auto"/>
        <w:tblInd w:w="1440" w:type="dxa"/>
        <w:tblCellMar>
          <w:left w:w="0" w:type="dxa"/>
          <w:right w:w="0" w:type="dxa"/>
        </w:tblCellMar>
        <w:tblLook w:val="04A0" w:firstRow="1" w:lastRow="0" w:firstColumn="1" w:lastColumn="0" w:noHBand="0" w:noVBand="1"/>
      </w:tblPr>
      <w:tblGrid>
        <w:gridCol w:w="7920"/>
      </w:tblGrid>
      <w:tr w:rsidR="00BF65D1" w14:paraId="72B4B5D9" w14:textId="77777777" w:rsidTr="00790E40">
        <w:tc>
          <w:tcPr>
            <w:tcW w:w="7920" w:type="dxa"/>
            <w:tcBorders>
              <w:top w:val="nil"/>
              <w:left w:val="nil"/>
              <w:bottom w:val="nil"/>
              <w:right w:val="nil"/>
            </w:tcBorders>
          </w:tcPr>
          <w:p w14:paraId="67959F93" w14:textId="77777777" w:rsidR="00707E97" w:rsidRDefault="004E672B" w:rsidP="00707E97">
            <w:pPr>
              <w:pStyle w:val="PlainText"/>
              <w:rPr>
                <w:rFonts w:asciiTheme="minorHAnsi" w:hAnsiTheme="minorHAnsi"/>
                <w:b/>
                <w:sz w:val="24"/>
                <w:szCs w:val="24"/>
              </w:rPr>
            </w:pPr>
            <w:r>
              <w:rPr>
                <w:rFonts w:asciiTheme="minorHAnsi" w:hAnsiTheme="minorHAnsi"/>
                <w:b/>
                <w:sz w:val="24"/>
                <w:szCs w:val="24"/>
              </w:rPr>
              <w:t>Concept Paper Criterion: Overall FOA Responsiveness and Viability of the Project (Weight: 100%)</w:t>
            </w:r>
          </w:p>
          <w:p w14:paraId="7A4CBAB1" w14:textId="77777777" w:rsidR="000C3607" w:rsidRDefault="004E672B" w:rsidP="000C3607">
            <w:pPr>
              <w:pStyle w:val="PlainText"/>
              <w:spacing w:after="240"/>
              <w:ind w:left="432" w:hanging="432"/>
              <w:rPr>
                <w:rFonts w:asciiTheme="minorHAnsi" w:hAnsiTheme="minorHAnsi"/>
                <w:sz w:val="24"/>
                <w:szCs w:val="24"/>
              </w:rPr>
            </w:pPr>
            <w:r>
              <w:rPr>
                <w:rFonts w:asciiTheme="minorHAnsi" w:hAnsiTheme="minorHAnsi"/>
                <w:sz w:val="24"/>
                <w:szCs w:val="24"/>
              </w:rPr>
              <w:t>This criterion involves consideration of the following factors:</w:t>
            </w:r>
          </w:p>
          <w:p w14:paraId="6CA3053E" w14:textId="77777777" w:rsidR="000C3607" w:rsidRDefault="004E672B" w:rsidP="00F836F4">
            <w:pPr>
              <w:pStyle w:val="PlainText"/>
              <w:numPr>
                <w:ilvl w:val="0"/>
                <w:numId w:val="53"/>
              </w:numPr>
              <w:ind w:left="705" w:hanging="345"/>
              <w:rPr>
                <w:rFonts w:asciiTheme="minorHAnsi" w:hAnsiTheme="minorHAnsi"/>
                <w:sz w:val="24"/>
                <w:szCs w:val="24"/>
              </w:rPr>
            </w:pPr>
            <w:r>
              <w:rPr>
                <w:rFonts w:asciiTheme="minorHAnsi" w:hAnsiTheme="minorHAnsi"/>
                <w:sz w:val="24"/>
                <w:szCs w:val="24"/>
              </w:rPr>
              <w:t xml:space="preserve">The applicant clearly describes the proposed technology, describes how the technology is unique and innovative, and how the technology will advance the current </w:t>
            </w:r>
            <w:proofErr w:type="gramStart"/>
            <w:r>
              <w:rPr>
                <w:rFonts w:asciiTheme="minorHAnsi" w:hAnsiTheme="minorHAnsi"/>
                <w:sz w:val="24"/>
                <w:szCs w:val="24"/>
              </w:rPr>
              <w:t>state-of-the-art;</w:t>
            </w:r>
            <w:proofErr w:type="gramEnd"/>
          </w:p>
          <w:p w14:paraId="450D1FEC" w14:textId="77777777" w:rsidR="000C3607" w:rsidRDefault="004E672B" w:rsidP="00F836F4">
            <w:pPr>
              <w:pStyle w:val="PlainText"/>
              <w:numPr>
                <w:ilvl w:val="0"/>
                <w:numId w:val="53"/>
              </w:numPr>
              <w:ind w:left="705" w:hanging="345"/>
              <w:rPr>
                <w:rFonts w:asciiTheme="minorHAnsi" w:hAnsiTheme="minorHAnsi"/>
                <w:sz w:val="24"/>
                <w:szCs w:val="24"/>
              </w:rPr>
            </w:pPr>
            <w:r>
              <w:rPr>
                <w:rFonts w:asciiTheme="minorHAnsi" w:hAnsiTheme="minorHAnsi"/>
                <w:sz w:val="24"/>
                <w:szCs w:val="24"/>
              </w:rPr>
              <w:t xml:space="preserve">The applicant has identified risks and challenges, including possible mitigation strategies, and has shown the impact that EERE funding and the proposed project would have on the relevant field and </w:t>
            </w:r>
            <w:proofErr w:type="gramStart"/>
            <w:r>
              <w:rPr>
                <w:rFonts w:asciiTheme="minorHAnsi" w:hAnsiTheme="minorHAnsi"/>
                <w:sz w:val="24"/>
                <w:szCs w:val="24"/>
              </w:rPr>
              <w:t>application;</w:t>
            </w:r>
            <w:proofErr w:type="gramEnd"/>
          </w:p>
          <w:p w14:paraId="57565BD4" w14:textId="77777777" w:rsidR="000C3607" w:rsidRDefault="004E672B" w:rsidP="00F836F4">
            <w:pPr>
              <w:pStyle w:val="PlainText"/>
              <w:numPr>
                <w:ilvl w:val="0"/>
                <w:numId w:val="53"/>
              </w:numPr>
              <w:ind w:left="705" w:hanging="345"/>
              <w:rPr>
                <w:rFonts w:asciiTheme="minorHAnsi" w:hAnsiTheme="minorHAnsi"/>
                <w:sz w:val="24"/>
                <w:szCs w:val="24"/>
              </w:rPr>
            </w:pPr>
            <w:r>
              <w:rPr>
                <w:rFonts w:asciiTheme="minorHAnsi" w:hAnsiTheme="minorHAnsi"/>
                <w:sz w:val="24"/>
                <w:szCs w:val="24"/>
              </w:rPr>
              <w:t xml:space="preserve">The applicant has the qualifications, experience, </w:t>
            </w:r>
            <w:proofErr w:type="gramStart"/>
            <w:r>
              <w:rPr>
                <w:rFonts w:asciiTheme="minorHAnsi" w:hAnsiTheme="minorHAnsi"/>
                <w:sz w:val="24"/>
                <w:szCs w:val="24"/>
              </w:rPr>
              <w:t>capabilities</w:t>
            </w:r>
            <w:proofErr w:type="gramEnd"/>
            <w:r>
              <w:rPr>
                <w:rFonts w:asciiTheme="minorHAnsi" w:hAnsiTheme="minorHAnsi"/>
                <w:sz w:val="24"/>
                <w:szCs w:val="24"/>
              </w:rPr>
              <w:t xml:space="preserve"> and other resources necessary to complete the proposed project; and</w:t>
            </w:r>
          </w:p>
          <w:p w14:paraId="2876DACD" w14:textId="58B7C6F3" w:rsidR="000C3607" w:rsidRPr="000C3607" w:rsidRDefault="004E672B" w:rsidP="00F836F4">
            <w:pPr>
              <w:pStyle w:val="PlainText"/>
              <w:numPr>
                <w:ilvl w:val="0"/>
                <w:numId w:val="53"/>
              </w:numPr>
              <w:ind w:left="705" w:hanging="345"/>
              <w:rPr>
                <w:rFonts w:asciiTheme="minorHAnsi" w:hAnsiTheme="minorHAnsi"/>
                <w:sz w:val="24"/>
                <w:szCs w:val="24"/>
              </w:rPr>
            </w:pPr>
            <w:r w:rsidRPr="000C3607">
              <w:rPr>
                <w:rFonts w:asciiTheme="minorHAnsi" w:hAnsiTheme="minorHAnsi"/>
                <w:sz w:val="24"/>
                <w:szCs w:val="24"/>
              </w:rPr>
              <w:t>The proposed work, if successfully accomplished, would clearly meet the objectives as stated in the FOA.</w:t>
            </w:r>
          </w:p>
        </w:tc>
      </w:tr>
    </w:tbl>
    <w:p w14:paraId="2EFF2229" w14:textId="7A22B355" w:rsidR="00B07932" w:rsidRPr="008858B4" w:rsidRDefault="00B07932" w:rsidP="008858B4"/>
    <w:p w14:paraId="0CCE513F" w14:textId="7CA574B8" w:rsidR="00B07932" w:rsidRPr="00872882" w:rsidRDefault="004E672B" w:rsidP="00F836F4">
      <w:pPr>
        <w:pStyle w:val="FOAHeading3"/>
        <w:numPr>
          <w:ilvl w:val="0"/>
          <w:numId w:val="34"/>
        </w:numPr>
        <w:ind w:left="1440"/>
        <w:outlineLvl w:val="2"/>
      </w:pPr>
      <w:bookmarkStart w:id="339" w:name="_Toc519602390"/>
      <w:bookmarkStart w:id="340" w:name="_Toc109921728"/>
      <w:r w:rsidRPr="00C72CE2">
        <w:t>Full Applications</w:t>
      </w:r>
      <w:bookmarkEnd w:id="339"/>
      <w:bookmarkEnd w:id="340"/>
    </w:p>
    <w:p w14:paraId="3D6F3A96" w14:textId="2D7E998B" w:rsidR="002B3BCA" w:rsidRDefault="002B3BCA" w:rsidP="002B3BCA">
      <w:pPr>
        <w:pStyle w:val="PlainText"/>
        <w:ind w:left="1440"/>
        <w:rPr>
          <w:rFonts w:asciiTheme="minorHAnsi" w:eastAsia="Times New Roman" w:hAnsiTheme="minorHAnsi" w:cs="Times New Roman"/>
          <w:b/>
          <w:sz w:val="24"/>
          <w:szCs w:val="24"/>
        </w:rPr>
      </w:pPr>
    </w:p>
    <w:p w14:paraId="26F16F25" w14:textId="1BCA43CC" w:rsidR="00F174C5" w:rsidRDefault="004E672B" w:rsidP="002B3BCA">
      <w:pPr>
        <w:pStyle w:val="PlainText"/>
        <w:ind w:left="1440"/>
        <w:rPr>
          <w:rFonts w:asciiTheme="minorHAnsi" w:hAnsiTheme="minorHAnsi"/>
          <w:sz w:val="24"/>
          <w:szCs w:val="24"/>
        </w:rPr>
      </w:pPr>
      <w:r w:rsidRPr="008D396A">
        <w:rPr>
          <w:rFonts w:asciiTheme="minorHAnsi" w:hAnsiTheme="minorHAnsi"/>
          <w:sz w:val="24"/>
          <w:szCs w:val="24"/>
        </w:rPr>
        <w:t>Applications will be evaluated against the merit review criteria shown below. All sub-criteria are of equal weight.</w:t>
      </w:r>
    </w:p>
    <w:p w14:paraId="75A29A08" w14:textId="6450AD3F" w:rsidR="00ED4040" w:rsidRDefault="00ED4040" w:rsidP="002B3BCA">
      <w:pPr>
        <w:pStyle w:val="PlainText"/>
        <w:ind w:left="1440"/>
        <w:rPr>
          <w:rFonts w:asciiTheme="minorHAnsi" w:hAnsiTheme="minorHAnsi"/>
          <w:sz w:val="24"/>
          <w:szCs w:val="24"/>
        </w:rPr>
      </w:pPr>
    </w:p>
    <w:tbl>
      <w:tblPr>
        <w:tblStyle w:val="TableGrid"/>
        <w:tblW w:w="0" w:type="auto"/>
        <w:tblInd w:w="1332" w:type="dxa"/>
        <w:tblLook w:val="04A0" w:firstRow="1" w:lastRow="0" w:firstColumn="1" w:lastColumn="0" w:noHBand="0" w:noVBand="1"/>
      </w:tblPr>
      <w:tblGrid>
        <w:gridCol w:w="8000"/>
      </w:tblGrid>
      <w:tr w:rsidR="00BF65D1" w14:paraId="647149FF" w14:textId="77777777" w:rsidTr="009B23E3">
        <w:tc>
          <w:tcPr>
            <w:tcW w:w="8000" w:type="dxa"/>
            <w:tcBorders>
              <w:top w:val="nil"/>
              <w:left w:val="nil"/>
              <w:bottom w:val="nil"/>
              <w:right w:val="nil"/>
            </w:tcBorders>
          </w:tcPr>
          <w:p w14:paraId="4CFA9237" w14:textId="193FB69F" w:rsidR="006C4962" w:rsidRPr="00DB1DE6" w:rsidRDefault="004E672B" w:rsidP="008A58BC">
            <w:pPr>
              <w:rPr>
                <w:b/>
                <w:color w:val="000000" w:themeColor="text1"/>
              </w:rPr>
            </w:pPr>
            <w:r w:rsidRPr="00DB1DE6">
              <w:rPr>
                <w:rFonts w:ascii="Calibri" w:eastAsia="Calibri" w:hAnsi="Calibri" w:cs="Calibri"/>
                <w:b/>
                <w:color w:val="000000" w:themeColor="text1"/>
              </w:rPr>
              <w:t>Criterion 1: Technical Merit, Innovation, and Impact (</w:t>
            </w:r>
            <w:r w:rsidR="00C77B83" w:rsidRPr="00DB1DE6">
              <w:rPr>
                <w:rFonts w:ascii="Calibri" w:eastAsia="Calibri" w:hAnsi="Calibri" w:cs="Calibri"/>
                <w:b/>
                <w:color w:val="000000" w:themeColor="text1"/>
              </w:rPr>
              <w:t>4</w:t>
            </w:r>
            <w:r w:rsidRPr="00DB1DE6">
              <w:rPr>
                <w:rFonts w:ascii="Calibri" w:eastAsia="Calibri" w:hAnsi="Calibri" w:cs="Calibri"/>
                <w:b/>
                <w:color w:val="000000" w:themeColor="text1"/>
              </w:rPr>
              <w:t>5%)</w:t>
            </w:r>
          </w:p>
          <w:p w14:paraId="0AC24AE0" w14:textId="77777777" w:rsidR="00BF65D1" w:rsidRPr="00DB1DE6" w:rsidRDefault="004E672B" w:rsidP="008A58BC">
            <w:pPr>
              <w:rPr>
                <w:rFonts w:ascii="Times New Roman" w:hAnsi="Times New Roman"/>
                <w:b/>
                <w:color w:val="000000" w:themeColor="text1"/>
              </w:rPr>
            </w:pPr>
            <w:r w:rsidRPr="00DB1DE6">
              <w:rPr>
                <w:rFonts w:ascii="Calibri" w:eastAsia="Calibri" w:hAnsi="Calibri" w:cs="Calibri"/>
                <w:color w:val="000000" w:themeColor="text1"/>
                <w:szCs w:val="24"/>
              </w:rPr>
              <w:t>This criterion involves consideration of the following factors:</w:t>
            </w:r>
          </w:p>
          <w:p w14:paraId="5ABF2C18" w14:textId="62DE3802" w:rsidR="00BF65D1" w:rsidRPr="00DB1DE6" w:rsidRDefault="004E672B" w:rsidP="003D52B2">
            <w:pPr>
              <w:rPr>
                <w:color w:val="000000" w:themeColor="text1"/>
              </w:rPr>
            </w:pPr>
            <w:r w:rsidRPr="00DB1DE6">
              <w:rPr>
                <w:rFonts w:ascii="Calibri" w:eastAsia="Calibri" w:hAnsi="Calibri" w:cs="Calibri"/>
                <w:color w:val="000000" w:themeColor="text1"/>
              </w:rPr>
              <w:t>Technical Merit and Innovation</w:t>
            </w:r>
          </w:p>
          <w:p w14:paraId="730B81D0" w14:textId="5C75FA4B" w:rsidR="003D52B2" w:rsidRPr="00DB1DE6" w:rsidRDefault="004E672B" w:rsidP="00F836F4">
            <w:pPr>
              <w:numPr>
                <w:ilvl w:val="0"/>
                <w:numId w:val="70"/>
              </w:numPr>
              <w:rPr>
                <w:color w:val="000000" w:themeColor="text1"/>
              </w:rPr>
            </w:pPr>
            <w:r w:rsidRPr="00DB1DE6">
              <w:rPr>
                <w:rFonts w:ascii="Calibri" w:eastAsia="Calibri" w:hAnsi="Calibri" w:cs="Calibri"/>
                <w:color w:val="000000" w:themeColor="text1"/>
              </w:rPr>
              <w:t xml:space="preserve">Extent to which the proposed technology or process is </w:t>
            </w:r>
            <w:proofErr w:type="gramStart"/>
            <w:r w:rsidRPr="00DB1DE6">
              <w:rPr>
                <w:rFonts w:ascii="Calibri" w:eastAsia="Calibri" w:hAnsi="Calibri" w:cs="Calibri"/>
                <w:color w:val="000000" w:themeColor="text1"/>
              </w:rPr>
              <w:t>innovative;</w:t>
            </w:r>
            <w:proofErr w:type="gramEnd"/>
          </w:p>
          <w:p w14:paraId="1B7FF463" w14:textId="505DED02" w:rsidR="003D52B2" w:rsidRPr="00DB1DE6" w:rsidRDefault="004E672B" w:rsidP="00F836F4">
            <w:pPr>
              <w:numPr>
                <w:ilvl w:val="0"/>
                <w:numId w:val="68"/>
              </w:numPr>
              <w:rPr>
                <w:color w:val="000000" w:themeColor="text1"/>
              </w:rPr>
            </w:pPr>
            <w:r w:rsidRPr="00DB1DE6">
              <w:rPr>
                <w:rFonts w:ascii="Calibri" w:eastAsia="Calibri" w:hAnsi="Calibri" w:cs="Calibri"/>
                <w:color w:val="000000" w:themeColor="text1"/>
              </w:rPr>
              <w:t xml:space="preserve">Degree to which the current state of the technology and the proposed advancement are clearly </w:t>
            </w:r>
            <w:proofErr w:type="gramStart"/>
            <w:r w:rsidRPr="00DB1DE6">
              <w:rPr>
                <w:rFonts w:ascii="Calibri" w:eastAsia="Calibri" w:hAnsi="Calibri" w:cs="Calibri"/>
                <w:color w:val="000000" w:themeColor="text1"/>
              </w:rPr>
              <w:t>described;</w:t>
            </w:r>
            <w:proofErr w:type="gramEnd"/>
          </w:p>
          <w:p w14:paraId="16CF3C21" w14:textId="25E0FF63" w:rsidR="003D52B2" w:rsidRPr="00DB1DE6" w:rsidRDefault="004E672B" w:rsidP="00F836F4">
            <w:pPr>
              <w:numPr>
                <w:ilvl w:val="0"/>
                <w:numId w:val="68"/>
              </w:numPr>
              <w:rPr>
                <w:color w:val="000000" w:themeColor="text1"/>
              </w:rPr>
            </w:pPr>
            <w:r w:rsidRPr="00DB1DE6">
              <w:rPr>
                <w:rFonts w:ascii="Calibri" w:eastAsia="Calibri" w:hAnsi="Calibri" w:cs="Calibri"/>
                <w:color w:val="000000" w:themeColor="text1"/>
              </w:rPr>
              <w:t>Extent to which the application specifically and convincingly demonstrates how the applicant will move the state-of-the-art to the proposed advancement; and</w:t>
            </w:r>
          </w:p>
          <w:p w14:paraId="27428060" w14:textId="744D3952" w:rsidR="003D52B2" w:rsidRPr="00DB1DE6" w:rsidRDefault="004E672B" w:rsidP="00F836F4">
            <w:pPr>
              <w:numPr>
                <w:ilvl w:val="0"/>
                <w:numId w:val="68"/>
              </w:numPr>
              <w:rPr>
                <w:color w:val="000000" w:themeColor="text1"/>
              </w:rPr>
            </w:pPr>
            <w:r w:rsidRPr="00DB1DE6">
              <w:rPr>
                <w:rFonts w:ascii="Calibri" w:eastAsia="Calibri" w:hAnsi="Calibri" w:cs="Calibri"/>
                <w:color w:val="000000" w:themeColor="text1"/>
              </w:rPr>
              <w:t xml:space="preserve">Sufficiency of technical detail in the application to assess whether the proposed work is scientifically meritorious and revolutionary, including relevant data, </w:t>
            </w:r>
            <w:proofErr w:type="gramStart"/>
            <w:r w:rsidRPr="00DB1DE6">
              <w:rPr>
                <w:rFonts w:ascii="Calibri" w:eastAsia="Calibri" w:hAnsi="Calibri" w:cs="Calibri"/>
                <w:color w:val="000000" w:themeColor="text1"/>
              </w:rPr>
              <w:t>calculations</w:t>
            </w:r>
            <w:proofErr w:type="gramEnd"/>
            <w:r w:rsidRPr="00DB1DE6">
              <w:rPr>
                <w:rFonts w:ascii="Calibri" w:eastAsia="Calibri" w:hAnsi="Calibri" w:cs="Calibri"/>
                <w:color w:val="000000" w:themeColor="text1"/>
              </w:rPr>
              <w:t xml:space="preserve"> and discussion of prior work in the literature with analyses that support the viability of the proposed work.</w:t>
            </w:r>
          </w:p>
          <w:p w14:paraId="3D43BA2B" w14:textId="0A90FA68" w:rsidR="00BF65D1" w:rsidRPr="00DB1DE6" w:rsidRDefault="004E672B" w:rsidP="003D52B2">
            <w:pPr>
              <w:rPr>
                <w:color w:val="000000" w:themeColor="text1"/>
              </w:rPr>
            </w:pPr>
            <w:r w:rsidRPr="00DB1DE6">
              <w:rPr>
                <w:rFonts w:ascii="Calibri" w:eastAsia="Calibri" w:hAnsi="Calibri" w:cs="Calibri"/>
                <w:color w:val="000000" w:themeColor="text1"/>
              </w:rPr>
              <w:t>Impact of Technology Advancement</w:t>
            </w:r>
          </w:p>
          <w:p w14:paraId="6A49CE8C" w14:textId="0F0A0C02" w:rsidR="003D52B2" w:rsidRPr="00DB1DE6" w:rsidRDefault="004E672B" w:rsidP="00F836F4">
            <w:pPr>
              <w:numPr>
                <w:ilvl w:val="0"/>
                <w:numId w:val="71"/>
              </w:numPr>
              <w:rPr>
                <w:color w:val="000000" w:themeColor="text1"/>
              </w:rPr>
            </w:pPr>
            <w:r w:rsidRPr="00DB1DE6">
              <w:rPr>
                <w:rFonts w:ascii="Calibri" w:eastAsia="Calibri" w:hAnsi="Calibri" w:cs="Calibri"/>
                <w:color w:val="000000" w:themeColor="text1"/>
              </w:rPr>
              <w:t>How the project supports the topic area objectives and target specifications and metrics; and</w:t>
            </w:r>
          </w:p>
          <w:p w14:paraId="72CAAD8F" w14:textId="0921D688" w:rsidR="00C77B83" w:rsidRPr="00DB1DE6" w:rsidRDefault="004E672B" w:rsidP="00F836F4">
            <w:pPr>
              <w:numPr>
                <w:ilvl w:val="0"/>
                <w:numId w:val="69"/>
              </w:numPr>
              <w:rPr>
                <w:color w:val="000000" w:themeColor="text1"/>
              </w:rPr>
            </w:pPr>
            <w:r w:rsidRPr="00DB1DE6">
              <w:rPr>
                <w:rFonts w:ascii="Calibri" w:eastAsia="Calibri" w:hAnsi="Calibri" w:cs="Calibri"/>
                <w:color w:val="000000" w:themeColor="text1"/>
              </w:rPr>
              <w:t>The potential impact of the project on advancing the state-of-the-art.</w:t>
            </w:r>
          </w:p>
        </w:tc>
      </w:tr>
      <w:tr w:rsidR="00BF65D1" w14:paraId="362A43AF" w14:textId="77777777" w:rsidTr="009B23E3">
        <w:tc>
          <w:tcPr>
            <w:tcW w:w="8000" w:type="dxa"/>
            <w:tcBorders>
              <w:top w:val="nil"/>
              <w:left w:val="nil"/>
              <w:bottom w:val="nil"/>
              <w:right w:val="nil"/>
            </w:tcBorders>
          </w:tcPr>
          <w:p w14:paraId="42B76FCD" w14:textId="77777777" w:rsidR="003D52B2" w:rsidRPr="00DB1DE6" w:rsidRDefault="003D52B2" w:rsidP="006C4962">
            <w:pPr>
              <w:rPr>
                <w:b/>
                <w:color w:val="000000" w:themeColor="text1"/>
              </w:rPr>
            </w:pPr>
          </w:p>
          <w:p w14:paraId="0C92545C" w14:textId="59126604" w:rsidR="00BF65D1" w:rsidRPr="00DB1DE6" w:rsidRDefault="004E672B" w:rsidP="006C4962">
            <w:r w:rsidRPr="00DB1DE6">
              <w:rPr>
                <w:rFonts w:ascii="Calibri" w:eastAsia="Calibri" w:hAnsi="Calibri" w:cs="Calibri"/>
                <w:b/>
              </w:rPr>
              <w:t>Criterion 2: Project Research and Market Transformation Plan (</w:t>
            </w:r>
            <w:r w:rsidR="007D19F0" w:rsidRPr="00DB1DE6">
              <w:rPr>
                <w:rFonts w:ascii="Calibri" w:eastAsia="Calibri" w:hAnsi="Calibri" w:cs="Calibri"/>
                <w:b/>
              </w:rPr>
              <w:t>25</w:t>
            </w:r>
            <w:r w:rsidRPr="00DB1DE6">
              <w:rPr>
                <w:rFonts w:ascii="Calibri" w:eastAsia="Calibri" w:hAnsi="Calibri" w:cs="Calibri"/>
                <w:b/>
              </w:rPr>
              <w:t>%)</w:t>
            </w:r>
          </w:p>
          <w:p w14:paraId="49011AB2" w14:textId="77777777" w:rsidR="00BF65D1" w:rsidRPr="00DB1DE6" w:rsidRDefault="004E672B" w:rsidP="006C4962">
            <w:pPr>
              <w:rPr>
                <w:rFonts w:ascii="Times New Roman" w:hAnsi="Times New Roman"/>
                <w:b/>
              </w:rPr>
            </w:pPr>
            <w:r w:rsidRPr="00DB1DE6">
              <w:rPr>
                <w:rFonts w:ascii="Calibri" w:eastAsia="Calibri" w:hAnsi="Calibri" w:cs="Calibri"/>
                <w:szCs w:val="24"/>
              </w:rPr>
              <w:t>This criterion involves consideration of the following factors:</w:t>
            </w:r>
          </w:p>
          <w:p w14:paraId="4A6A06BD" w14:textId="77777777" w:rsidR="00BF65D1" w:rsidRPr="00DB1DE6" w:rsidRDefault="004E672B" w:rsidP="003D52B2">
            <w:r w:rsidRPr="00DB1DE6">
              <w:rPr>
                <w:rFonts w:ascii="Calibri" w:eastAsia="Calibri" w:hAnsi="Calibri" w:cs="Calibri"/>
              </w:rPr>
              <w:t>Research Approach, Workplan and SOPO</w:t>
            </w:r>
          </w:p>
          <w:p w14:paraId="609165F6" w14:textId="77777777" w:rsidR="00BF65D1" w:rsidRPr="00DB1DE6" w:rsidRDefault="004E672B" w:rsidP="00F836F4">
            <w:pPr>
              <w:numPr>
                <w:ilvl w:val="0"/>
                <w:numId w:val="75"/>
              </w:numPr>
            </w:pPr>
            <w:r w:rsidRPr="00DB1DE6">
              <w:rPr>
                <w:rFonts w:ascii="Calibri" w:eastAsia="Calibri" w:hAnsi="Calibri" w:cs="Calibri"/>
              </w:rPr>
              <w:t>Degree to which the approach and critical path have been clearly described and thoughtfully considered; and</w:t>
            </w:r>
          </w:p>
          <w:p w14:paraId="45017E63" w14:textId="77777777" w:rsidR="00BF65D1" w:rsidRPr="00DB1DE6" w:rsidRDefault="004E672B" w:rsidP="00F836F4">
            <w:pPr>
              <w:numPr>
                <w:ilvl w:val="0"/>
                <w:numId w:val="72"/>
              </w:numPr>
            </w:pPr>
            <w:r w:rsidRPr="00DB1DE6">
              <w:rPr>
                <w:rFonts w:ascii="Calibri" w:eastAsia="Calibri" w:hAnsi="Calibri" w:cs="Calibri"/>
              </w:rPr>
              <w:t>Degree to which the task descriptions are clear, detailed, timely, and reasonable, resulting in a high likelihood that the proposed Workplan and SOPO will succeed in meeting the project goals.</w:t>
            </w:r>
          </w:p>
          <w:p w14:paraId="655A64A5" w14:textId="77777777" w:rsidR="00BF65D1" w:rsidRPr="00DB1DE6" w:rsidRDefault="004E672B" w:rsidP="003D52B2">
            <w:r w:rsidRPr="00DB1DE6">
              <w:rPr>
                <w:rFonts w:ascii="Calibri" w:eastAsia="Calibri" w:hAnsi="Calibri" w:cs="Calibri"/>
              </w:rPr>
              <w:t>Identification of Technical Risks</w:t>
            </w:r>
          </w:p>
          <w:p w14:paraId="57D3EF1F" w14:textId="77777777" w:rsidR="00BF65D1" w:rsidRPr="00DB1DE6" w:rsidRDefault="004E672B" w:rsidP="00F836F4">
            <w:pPr>
              <w:numPr>
                <w:ilvl w:val="0"/>
                <w:numId w:val="76"/>
              </w:numPr>
            </w:pPr>
            <w:r w:rsidRPr="00DB1DE6">
              <w:rPr>
                <w:rFonts w:ascii="Calibri" w:eastAsia="Calibri" w:hAnsi="Calibri" w:cs="Calibri"/>
              </w:rPr>
              <w:t>Discussion and demonstrated understanding of the key technical risk areas involved in the proposed work and the quality of the mitigation strategies to address them.</w:t>
            </w:r>
          </w:p>
          <w:p w14:paraId="788968A7" w14:textId="77777777" w:rsidR="00BF65D1" w:rsidRPr="00DB1DE6" w:rsidRDefault="004E672B" w:rsidP="003D52B2">
            <w:r w:rsidRPr="00DB1DE6">
              <w:rPr>
                <w:rFonts w:ascii="Calibri" w:eastAsia="Calibri" w:hAnsi="Calibri" w:cs="Calibri"/>
              </w:rPr>
              <w:t>Baseline, Metrics, and Deliverables</w:t>
            </w:r>
          </w:p>
          <w:p w14:paraId="4A80BA31" w14:textId="77777777" w:rsidR="00BF65D1" w:rsidRPr="00DB1DE6" w:rsidRDefault="004E672B" w:rsidP="00F836F4">
            <w:pPr>
              <w:numPr>
                <w:ilvl w:val="0"/>
                <w:numId w:val="77"/>
              </w:numPr>
            </w:pPr>
            <w:r w:rsidRPr="00DB1DE6">
              <w:rPr>
                <w:rFonts w:ascii="Calibri" w:eastAsia="Calibri" w:hAnsi="Calibri" w:cs="Calibri"/>
              </w:rPr>
              <w:t>The level of clarity in the definition of the baseline, metrics, and milestones; and</w:t>
            </w:r>
          </w:p>
          <w:p w14:paraId="4773B674" w14:textId="77777777" w:rsidR="00BF65D1" w:rsidRPr="00DB1DE6" w:rsidRDefault="004E672B" w:rsidP="00F836F4">
            <w:pPr>
              <w:numPr>
                <w:ilvl w:val="0"/>
                <w:numId w:val="73"/>
              </w:numPr>
            </w:pPr>
            <w:r w:rsidRPr="00DB1DE6">
              <w:rPr>
                <w:rFonts w:ascii="Calibri" w:eastAsia="Calibri" w:hAnsi="Calibri" w:cs="Calibri"/>
              </w:rPr>
              <w:t xml:space="preserve">Relative to a clearly defined experimental baseline, the strength of the quantifiable metrics, milestones, and a </w:t>
            </w:r>
            <w:proofErr w:type="gramStart"/>
            <w:r w:rsidRPr="00DB1DE6">
              <w:rPr>
                <w:rFonts w:ascii="Calibri" w:eastAsia="Calibri" w:hAnsi="Calibri" w:cs="Calibri"/>
              </w:rPr>
              <w:t>mid-point deliverables</w:t>
            </w:r>
            <w:proofErr w:type="gramEnd"/>
            <w:r w:rsidRPr="00DB1DE6">
              <w:rPr>
                <w:rFonts w:ascii="Calibri" w:eastAsia="Calibri" w:hAnsi="Calibri" w:cs="Calibri"/>
              </w:rPr>
              <w:t xml:space="preserve"> defined in the application, such that meaningful interim progress will be made.</w:t>
            </w:r>
          </w:p>
          <w:p w14:paraId="3D2B5303" w14:textId="77777777" w:rsidR="00BF65D1" w:rsidRPr="00DB1DE6" w:rsidRDefault="004E672B" w:rsidP="003D52B2">
            <w:r w:rsidRPr="00DB1DE6">
              <w:rPr>
                <w:rFonts w:ascii="Calibri" w:eastAsia="Calibri" w:hAnsi="Calibri" w:cs="Calibri"/>
              </w:rPr>
              <w:t>Market Transformation Plan</w:t>
            </w:r>
          </w:p>
          <w:p w14:paraId="421C6FE2" w14:textId="77777777" w:rsidR="00BF65D1" w:rsidRPr="00DB1DE6" w:rsidRDefault="004E672B" w:rsidP="00F836F4">
            <w:pPr>
              <w:numPr>
                <w:ilvl w:val="0"/>
                <w:numId w:val="78"/>
              </w:numPr>
            </w:pPr>
            <w:r w:rsidRPr="00DB1DE6">
              <w:rPr>
                <w:rFonts w:ascii="Calibri" w:eastAsia="Calibri" w:hAnsi="Calibri" w:cs="Calibri"/>
              </w:rPr>
              <w:t>Identification of target market, competitors, and distribution channels for proposed technology along with known or perceived barriers to market penetration, including mitigation plan; and</w:t>
            </w:r>
          </w:p>
          <w:p w14:paraId="7618F2DF" w14:textId="75090000" w:rsidR="00BF65D1" w:rsidRPr="00DB1DE6" w:rsidRDefault="004E672B" w:rsidP="00F836F4">
            <w:pPr>
              <w:numPr>
                <w:ilvl w:val="0"/>
                <w:numId w:val="74"/>
              </w:numPr>
            </w:pPr>
            <w:r w:rsidRPr="00DB1DE6">
              <w:rPr>
                <w:rFonts w:ascii="Calibri" w:eastAsia="Calibri" w:hAnsi="Calibri" w:cs="Calibri"/>
              </w:rPr>
              <w:t>Comprehensiveness of market transformation plan including but not limited to product development and/or service plan, commercialization timeline, financing, product marketing, legal/regulatory considerations including intellectual property, infrastructure requirements, and product distribution.</w:t>
            </w:r>
          </w:p>
        </w:tc>
      </w:tr>
      <w:tr w:rsidR="00BF65D1" w14:paraId="40B0FB0E" w14:textId="77777777" w:rsidTr="009B23E3">
        <w:tc>
          <w:tcPr>
            <w:tcW w:w="8000" w:type="dxa"/>
            <w:tcBorders>
              <w:top w:val="nil"/>
              <w:left w:val="nil"/>
              <w:bottom w:val="nil"/>
              <w:right w:val="nil"/>
            </w:tcBorders>
          </w:tcPr>
          <w:p w14:paraId="546B4735" w14:textId="77777777" w:rsidR="003D52B2" w:rsidRPr="00DB1DE6" w:rsidRDefault="003D52B2" w:rsidP="000F07E2">
            <w:pPr>
              <w:rPr>
                <w:b/>
                <w:color w:val="000000" w:themeColor="text1"/>
              </w:rPr>
            </w:pPr>
          </w:p>
          <w:p w14:paraId="0520E04A" w14:textId="31E07D19" w:rsidR="00BF65D1" w:rsidRPr="00DB1DE6" w:rsidRDefault="004E672B" w:rsidP="000F07E2">
            <w:r w:rsidRPr="00DB1DE6">
              <w:rPr>
                <w:rFonts w:ascii="Calibri" w:eastAsia="Calibri" w:hAnsi="Calibri" w:cs="Calibri"/>
                <w:b/>
              </w:rPr>
              <w:t>Criterion 3: Team and Resources (</w:t>
            </w:r>
            <w:r w:rsidR="007D19F0" w:rsidRPr="00DB1DE6">
              <w:rPr>
                <w:rFonts w:ascii="Calibri" w:eastAsia="Calibri" w:hAnsi="Calibri" w:cs="Calibri"/>
                <w:b/>
              </w:rPr>
              <w:t>15</w:t>
            </w:r>
            <w:r w:rsidRPr="00DB1DE6">
              <w:rPr>
                <w:rFonts w:ascii="Calibri" w:eastAsia="Calibri" w:hAnsi="Calibri" w:cs="Calibri"/>
                <w:b/>
              </w:rPr>
              <w:t>%)</w:t>
            </w:r>
          </w:p>
          <w:p w14:paraId="5ECCFCCF" w14:textId="77777777" w:rsidR="00BF65D1" w:rsidRPr="00DB1DE6" w:rsidRDefault="004E672B" w:rsidP="000F07E2">
            <w:pPr>
              <w:rPr>
                <w:rFonts w:ascii="Times New Roman" w:hAnsi="Times New Roman"/>
                <w:b/>
              </w:rPr>
            </w:pPr>
            <w:r w:rsidRPr="00DB1DE6">
              <w:rPr>
                <w:rFonts w:ascii="Calibri" w:eastAsia="Calibri" w:hAnsi="Calibri" w:cs="Calibri"/>
                <w:szCs w:val="24"/>
              </w:rPr>
              <w:t>This criterion involves consideration of the following factors:</w:t>
            </w:r>
          </w:p>
          <w:p w14:paraId="790B6CAF" w14:textId="36E51612" w:rsidR="00BF65D1" w:rsidRPr="00DB1DE6" w:rsidRDefault="004E672B" w:rsidP="00F836F4">
            <w:pPr>
              <w:numPr>
                <w:ilvl w:val="0"/>
                <w:numId w:val="80"/>
              </w:numPr>
            </w:pPr>
            <w:r w:rsidRPr="00DB1DE6">
              <w:rPr>
                <w:rFonts w:ascii="Calibri" w:eastAsia="Calibri" w:hAnsi="Calibri" w:cs="Calibri"/>
              </w:rPr>
              <w:t xml:space="preserve">The capability of the Principal Investigator(s) and the proposed team to address all aspects of the proposed work with a high probability of success. The qualifications, relevant expertise, and time commitment of the individuals on the </w:t>
            </w:r>
            <w:proofErr w:type="gramStart"/>
            <w:r w:rsidRPr="00DB1DE6">
              <w:rPr>
                <w:rFonts w:ascii="Calibri" w:eastAsia="Calibri" w:hAnsi="Calibri" w:cs="Calibri"/>
              </w:rPr>
              <w:t>team;</w:t>
            </w:r>
            <w:proofErr w:type="gramEnd"/>
          </w:p>
          <w:p w14:paraId="46556D76" w14:textId="6069A228" w:rsidR="00BF65D1" w:rsidRPr="00DB1DE6" w:rsidRDefault="004E672B" w:rsidP="00F836F4">
            <w:pPr>
              <w:numPr>
                <w:ilvl w:val="0"/>
                <w:numId w:val="79"/>
              </w:numPr>
            </w:pPr>
            <w:r w:rsidRPr="00DB1DE6">
              <w:rPr>
                <w:rFonts w:ascii="Calibri" w:eastAsia="Calibri" w:hAnsi="Calibri" w:cs="Calibri"/>
              </w:rPr>
              <w:t xml:space="preserve">The sufficiency of the facilities to support the </w:t>
            </w:r>
            <w:proofErr w:type="gramStart"/>
            <w:r w:rsidRPr="00DB1DE6">
              <w:rPr>
                <w:rFonts w:ascii="Calibri" w:eastAsia="Calibri" w:hAnsi="Calibri" w:cs="Calibri"/>
              </w:rPr>
              <w:t>work;</w:t>
            </w:r>
            <w:proofErr w:type="gramEnd"/>
          </w:p>
          <w:p w14:paraId="56551352" w14:textId="4A207D19" w:rsidR="00BF65D1" w:rsidRPr="00DB1DE6" w:rsidRDefault="004E672B" w:rsidP="00F836F4">
            <w:pPr>
              <w:numPr>
                <w:ilvl w:val="0"/>
                <w:numId w:val="79"/>
              </w:numPr>
            </w:pPr>
            <w:r w:rsidRPr="00DB1DE6">
              <w:rPr>
                <w:rFonts w:ascii="Calibri" w:eastAsia="Calibri" w:hAnsi="Calibri" w:cs="Calibri"/>
              </w:rPr>
              <w:t xml:space="preserve">The degree to which the proposed consortia/team demonstrates the ability to facilitate and expedite further development and commercial deployment of the proposed </w:t>
            </w:r>
            <w:proofErr w:type="gramStart"/>
            <w:r w:rsidRPr="00DB1DE6">
              <w:rPr>
                <w:rFonts w:ascii="Calibri" w:eastAsia="Calibri" w:hAnsi="Calibri" w:cs="Calibri"/>
              </w:rPr>
              <w:t>technologies;</w:t>
            </w:r>
            <w:proofErr w:type="gramEnd"/>
          </w:p>
          <w:p w14:paraId="18D30742" w14:textId="68082F3C" w:rsidR="00BF65D1" w:rsidRPr="00DB1DE6" w:rsidRDefault="004E672B" w:rsidP="00F836F4">
            <w:pPr>
              <w:numPr>
                <w:ilvl w:val="0"/>
                <w:numId w:val="79"/>
              </w:numPr>
            </w:pPr>
            <w:r w:rsidRPr="00DB1DE6">
              <w:rPr>
                <w:rFonts w:ascii="Calibri" w:eastAsia="Calibri" w:hAnsi="Calibri" w:cs="Calibri"/>
              </w:rPr>
              <w:t>The level of participation by project participants as evidenced by letter(s) of commitment and how well they are integrated into the Workplan; and</w:t>
            </w:r>
          </w:p>
          <w:p w14:paraId="0AEFC55C" w14:textId="18E8D12C" w:rsidR="001D3F2D" w:rsidRPr="001D13AE" w:rsidRDefault="004E672B" w:rsidP="00F836F4">
            <w:pPr>
              <w:numPr>
                <w:ilvl w:val="0"/>
                <w:numId w:val="79"/>
              </w:numPr>
            </w:pPr>
            <w:r w:rsidRPr="00DB1DE6">
              <w:rPr>
                <w:rFonts w:ascii="Calibri" w:eastAsia="Calibri" w:hAnsi="Calibri" w:cs="Calibri"/>
              </w:rPr>
              <w:t>The reasonableness of the budget and spend plan for the proposed project and objectives.</w:t>
            </w:r>
          </w:p>
          <w:p w14:paraId="36AD41E7" w14:textId="44014744" w:rsidR="00270264" w:rsidRDefault="00270264" w:rsidP="00270264">
            <w:pPr>
              <w:rPr>
                <w:rFonts w:ascii="Calibri" w:eastAsia="Calibri" w:hAnsi="Calibri" w:cs="Calibri"/>
              </w:rPr>
            </w:pPr>
          </w:p>
          <w:p w14:paraId="00C7D4F3" w14:textId="77777777" w:rsidR="00270264" w:rsidRDefault="00270264" w:rsidP="00270264">
            <w:pPr>
              <w:rPr>
                <w:rFonts w:ascii="TT13Et00" w:eastAsia="Segoe UI" w:hAnsi="TT13Et00" w:cs="Segoe UI"/>
                <w:b/>
              </w:rPr>
            </w:pPr>
            <w:r w:rsidRPr="004A4E7C">
              <w:rPr>
                <w:rFonts w:ascii="TT13Et00" w:eastAsia="Segoe UI" w:hAnsi="TT13Et00" w:cs="Segoe UI"/>
                <w:b/>
              </w:rPr>
              <w:t xml:space="preserve">Criterion </w:t>
            </w:r>
            <w:r>
              <w:rPr>
                <w:rFonts w:ascii="TT13Et00" w:eastAsia="Segoe UI" w:hAnsi="TT13Et00" w:cs="Segoe UI"/>
                <w:b/>
              </w:rPr>
              <w:t>4</w:t>
            </w:r>
            <w:r w:rsidRPr="004A4E7C">
              <w:rPr>
                <w:rFonts w:ascii="TT13Et00" w:eastAsia="Segoe UI" w:hAnsi="TT13Et00" w:cs="Segoe UI"/>
                <w:b/>
              </w:rPr>
              <w:t xml:space="preserve">: </w:t>
            </w:r>
            <w:r>
              <w:rPr>
                <w:rFonts w:ascii="TT13Et00" w:hAnsi="TT13Et00"/>
                <w:b/>
              </w:rPr>
              <w:t xml:space="preserve">Community Benefits Plan: Job Quality and Equity (Community Benefits Plan) </w:t>
            </w:r>
            <w:r w:rsidRPr="004A4E7C">
              <w:rPr>
                <w:rFonts w:ascii="TT13Et00" w:eastAsia="Segoe UI" w:hAnsi="TT13Et00" w:cs="Segoe UI"/>
                <w:b/>
              </w:rPr>
              <w:t>(</w:t>
            </w:r>
            <w:r>
              <w:rPr>
                <w:rFonts w:ascii="TT13Et00" w:eastAsia="Segoe UI" w:hAnsi="TT13Et00" w:cs="Segoe UI"/>
                <w:b/>
              </w:rPr>
              <w:t>15</w:t>
            </w:r>
            <w:r w:rsidRPr="004A4E7C">
              <w:rPr>
                <w:rFonts w:ascii="TT13Et00" w:eastAsia="Segoe UI" w:hAnsi="TT13Et00" w:cs="Segoe UI"/>
                <w:b/>
              </w:rPr>
              <w:t>%)</w:t>
            </w:r>
          </w:p>
          <w:p w14:paraId="0D411133" w14:textId="35CB08D9" w:rsidR="00270264" w:rsidRDefault="00270264" w:rsidP="00270264">
            <w:pPr>
              <w:rPr>
                <w:u w:val="single"/>
              </w:rPr>
            </w:pPr>
            <w:r w:rsidRPr="005D7062">
              <w:t xml:space="preserve">The extent to which applicant’s </w:t>
            </w:r>
            <w:r>
              <w:t>Community Benefits Plan</w:t>
            </w:r>
            <w:r w:rsidRPr="005D7062">
              <w:t xml:space="preserve"> illustrates project viability and social risk mitigation through the delivery of high-quality jobs, minimal environmental impact, and allocation of 40% of project benefits to </w:t>
            </w:r>
            <w:r w:rsidR="00BF115F">
              <w:t>disadvantaged communities</w:t>
            </w:r>
            <w:r w:rsidRPr="005D7062">
              <w:t>.</w:t>
            </w:r>
          </w:p>
          <w:p w14:paraId="143D775F" w14:textId="77777777" w:rsidR="00270264" w:rsidRDefault="00270264" w:rsidP="00270264">
            <w:pPr>
              <w:rPr>
                <w:color w:val="000000"/>
                <w:sz w:val="27"/>
                <w:szCs w:val="27"/>
                <w:u w:val="single"/>
              </w:rPr>
            </w:pPr>
          </w:p>
          <w:p w14:paraId="15192C14" w14:textId="77777777" w:rsidR="00270264" w:rsidRDefault="00270264" w:rsidP="00270264">
            <w:pPr>
              <w:rPr>
                <w:u w:val="single"/>
              </w:rPr>
            </w:pPr>
            <w:r>
              <w:rPr>
                <w:u w:val="single"/>
              </w:rPr>
              <w:t>Community and Labor Engagement</w:t>
            </w:r>
          </w:p>
          <w:p w14:paraId="01BCABB6" w14:textId="7BA1EB2D" w:rsidR="00270264" w:rsidRPr="004309FE" w:rsidRDefault="00270264" w:rsidP="00F836F4">
            <w:pPr>
              <w:pStyle w:val="ListParagraph"/>
              <w:numPr>
                <w:ilvl w:val="0"/>
                <w:numId w:val="118"/>
              </w:numPr>
            </w:pPr>
            <w:r w:rsidRPr="004309FE">
              <w:t xml:space="preserve">Extent to which project demonstrates a clear plan to engage local stakeholders, including labor unions and community-based organizations that support or work with </w:t>
            </w:r>
            <w:r w:rsidR="0091714F">
              <w:t>d</w:t>
            </w:r>
            <w:r w:rsidR="00BF115F">
              <w:t>isadvantaged communities</w:t>
            </w:r>
            <w:r w:rsidRPr="004309FE">
              <w:t>.</w:t>
            </w:r>
          </w:p>
          <w:p w14:paraId="3E1415EF" w14:textId="77777777" w:rsidR="00270264" w:rsidRDefault="00270264" w:rsidP="00270264">
            <w:pPr>
              <w:rPr>
                <w:u w:val="single"/>
              </w:rPr>
            </w:pPr>
          </w:p>
          <w:p w14:paraId="239A457C" w14:textId="77777777" w:rsidR="00270264" w:rsidRPr="00FB4E33" w:rsidRDefault="00270264" w:rsidP="00270264">
            <w:pPr>
              <w:rPr>
                <w:u w:val="single"/>
              </w:rPr>
            </w:pPr>
            <w:r>
              <w:rPr>
                <w:u w:val="single"/>
              </w:rPr>
              <w:t xml:space="preserve">Job Quality </w:t>
            </w:r>
          </w:p>
          <w:p w14:paraId="70687C10" w14:textId="77777777" w:rsidR="00270264" w:rsidRPr="00FB4E33" w:rsidRDefault="00270264" w:rsidP="00F836F4">
            <w:pPr>
              <w:pStyle w:val="ListParagraph"/>
              <w:numPr>
                <w:ilvl w:val="0"/>
                <w:numId w:val="118"/>
              </w:numPr>
            </w:pPr>
            <w:r>
              <w:t xml:space="preserve">Quality and </w:t>
            </w:r>
            <w:proofErr w:type="gramStart"/>
            <w:r>
              <w:t>manner in which</w:t>
            </w:r>
            <w:proofErr w:type="gramEnd"/>
            <w:r>
              <w:t xml:space="preserve"> the proposed project will create or retain </w:t>
            </w:r>
            <w:r w:rsidRPr="00D1074B">
              <w:rPr>
                <w:b/>
              </w:rPr>
              <w:t>high-paying, quality</w:t>
            </w:r>
            <w:r>
              <w:rPr>
                <w:b/>
                <w:bCs/>
              </w:rPr>
              <w:t xml:space="preserve">, safe </w:t>
            </w:r>
            <w:r w:rsidRPr="00D1074B">
              <w:rPr>
                <w:b/>
              </w:rPr>
              <w:t>jobs</w:t>
            </w:r>
            <w:r>
              <w:rPr>
                <w:b/>
                <w:bCs/>
              </w:rPr>
              <w:t xml:space="preserve"> </w:t>
            </w:r>
            <w:r>
              <w:t>and assurances of ability to attract, train, and retain skilled workers</w:t>
            </w:r>
          </w:p>
          <w:p w14:paraId="736C5FBB" w14:textId="77777777" w:rsidR="00270264" w:rsidRDefault="00270264" w:rsidP="00F836F4">
            <w:pPr>
              <w:numPr>
                <w:ilvl w:val="0"/>
                <w:numId w:val="118"/>
              </w:numPr>
            </w:pPr>
            <w:r>
              <w:t xml:space="preserve">Extent to which applicant supports workers’ free and fair choice to join a union and demonstrates partnership with labor and worker organizations. </w:t>
            </w:r>
          </w:p>
          <w:p w14:paraId="1FA174C2" w14:textId="77777777" w:rsidR="00270264" w:rsidRDefault="00270264" w:rsidP="00270264">
            <w:pPr>
              <w:rPr>
                <w:u w:val="single"/>
              </w:rPr>
            </w:pPr>
          </w:p>
          <w:p w14:paraId="1008F8A4" w14:textId="12822695" w:rsidR="00270264" w:rsidRDefault="00270264" w:rsidP="00270264">
            <w:pPr>
              <w:rPr>
                <w:u w:val="single"/>
              </w:rPr>
            </w:pPr>
            <w:r>
              <w:rPr>
                <w:u w:val="single"/>
              </w:rPr>
              <w:t xml:space="preserve">Diversity, Equity, Inclusion, and </w:t>
            </w:r>
            <w:r w:rsidR="004532A3">
              <w:rPr>
                <w:u w:val="single"/>
              </w:rPr>
              <w:t>Accessibility</w:t>
            </w:r>
          </w:p>
          <w:p w14:paraId="43376DF7" w14:textId="55A3371D" w:rsidR="00270264" w:rsidRPr="005D7062" w:rsidRDefault="00270264" w:rsidP="00F836F4">
            <w:pPr>
              <w:pStyle w:val="ListParagraph"/>
              <w:numPr>
                <w:ilvl w:val="0"/>
                <w:numId w:val="119"/>
              </w:numPr>
            </w:pPr>
            <w:r w:rsidRPr="005D7062">
              <w:t xml:space="preserve">The quality and </w:t>
            </w:r>
            <w:proofErr w:type="gramStart"/>
            <w:r w:rsidRPr="005D7062">
              <w:t>manner in which</w:t>
            </w:r>
            <w:proofErr w:type="gramEnd"/>
            <w:r w:rsidRPr="005D7062">
              <w:t xml:space="preserve"> the </w:t>
            </w:r>
            <w:r>
              <w:t>proposed project</w:t>
            </w:r>
            <w:r w:rsidRPr="005D7062">
              <w:t xml:space="preserve"> incorporate</w:t>
            </w:r>
            <w:r>
              <w:t>s</w:t>
            </w:r>
            <w:r w:rsidR="004532A3">
              <w:t xml:space="preserve"> </w:t>
            </w:r>
            <w:r>
              <w:t>DEIA</w:t>
            </w:r>
            <w:r w:rsidRPr="00FB4E33">
              <w:rPr>
                <w:b/>
                <w:bCs/>
              </w:rPr>
              <w:t xml:space="preserve"> </w:t>
            </w:r>
            <w:r w:rsidRPr="005D7062">
              <w:t xml:space="preserve">goals </w:t>
            </w:r>
            <w:r>
              <w:t>and a commitment to accountability</w:t>
            </w:r>
            <w:r w:rsidRPr="005D7062">
              <w:t xml:space="preserve">, as reflected in </w:t>
            </w:r>
            <w:r>
              <w:t>the</w:t>
            </w:r>
            <w:r w:rsidRPr="005D7062">
              <w:t xml:space="preserve"> </w:t>
            </w:r>
            <w:r>
              <w:t>Community Benefits Plan.</w:t>
            </w:r>
          </w:p>
          <w:p w14:paraId="40827406" w14:textId="77777777" w:rsidR="00270264" w:rsidRDefault="00270264" w:rsidP="00270264">
            <w:pPr>
              <w:rPr>
                <w:u w:val="single"/>
              </w:rPr>
            </w:pPr>
          </w:p>
          <w:p w14:paraId="67A9D51B" w14:textId="77777777" w:rsidR="00270264" w:rsidRPr="005D7062" w:rsidDel="005358DA" w:rsidRDefault="00270264" w:rsidP="00270264">
            <w:pPr>
              <w:rPr>
                <w:u w:val="single"/>
              </w:rPr>
            </w:pPr>
            <w:r>
              <w:rPr>
                <w:u w:val="single"/>
              </w:rPr>
              <w:t>Justice40 Initiative</w:t>
            </w:r>
          </w:p>
          <w:p w14:paraId="0017CE0E" w14:textId="79615F39" w:rsidR="00270264" w:rsidRPr="00270264" w:rsidRDefault="00270264" w:rsidP="00F836F4">
            <w:pPr>
              <w:numPr>
                <w:ilvl w:val="0"/>
                <w:numId w:val="79"/>
              </w:numPr>
            </w:pPr>
            <w:r>
              <w:t xml:space="preserve">Extent to which the project illustrates the ability to meet or exceed the objectives of the </w:t>
            </w:r>
            <w:r w:rsidRPr="00885663">
              <w:rPr>
                <w:b/>
                <w:bCs/>
              </w:rPr>
              <w:t xml:space="preserve">Justice40 </w:t>
            </w:r>
            <w:r>
              <w:rPr>
                <w:b/>
                <w:bCs/>
              </w:rPr>
              <w:t>I</w:t>
            </w:r>
            <w:r w:rsidRPr="00885663">
              <w:rPr>
                <w:b/>
                <w:bCs/>
              </w:rPr>
              <w:t>nitiative</w:t>
            </w:r>
            <w:r>
              <w:t xml:space="preserve">, </w:t>
            </w:r>
            <w:r w:rsidRPr="003F3863">
              <w:t xml:space="preserve">including the extent to which the project benefits disadvantaged or underserved communities and/or </w:t>
            </w:r>
            <w:r w:rsidRPr="00CE7B1A">
              <w:t>partners with</w:t>
            </w:r>
            <w:r w:rsidRPr="003F3863">
              <w:t xml:space="preserve"> Tribal</w:t>
            </w:r>
            <w:r>
              <w:t xml:space="preserve"> Nations and commitment to accountability, as reflected in the Community Benefits Plan.</w:t>
            </w:r>
          </w:p>
          <w:p w14:paraId="38A8D99C" w14:textId="771F6843" w:rsidR="009376F1" w:rsidRPr="00DB1DE6" w:rsidRDefault="009376F1" w:rsidP="00270264">
            <w:pPr>
              <w:ind w:left="720"/>
            </w:pPr>
          </w:p>
        </w:tc>
      </w:tr>
    </w:tbl>
    <w:p w14:paraId="08BDEF49" w14:textId="73A4AB72" w:rsidR="00B07932" w:rsidRPr="00872882" w:rsidRDefault="004E672B" w:rsidP="00F836F4">
      <w:pPr>
        <w:pStyle w:val="FOAHeading3"/>
        <w:numPr>
          <w:ilvl w:val="0"/>
          <w:numId w:val="34"/>
        </w:numPr>
        <w:ind w:left="1440"/>
        <w:outlineLvl w:val="2"/>
      </w:pPr>
      <w:bookmarkStart w:id="341" w:name="_Toc519602391"/>
      <w:bookmarkStart w:id="342" w:name="_Toc109921729"/>
      <w:r w:rsidRPr="00C72CE2">
        <w:t>Criteria for Replies to Reviewer Comments</w:t>
      </w:r>
      <w:bookmarkEnd w:id="341"/>
      <w:bookmarkEnd w:id="342"/>
    </w:p>
    <w:p w14:paraId="79917DE3" w14:textId="55A72C4A" w:rsidR="00B07932" w:rsidRPr="008858B4" w:rsidRDefault="004E672B" w:rsidP="00A53BBC">
      <w:pPr>
        <w:ind w:left="1440"/>
      </w:pPr>
      <w:r w:rsidRPr="008858B4">
        <w:t>EERE has not established separate criteria to evaluate Replies to Reviewer Comments. Instead, Replies to Reviewer Comments are attached to the original applications and evaluated as an extension of the Full Application.</w:t>
      </w:r>
    </w:p>
    <w:p w14:paraId="5D975A69" w14:textId="77777777" w:rsidR="00B07932" w:rsidRDefault="00B07932" w:rsidP="008858B4"/>
    <w:p w14:paraId="12744C2F" w14:textId="3CB4B792" w:rsidR="00B07932" w:rsidRPr="001B113C" w:rsidRDefault="004E672B" w:rsidP="0017595D">
      <w:pPr>
        <w:pStyle w:val="FOAHeading2"/>
      </w:pPr>
      <w:bookmarkStart w:id="343" w:name="_Toc515980134"/>
      <w:bookmarkStart w:id="344" w:name="_Toc515980229"/>
      <w:bookmarkStart w:id="345" w:name="_Toc517191929"/>
      <w:bookmarkStart w:id="346" w:name="_Toc517350978"/>
      <w:bookmarkStart w:id="347" w:name="_Toc517771570"/>
      <w:bookmarkStart w:id="348" w:name="_Toc517797787"/>
      <w:bookmarkStart w:id="349" w:name="_Toc517797867"/>
      <w:bookmarkStart w:id="350" w:name="_Toc517797945"/>
      <w:bookmarkStart w:id="351" w:name="_Toc517798060"/>
      <w:bookmarkStart w:id="352" w:name="_Toc517798285"/>
      <w:bookmarkStart w:id="353" w:name="_Toc517798366"/>
      <w:bookmarkStart w:id="354" w:name="_Toc517798926"/>
      <w:bookmarkStart w:id="355" w:name="_Toc517799226"/>
      <w:bookmarkStart w:id="356" w:name="_Toc519602182"/>
      <w:bookmarkStart w:id="357" w:name="_Toc519602254"/>
      <w:bookmarkStart w:id="358" w:name="_Toc519602392"/>
      <w:bookmarkStart w:id="359" w:name="_Toc519602558"/>
      <w:bookmarkStart w:id="360" w:name="_Toc520382667"/>
      <w:bookmarkStart w:id="361" w:name="_Toc520455665"/>
      <w:bookmarkStart w:id="362" w:name="_Toc520455835"/>
      <w:bookmarkStart w:id="363" w:name="_Toc517798927"/>
      <w:bookmarkStart w:id="364" w:name="_Toc519602255"/>
      <w:bookmarkStart w:id="365" w:name="_Toc519602393"/>
      <w:bookmarkStart w:id="366" w:name="_Toc109921730"/>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1B113C">
        <w:t>Standards for Application Evaluation</w:t>
      </w:r>
      <w:bookmarkEnd w:id="363"/>
      <w:bookmarkEnd w:id="364"/>
      <w:bookmarkEnd w:id="365"/>
      <w:bookmarkEnd w:id="366"/>
    </w:p>
    <w:p w14:paraId="129B58FB" w14:textId="4DE100AC" w:rsidR="00B07932" w:rsidRPr="008858B4" w:rsidRDefault="004E672B" w:rsidP="00E42B15">
      <w:pPr>
        <w:ind w:left="1440"/>
      </w:pPr>
      <w:r w:rsidRPr="008858B4">
        <w:t>Applications that are determined to be eligible will be evaluated in accordance with this FOA, by the standards set forth in EERE’s Notice of Objective Merit Review Procedure (76 Fed. Reg. 17846, March 31, 2011) and the guidance provided in the “</w:t>
      </w:r>
      <w:r w:rsidR="00A5029A">
        <w:t>DOE</w:t>
      </w:r>
      <w:r w:rsidRPr="008858B4">
        <w:t xml:space="preserve"> Merit Review Guide for Financial Assistance,” </w:t>
      </w:r>
      <w:r w:rsidR="004A082A">
        <w:t xml:space="preserve">effective </w:t>
      </w:r>
      <w:r w:rsidR="00E9746F">
        <w:t>September 2020</w:t>
      </w:r>
      <w:r w:rsidR="004E292C">
        <w:t>,</w:t>
      </w:r>
      <w:r w:rsidR="004A082A">
        <w:t xml:space="preserve"> </w:t>
      </w:r>
      <w:r w:rsidRPr="008858B4">
        <w:t xml:space="preserve">which is available at: </w:t>
      </w:r>
      <w:hyperlink r:id="rId63" w:history="1">
        <w:r w:rsidR="00333535">
          <w:rPr>
            <w:rStyle w:val="Hyperlink"/>
          </w:rPr>
          <w:t>https://energy.gov/management/downloads/merit-review-guide-financial-assistance-and-unsolicited-proposals-current</w:t>
        </w:r>
      </w:hyperlink>
      <w:r w:rsidRPr="008858B4">
        <w:t>.</w:t>
      </w:r>
    </w:p>
    <w:p w14:paraId="6CB1479C" w14:textId="77777777" w:rsidR="00B07932" w:rsidRDefault="00B07932" w:rsidP="008858B4"/>
    <w:p w14:paraId="68150EE0" w14:textId="05590867" w:rsidR="00B07932" w:rsidRPr="001B113C" w:rsidRDefault="004E672B" w:rsidP="0017595D">
      <w:pPr>
        <w:pStyle w:val="FOAHeading2"/>
      </w:pPr>
      <w:bookmarkStart w:id="367" w:name="_Toc520455667"/>
      <w:bookmarkStart w:id="368" w:name="_Toc520455837"/>
      <w:bookmarkStart w:id="369" w:name="_Toc520455668"/>
      <w:bookmarkStart w:id="370" w:name="_Toc520455838"/>
      <w:bookmarkStart w:id="371" w:name="_Toc520455669"/>
      <w:bookmarkStart w:id="372" w:name="_Toc520455839"/>
      <w:bookmarkStart w:id="373" w:name="_Toc517191931"/>
      <w:bookmarkStart w:id="374" w:name="_Toc517350980"/>
      <w:bookmarkStart w:id="375" w:name="_Toc517771572"/>
      <w:bookmarkStart w:id="376" w:name="_Toc517797789"/>
      <w:bookmarkStart w:id="377" w:name="_Toc517797869"/>
      <w:bookmarkStart w:id="378" w:name="_Toc517797947"/>
      <w:bookmarkStart w:id="379" w:name="_Toc517798062"/>
      <w:bookmarkStart w:id="380" w:name="_Toc517798287"/>
      <w:bookmarkStart w:id="381" w:name="_Toc517798368"/>
      <w:bookmarkStart w:id="382" w:name="_Toc517798928"/>
      <w:bookmarkStart w:id="383" w:name="_Toc517799228"/>
      <w:bookmarkStart w:id="384" w:name="_Toc519602184"/>
      <w:bookmarkStart w:id="385" w:name="_Toc519602256"/>
      <w:bookmarkStart w:id="386" w:name="_Toc519602394"/>
      <w:bookmarkStart w:id="387" w:name="_Toc519602560"/>
      <w:bookmarkStart w:id="388" w:name="_Toc520382669"/>
      <w:bookmarkStart w:id="389" w:name="_Toc520455670"/>
      <w:bookmarkStart w:id="390" w:name="_Toc520455840"/>
      <w:bookmarkStart w:id="391" w:name="_Toc517798929"/>
      <w:bookmarkStart w:id="392" w:name="_Toc519602257"/>
      <w:bookmarkStart w:id="393" w:name="_Toc519602395"/>
      <w:bookmarkStart w:id="394" w:name="_Toc109921731"/>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1B113C">
        <w:t>Other Selection Factors</w:t>
      </w:r>
      <w:bookmarkEnd w:id="391"/>
      <w:bookmarkEnd w:id="392"/>
      <w:bookmarkEnd w:id="393"/>
      <w:bookmarkEnd w:id="394"/>
      <w:r w:rsidR="00853350">
        <w:br/>
      </w:r>
    </w:p>
    <w:p w14:paraId="17864C11" w14:textId="46CFB707" w:rsidR="00B07932" w:rsidRPr="00872882" w:rsidRDefault="004E672B" w:rsidP="00F836F4">
      <w:pPr>
        <w:pStyle w:val="FOAHeading3"/>
        <w:numPr>
          <w:ilvl w:val="0"/>
          <w:numId w:val="35"/>
        </w:numPr>
        <w:ind w:left="1440"/>
        <w:outlineLvl w:val="2"/>
      </w:pPr>
      <w:bookmarkStart w:id="395" w:name="_Toc519602396"/>
      <w:bookmarkStart w:id="396" w:name="_Toc109921732"/>
      <w:r w:rsidRPr="00C72CE2">
        <w:t>Program Policy Factors</w:t>
      </w:r>
      <w:bookmarkEnd w:id="395"/>
      <w:bookmarkEnd w:id="396"/>
    </w:p>
    <w:p w14:paraId="139DF4C5" w14:textId="0C18373B" w:rsidR="00A43974" w:rsidRDefault="004E672B" w:rsidP="005C295F">
      <w:pPr>
        <w:ind w:left="1440"/>
      </w:pPr>
      <w:r w:rsidRPr="008858B4">
        <w:t>In addition to the above criteria, the Selection Official may consider the following program policy factors in determining which Full Applications to select for award negotiations:</w:t>
      </w:r>
    </w:p>
    <w:p w14:paraId="4BDA1FEE" w14:textId="7EFFCF38" w:rsidR="00766A9E" w:rsidRDefault="00766A9E" w:rsidP="00766A9E">
      <w:pPr>
        <w:pStyle w:val="ListParagraph"/>
        <w:ind w:left="1440"/>
      </w:pPr>
    </w:p>
    <w:p w14:paraId="27AC36F8" w14:textId="44C8EE4D" w:rsidR="00AA2109" w:rsidRDefault="004E672B" w:rsidP="00AA4320">
      <w:pPr>
        <w:pStyle w:val="ListParagraph"/>
        <w:numPr>
          <w:ilvl w:val="0"/>
          <w:numId w:val="55"/>
        </w:numPr>
        <w:ind w:left="2160"/>
      </w:pPr>
      <w:r w:rsidRPr="00FF4C9C">
        <w:t xml:space="preserve">The proposed project exhibits </w:t>
      </w:r>
      <w:r w:rsidRPr="00F00F18">
        <w:t>technological diversity</w:t>
      </w:r>
      <w:r w:rsidRPr="00FF4C9C">
        <w:t xml:space="preserve"> when compared to the existing DOE project portfolio and other projects selected from the subject </w:t>
      </w:r>
      <w:proofErr w:type="gramStart"/>
      <w:r w:rsidRPr="00FF4C9C">
        <w:t>FOA</w:t>
      </w:r>
      <w:r>
        <w:t>;</w:t>
      </w:r>
      <w:proofErr w:type="gramEnd"/>
    </w:p>
    <w:p w14:paraId="594CDED4" w14:textId="71FCD43B" w:rsidR="005B676A" w:rsidRDefault="005B676A" w:rsidP="00AA4320">
      <w:pPr>
        <w:pStyle w:val="ListParagraph"/>
        <w:numPr>
          <w:ilvl w:val="0"/>
          <w:numId w:val="55"/>
        </w:numPr>
        <w:ind w:left="2160"/>
      </w:pPr>
      <w:r w:rsidRPr="00FF4C9C">
        <w:t xml:space="preserve">The proposed project exhibits </w:t>
      </w:r>
      <w:r w:rsidRPr="00F00F18">
        <w:t>geographic</w:t>
      </w:r>
      <w:r w:rsidR="00C960C9" w:rsidRPr="00F00F18">
        <w:t>, climate, and regional</w:t>
      </w:r>
      <w:r w:rsidRPr="00F00F18">
        <w:t xml:space="preserve"> diversity</w:t>
      </w:r>
      <w:r w:rsidRPr="00FF4C9C">
        <w:t xml:space="preserve"> when compared to the existing DOE project portfolio and other projects selected from the subject </w:t>
      </w:r>
      <w:proofErr w:type="gramStart"/>
      <w:r w:rsidRPr="00FF4C9C">
        <w:t>FOA</w:t>
      </w:r>
      <w:r>
        <w:t>;</w:t>
      </w:r>
      <w:proofErr w:type="gramEnd"/>
    </w:p>
    <w:p w14:paraId="731AFD97" w14:textId="46368F75" w:rsidR="00435883" w:rsidRDefault="00435883" w:rsidP="00AA4320">
      <w:pPr>
        <w:pStyle w:val="ListParagraph"/>
        <w:numPr>
          <w:ilvl w:val="0"/>
          <w:numId w:val="55"/>
        </w:numPr>
        <w:ind w:left="2160"/>
      </w:pPr>
      <w:r>
        <w:t xml:space="preserve">The proposed project supports demonstrations in economically distressed </w:t>
      </w:r>
      <w:proofErr w:type="gramStart"/>
      <w:r>
        <w:t>areas</w:t>
      </w:r>
      <w:r w:rsidR="00C960C9">
        <w:t>;</w:t>
      </w:r>
      <w:proofErr w:type="gramEnd"/>
    </w:p>
    <w:p w14:paraId="495C487F" w14:textId="22602035" w:rsidR="00C960C9" w:rsidRDefault="00C960C9" w:rsidP="00AA4320">
      <w:pPr>
        <w:pStyle w:val="ListParagraph"/>
        <w:numPr>
          <w:ilvl w:val="0"/>
          <w:numId w:val="55"/>
        </w:numPr>
        <w:ind w:left="2160"/>
      </w:pPr>
      <w:r>
        <w:t xml:space="preserve">The proposed project supports demonstrations that provide the greatest potential to reduce energy costs as well as promote accessibility and community </w:t>
      </w:r>
      <w:proofErr w:type="gramStart"/>
      <w:r>
        <w:t>implementation;</w:t>
      </w:r>
      <w:proofErr w:type="gramEnd"/>
    </w:p>
    <w:p w14:paraId="14C58610" w14:textId="0E5AD233" w:rsidR="00AA2109" w:rsidRDefault="004E672B" w:rsidP="00AA4320">
      <w:pPr>
        <w:pStyle w:val="ListParagraph"/>
        <w:numPr>
          <w:ilvl w:val="0"/>
          <w:numId w:val="55"/>
        </w:numPr>
        <w:ind w:left="2160"/>
      </w:pPr>
      <w:r w:rsidRPr="00FF4C9C">
        <w:t xml:space="preserve">The proposed project, including proposed cost share, </w:t>
      </w:r>
      <w:r w:rsidRPr="00F00F18">
        <w:t>optimizes</w:t>
      </w:r>
      <w:r w:rsidRPr="00FF4C9C">
        <w:t xml:space="preserve"> the use of available EERE funding to achieve programmatic </w:t>
      </w:r>
      <w:proofErr w:type="gramStart"/>
      <w:r w:rsidRPr="00FF4C9C">
        <w:t>objectives</w:t>
      </w:r>
      <w:r>
        <w:t>;</w:t>
      </w:r>
      <w:proofErr w:type="gramEnd"/>
    </w:p>
    <w:p w14:paraId="61DFB992" w14:textId="77777777" w:rsidR="004D2AC3" w:rsidRDefault="004D2AC3" w:rsidP="00AA4320">
      <w:pPr>
        <w:pStyle w:val="ListParagraph"/>
        <w:widowControl w:val="0"/>
        <w:numPr>
          <w:ilvl w:val="0"/>
          <w:numId w:val="55"/>
        </w:numPr>
        <w:tabs>
          <w:tab w:val="left" w:pos="2189"/>
          <w:tab w:val="left" w:pos="2190"/>
        </w:tabs>
        <w:autoSpaceDE w:val="0"/>
        <w:autoSpaceDN w:val="0"/>
        <w:ind w:left="2160"/>
        <w:contextualSpacing w:val="0"/>
      </w:pPr>
      <w:r>
        <w:t>The proposed project exhibits an advanced level of industry involvement and</w:t>
      </w:r>
      <w:r>
        <w:rPr>
          <w:spacing w:val="-6"/>
        </w:rPr>
        <w:t xml:space="preserve"> </w:t>
      </w:r>
      <w:r>
        <w:t>demonstrated</w:t>
      </w:r>
      <w:r>
        <w:rPr>
          <w:spacing w:val="-6"/>
        </w:rPr>
        <w:t xml:space="preserve"> </w:t>
      </w:r>
      <w:r>
        <w:t>ability</w:t>
      </w:r>
      <w:r>
        <w:rPr>
          <w:spacing w:val="-5"/>
        </w:rPr>
        <w:t xml:space="preserve"> </w:t>
      </w:r>
      <w:r>
        <w:t>that</w:t>
      </w:r>
      <w:r>
        <w:rPr>
          <w:spacing w:val="-6"/>
        </w:rPr>
        <w:t xml:space="preserve"> </w:t>
      </w:r>
      <w:r>
        <w:t>will</w:t>
      </w:r>
      <w:r>
        <w:rPr>
          <w:spacing w:val="-6"/>
        </w:rPr>
        <w:t xml:space="preserve"> </w:t>
      </w:r>
      <w:r>
        <w:t>likely</w:t>
      </w:r>
      <w:r>
        <w:rPr>
          <w:spacing w:val="-4"/>
        </w:rPr>
        <w:t xml:space="preserve"> </w:t>
      </w:r>
      <w:r>
        <w:t>accelerate</w:t>
      </w:r>
      <w:r>
        <w:rPr>
          <w:spacing w:val="-5"/>
        </w:rPr>
        <w:t xml:space="preserve"> </w:t>
      </w:r>
      <w:r>
        <w:t>commercialization</w:t>
      </w:r>
      <w:r>
        <w:rPr>
          <w:spacing w:val="-6"/>
        </w:rPr>
        <w:t xml:space="preserve"> </w:t>
      </w:r>
      <w:r>
        <w:t xml:space="preserve">and overcome key market </w:t>
      </w:r>
      <w:proofErr w:type="gramStart"/>
      <w:r>
        <w:t>barriers;</w:t>
      </w:r>
      <w:proofErr w:type="gramEnd"/>
    </w:p>
    <w:p w14:paraId="4B8D4533" w14:textId="485DF9CF" w:rsidR="00AA2109" w:rsidRDefault="004E672B" w:rsidP="00AA4320">
      <w:pPr>
        <w:pStyle w:val="ListParagraph"/>
        <w:numPr>
          <w:ilvl w:val="0"/>
          <w:numId w:val="55"/>
        </w:numPr>
        <w:ind w:left="2160"/>
      </w:pPr>
      <w:r>
        <w:t xml:space="preserve">The proposed project is likely to lead to increased </w:t>
      </w:r>
      <w:r w:rsidRPr="00F00F18">
        <w:t>employme</w:t>
      </w:r>
      <w:r>
        <w:t xml:space="preserve">nt and manufacturing in the United </w:t>
      </w:r>
      <w:proofErr w:type="gramStart"/>
      <w:r>
        <w:t>States;</w:t>
      </w:r>
      <w:proofErr w:type="gramEnd"/>
    </w:p>
    <w:p w14:paraId="2F4EE01E" w14:textId="77777777" w:rsidR="004D2AC3" w:rsidRDefault="004D2AC3" w:rsidP="00AA4320">
      <w:pPr>
        <w:pStyle w:val="ListParagraph"/>
        <w:widowControl w:val="0"/>
        <w:numPr>
          <w:ilvl w:val="0"/>
          <w:numId w:val="55"/>
        </w:numPr>
        <w:tabs>
          <w:tab w:val="left" w:pos="2189"/>
          <w:tab w:val="left" w:pos="2190"/>
        </w:tabs>
        <w:autoSpaceDE w:val="0"/>
        <w:autoSpaceDN w:val="0"/>
        <w:ind w:left="2160"/>
        <w:contextualSpacing w:val="0"/>
      </w:pPr>
      <w:bookmarkStart w:id="397" w:name="_Hlk70316102"/>
      <w:r>
        <w:t xml:space="preserve">The proposed project will accelerate </w:t>
      </w:r>
      <w:r w:rsidRPr="00F00F18">
        <w:t>transformational technological</w:t>
      </w:r>
      <w:r>
        <w:t xml:space="preserve"> advances</w:t>
      </w:r>
      <w:r>
        <w:rPr>
          <w:spacing w:val="-4"/>
        </w:rPr>
        <w:t xml:space="preserve"> </w:t>
      </w:r>
      <w:r>
        <w:t>in</w:t>
      </w:r>
      <w:r>
        <w:rPr>
          <w:spacing w:val="-4"/>
        </w:rPr>
        <w:t xml:space="preserve"> </w:t>
      </w:r>
      <w:r>
        <w:t>areas</w:t>
      </w:r>
      <w:r>
        <w:rPr>
          <w:spacing w:val="-4"/>
        </w:rPr>
        <w:t xml:space="preserve"> </w:t>
      </w:r>
      <w:r>
        <w:t>that</w:t>
      </w:r>
      <w:r>
        <w:rPr>
          <w:spacing w:val="-4"/>
        </w:rPr>
        <w:t xml:space="preserve"> </w:t>
      </w:r>
      <w:r>
        <w:t>industry</w:t>
      </w:r>
      <w:r>
        <w:rPr>
          <w:spacing w:val="-3"/>
        </w:rPr>
        <w:t xml:space="preserve"> </w:t>
      </w:r>
      <w:r>
        <w:t>by</w:t>
      </w:r>
      <w:r>
        <w:rPr>
          <w:spacing w:val="-3"/>
        </w:rPr>
        <w:t xml:space="preserve"> </w:t>
      </w:r>
      <w:r>
        <w:t>itself</w:t>
      </w:r>
      <w:r>
        <w:rPr>
          <w:spacing w:val="-4"/>
        </w:rPr>
        <w:t xml:space="preserve"> </w:t>
      </w:r>
      <w:r>
        <w:t>is</w:t>
      </w:r>
      <w:r>
        <w:rPr>
          <w:spacing w:val="-4"/>
        </w:rPr>
        <w:t xml:space="preserve"> </w:t>
      </w:r>
      <w:r>
        <w:t>not</w:t>
      </w:r>
      <w:r>
        <w:rPr>
          <w:spacing w:val="-4"/>
        </w:rPr>
        <w:t xml:space="preserve"> </w:t>
      </w:r>
      <w:r>
        <w:t>likely</w:t>
      </w:r>
      <w:r>
        <w:rPr>
          <w:spacing w:val="-3"/>
        </w:rPr>
        <w:t xml:space="preserve"> </w:t>
      </w:r>
      <w:r>
        <w:t>to</w:t>
      </w:r>
      <w:r>
        <w:rPr>
          <w:spacing w:val="-3"/>
        </w:rPr>
        <w:t xml:space="preserve"> </w:t>
      </w:r>
      <w:r>
        <w:t>undertake</w:t>
      </w:r>
      <w:r>
        <w:rPr>
          <w:spacing w:val="-3"/>
        </w:rPr>
        <w:t xml:space="preserve"> </w:t>
      </w:r>
      <w:r>
        <w:t xml:space="preserve">because of technical and financial </w:t>
      </w:r>
      <w:proofErr w:type="gramStart"/>
      <w:r>
        <w:t>uncertainty;</w:t>
      </w:r>
      <w:proofErr w:type="gramEnd"/>
    </w:p>
    <w:p w14:paraId="0CDB717B" w14:textId="5069453F" w:rsidR="00E47A6D" w:rsidRPr="007C4BA4" w:rsidRDefault="00E47A6D" w:rsidP="00AA4320">
      <w:pPr>
        <w:numPr>
          <w:ilvl w:val="0"/>
          <w:numId w:val="55"/>
        </w:numPr>
        <w:pBdr>
          <w:top w:val="nil"/>
          <w:left w:val="nil"/>
          <w:bottom w:val="nil"/>
          <w:right w:val="nil"/>
          <w:between w:val="nil"/>
        </w:pBdr>
        <w:ind w:left="2160"/>
      </w:pPr>
      <w:r w:rsidRPr="00E47A6D">
        <w:rPr>
          <w:rFonts w:ascii="Calibri" w:hAnsi="Calibri"/>
          <w:color w:val="000000"/>
        </w:rPr>
        <w:t xml:space="preserve">The proposed project incorporates </w:t>
      </w:r>
      <w:r w:rsidRPr="00F00F18">
        <w:rPr>
          <w:rFonts w:ascii="Calibri" w:hAnsi="Calibri"/>
          <w:color w:val="000000"/>
        </w:rPr>
        <w:t>diversity</w:t>
      </w:r>
      <w:r w:rsidRPr="00E47A6D">
        <w:rPr>
          <w:rFonts w:ascii="Calibri" w:hAnsi="Calibri"/>
          <w:color w:val="000000"/>
        </w:rPr>
        <w:t>, equity, and inclusion elements, including but not limited to team members from Minority Serving Institutions (e.g.</w:t>
      </w:r>
      <w:r w:rsidR="00E50F8E">
        <w:rPr>
          <w:rFonts w:ascii="Calibri" w:hAnsi="Calibri"/>
          <w:color w:val="000000"/>
        </w:rPr>
        <w:t>,</w:t>
      </w:r>
      <w:r w:rsidRPr="00E47A6D">
        <w:rPr>
          <w:rFonts w:ascii="Calibri" w:hAnsi="Calibri"/>
          <w:color w:val="000000"/>
        </w:rPr>
        <w:t xml:space="preserve"> Historically Black Colleges and Universities (HBCUs)/Other Minority Institutions), </w:t>
      </w:r>
      <w:r w:rsidR="004D2AC3">
        <w:rPr>
          <w:rFonts w:ascii="Calibri" w:hAnsi="Calibri"/>
          <w:color w:val="000000"/>
        </w:rPr>
        <w:t xml:space="preserve">and team members that include </w:t>
      </w:r>
      <w:r w:rsidRPr="00E47A6D">
        <w:rPr>
          <w:rFonts w:ascii="Calibri" w:hAnsi="Calibri"/>
          <w:color w:val="000000"/>
        </w:rPr>
        <w:t xml:space="preserve">Minority Business Enterprises, Minority Owned Businesses, Woman Owned Businesses, Veteran Owned Businesses, </w:t>
      </w:r>
      <w:r w:rsidR="004D2AC3">
        <w:rPr>
          <w:rFonts w:ascii="Calibri" w:hAnsi="Calibri"/>
          <w:color w:val="000000"/>
        </w:rPr>
        <w:t xml:space="preserve">Tribal Nations, or members within </w:t>
      </w:r>
      <w:r w:rsidR="0091714F">
        <w:rPr>
          <w:rFonts w:ascii="Calibri" w:hAnsi="Calibri"/>
          <w:color w:val="000000"/>
        </w:rPr>
        <w:t>d</w:t>
      </w:r>
      <w:r w:rsidR="00BF115F">
        <w:rPr>
          <w:rFonts w:ascii="Calibri" w:hAnsi="Calibri"/>
          <w:color w:val="000000"/>
        </w:rPr>
        <w:t xml:space="preserve">isadvantaged </w:t>
      </w:r>
      <w:proofErr w:type="gramStart"/>
      <w:r w:rsidR="00BF115F">
        <w:rPr>
          <w:rFonts w:ascii="Calibri" w:hAnsi="Calibri"/>
          <w:color w:val="000000"/>
        </w:rPr>
        <w:t>communities</w:t>
      </w:r>
      <w:r w:rsidR="004D2AC3">
        <w:rPr>
          <w:rFonts w:ascii="Calibri" w:hAnsi="Calibri"/>
          <w:color w:val="000000"/>
        </w:rPr>
        <w:t>;</w:t>
      </w:r>
      <w:proofErr w:type="gramEnd"/>
      <w:r w:rsidR="004D2AC3">
        <w:rPr>
          <w:rFonts w:ascii="Calibri" w:hAnsi="Calibri"/>
          <w:color w:val="000000"/>
        </w:rPr>
        <w:t xml:space="preserve"> </w:t>
      </w:r>
    </w:p>
    <w:p w14:paraId="5B585D6F" w14:textId="22572845" w:rsidR="007C4BA4" w:rsidRPr="00DB1DE6" w:rsidRDefault="007C4BA4" w:rsidP="00AA4320">
      <w:pPr>
        <w:numPr>
          <w:ilvl w:val="0"/>
          <w:numId w:val="55"/>
        </w:numPr>
        <w:pBdr>
          <w:top w:val="nil"/>
          <w:left w:val="nil"/>
          <w:bottom w:val="nil"/>
          <w:right w:val="nil"/>
          <w:between w:val="nil"/>
        </w:pBdr>
        <w:ind w:left="2160"/>
      </w:pPr>
      <w:r w:rsidRPr="00DB1DE6">
        <w:rPr>
          <w:rFonts w:ascii="Calibri" w:hAnsi="Calibri"/>
          <w:color w:val="000000"/>
        </w:rPr>
        <w:t xml:space="preserve">The proposed project maximizes benefits to </w:t>
      </w:r>
      <w:r w:rsidR="0091714F">
        <w:rPr>
          <w:rFonts w:ascii="Calibri" w:hAnsi="Calibri"/>
          <w:color w:val="000000"/>
        </w:rPr>
        <w:t>d</w:t>
      </w:r>
      <w:r w:rsidR="00BF115F">
        <w:rPr>
          <w:rFonts w:ascii="Calibri" w:hAnsi="Calibri"/>
          <w:color w:val="000000"/>
        </w:rPr>
        <w:t>isadvantaged communities</w:t>
      </w:r>
      <w:r w:rsidR="004D2AC3">
        <w:rPr>
          <w:rFonts w:ascii="Calibri" w:hAnsi="Calibri"/>
          <w:color w:val="000000"/>
        </w:rPr>
        <w:t>; and</w:t>
      </w:r>
    </w:p>
    <w:p w14:paraId="68054430" w14:textId="0E2E2F85" w:rsidR="007C4BA4" w:rsidRPr="00DB1DE6" w:rsidRDefault="007C4BA4" w:rsidP="00AA4320">
      <w:pPr>
        <w:numPr>
          <w:ilvl w:val="0"/>
          <w:numId w:val="55"/>
        </w:numPr>
        <w:pBdr>
          <w:top w:val="nil"/>
          <w:left w:val="nil"/>
          <w:bottom w:val="nil"/>
          <w:right w:val="nil"/>
          <w:between w:val="nil"/>
        </w:pBdr>
        <w:ind w:left="2160"/>
      </w:pPr>
      <w:r w:rsidRPr="00DB1DE6">
        <w:rPr>
          <w:rFonts w:ascii="Calibri" w:hAnsi="Calibri"/>
          <w:color w:val="000000"/>
        </w:rPr>
        <w:t xml:space="preserve">The proposed project minimizes environmental impacts to </w:t>
      </w:r>
      <w:r w:rsidR="0091714F">
        <w:rPr>
          <w:rFonts w:ascii="Calibri" w:hAnsi="Calibri"/>
          <w:color w:val="000000"/>
        </w:rPr>
        <w:t>d</w:t>
      </w:r>
      <w:r w:rsidR="00BF115F">
        <w:rPr>
          <w:rFonts w:ascii="Calibri" w:hAnsi="Calibri"/>
          <w:color w:val="000000"/>
        </w:rPr>
        <w:t>isadvantaged communities</w:t>
      </w:r>
      <w:r w:rsidRPr="00DB1DE6">
        <w:rPr>
          <w:rFonts w:ascii="Calibri" w:hAnsi="Calibri"/>
          <w:color w:val="000000"/>
        </w:rPr>
        <w:t>.</w:t>
      </w:r>
    </w:p>
    <w:bookmarkEnd w:id="397"/>
    <w:p w14:paraId="0148BF6D" w14:textId="74AC4E49" w:rsidR="00AA2109" w:rsidRDefault="00AA2109" w:rsidP="00AA2109">
      <w:pPr>
        <w:pStyle w:val="ListParagraph"/>
        <w:ind w:left="1440"/>
        <w:rPr>
          <w:b/>
        </w:rPr>
      </w:pPr>
    </w:p>
    <w:p w14:paraId="2B4EC364" w14:textId="3B0F07F4" w:rsidR="00442708" w:rsidRPr="00FF4C9C" w:rsidRDefault="004E672B" w:rsidP="00442708">
      <w:pPr>
        <w:pStyle w:val="ListParagraph"/>
        <w:ind w:left="1440"/>
        <w:rPr>
          <w:b/>
        </w:rPr>
      </w:pPr>
      <w:bookmarkStart w:id="398" w:name="_Hlk85627892"/>
      <w:r w:rsidRPr="00FF4C9C">
        <w:rPr>
          <w:b/>
        </w:rPr>
        <w:t>Diversity (other than technological)</w:t>
      </w:r>
    </w:p>
    <w:p w14:paraId="391E43AA" w14:textId="185414DB" w:rsidR="00442708" w:rsidRPr="00FF4C9C" w:rsidRDefault="004E672B" w:rsidP="00AA4320">
      <w:pPr>
        <w:pStyle w:val="ListParagraph"/>
        <w:numPr>
          <w:ilvl w:val="0"/>
          <w:numId w:val="15"/>
        </w:numPr>
        <w:ind w:left="2160"/>
      </w:pPr>
      <w:bookmarkStart w:id="399" w:name="_Hlk85628165"/>
      <w:r w:rsidRPr="00FF4C9C">
        <w:t xml:space="preserve">The proposed project collectively </w:t>
      </w:r>
      <w:r w:rsidRPr="00F00F18">
        <w:t>represents diverse</w:t>
      </w:r>
      <w:r w:rsidRPr="00FF4C9C">
        <w:t xml:space="preserve"> </w:t>
      </w:r>
      <w:bookmarkEnd w:id="399"/>
      <w:r w:rsidRPr="00FF4C9C">
        <w:t>types and s</w:t>
      </w:r>
      <w:r>
        <w:t>izes of applicant organizations.</w:t>
      </w:r>
    </w:p>
    <w:bookmarkEnd w:id="398"/>
    <w:p w14:paraId="587EC8C7" w14:textId="33CD629B" w:rsidR="000B0C6E" w:rsidRDefault="000B0C6E" w:rsidP="00442708">
      <w:pPr>
        <w:pStyle w:val="ListParagraph"/>
        <w:ind w:left="1440"/>
        <w:rPr>
          <w:b/>
        </w:rPr>
      </w:pPr>
    </w:p>
    <w:p w14:paraId="563F59E2" w14:textId="5DAD32B2" w:rsidR="00442708" w:rsidRPr="00FF4C9C" w:rsidRDefault="004E672B" w:rsidP="00442708">
      <w:pPr>
        <w:pStyle w:val="ListParagraph"/>
        <w:ind w:left="1440"/>
        <w:rPr>
          <w:b/>
        </w:rPr>
      </w:pPr>
      <w:r w:rsidRPr="00FF4C9C">
        <w:rPr>
          <w:b/>
        </w:rPr>
        <w:t>Optimize Funding</w:t>
      </w:r>
    </w:p>
    <w:p w14:paraId="576807C5" w14:textId="6CB0DDC9" w:rsidR="00442708" w:rsidRPr="00FF4C9C" w:rsidRDefault="004E672B" w:rsidP="00AA4320">
      <w:pPr>
        <w:pStyle w:val="ListParagraph"/>
        <w:numPr>
          <w:ilvl w:val="0"/>
          <w:numId w:val="15"/>
        </w:numPr>
        <w:ind w:left="2160"/>
      </w:pPr>
      <w:r w:rsidRPr="00FF4C9C">
        <w:t xml:space="preserve">The proposed project avoids </w:t>
      </w:r>
      <w:r w:rsidRPr="00F00F18">
        <w:t>duplication/overlap</w:t>
      </w:r>
      <w:r w:rsidRPr="00FF4C9C">
        <w:t xml:space="preserve"> with other publicly or privately funded work.</w:t>
      </w:r>
    </w:p>
    <w:p w14:paraId="0C8E050B" w14:textId="6F9B3E98" w:rsidR="000B0C6E" w:rsidRDefault="000B0C6E" w:rsidP="00442708">
      <w:pPr>
        <w:pStyle w:val="ListParagraph"/>
        <w:ind w:left="1440"/>
        <w:rPr>
          <w:b/>
        </w:rPr>
      </w:pPr>
    </w:p>
    <w:p w14:paraId="6BE918A3" w14:textId="04A36CB5" w:rsidR="00442708" w:rsidRPr="00FF4C9C" w:rsidRDefault="004E672B" w:rsidP="00442708">
      <w:pPr>
        <w:pStyle w:val="ListParagraph"/>
        <w:ind w:left="1440"/>
        <w:rPr>
          <w:b/>
        </w:rPr>
      </w:pPr>
      <w:r w:rsidRPr="00FF4C9C">
        <w:rPr>
          <w:b/>
        </w:rPr>
        <w:t>Complementary Efforts</w:t>
      </w:r>
    </w:p>
    <w:p w14:paraId="3EC1CA11" w14:textId="58396C1E" w:rsidR="00442708" w:rsidRPr="000B0C6E" w:rsidRDefault="004E672B" w:rsidP="00AA4320">
      <w:pPr>
        <w:pStyle w:val="ListParagraph"/>
        <w:numPr>
          <w:ilvl w:val="0"/>
          <w:numId w:val="15"/>
        </w:numPr>
        <w:ind w:left="2160"/>
      </w:pPr>
      <w:r w:rsidRPr="00FF4C9C">
        <w:t xml:space="preserve">The proposed project </w:t>
      </w:r>
      <w:r w:rsidRPr="00F00F18">
        <w:t>supports complementary</w:t>
      </w:r>
      <w:r w:rsidRPr="00FF4C9C">
        <w:t xml:space="preserve"> efforts or projects, which, when taken together, will best achieve the research goals and objectives.</w:t>
      </w:r>
    </w:p>
    <w:p w14:paraId="2DC2BA6F" w14:textId="5B38B153" w:rsidR="001D198A" w:rsidRDefault="001D198A" w:rsidP="00442708">
      <w:pPr>
        <w:pStyle w:val="ListParagraph"/>
        <w:ind w:left="1440"/>
        <w:rPr>
          <w:b/>
        </w:rPr>
      </w:pPr>
    </w:p>
    <w:p w14:paraId="2B71C372" w14:textId="17763B04" w:rsidR="00442708" w:rsidRPr="00FF4C9C" w:rsidRDefault="004E672B" w:rsidP="00442708">
      <w:pPr>
        <w:pStyle w:val="ListParagraph"/>
        <w:ind w:left="1440"/>
        <w:rPr>
          <w:b/>
        </w:rPr>
      </w:pPr>
      <w:r w:rsidRPr="00FF4C9C">
        <w:rPr>
          <w:b/>
        </w:rPr>
        <w:t>Market Impact</w:t>
      </w:r>
    </w:p>
    <w:p w14:paraId="4663BB04" w14:textId="2DF59DBB" w:rsidR="00442708" w:rsidRPr="00FF4C9C" w:rsidRDefault="004E672B" w:rsidP="00AA4320">
      <w:pPr>
        <w:pStyle w:val="ListParagraph"/>
        <w:numPr>
          <w:ilvl w:val="0"/>
          <w:numId w:val="15"/>
        </w:numPr>
        <w:ind w:left="2160"/>
      </w:pPr>
      <w:r w:rsidRPr="00FF4C9C">
        <w:t xml:space="preserve">The proposed project enables </w:t>
      </w:r>
      <w:r w:rsidRPr="00F00F18">
        <w:t>new and expanding</w:t>
      </w:r>
      <w:r w:rsidRPr="00FF4C9C">
        <w:t xml:space="preserve"> market segments.</w:t>
      </w:r>
    </w:p>
    <w:p w14:paraId="6E991EF6" w14:textId="3EE6CD04" w:rsidR="000B0C6E" w:rsidRDefault="000B0C6E" w:rsidP="00442708">
      <w:pPr>
        <w:pStyle w:val="ListParagraph"/>
        <w:ind w:left="1440"/>
        <w:rPr>
          <w:b/>
        </w:rPr>
      </w:pPr>
    </w:p>
    <w:p w14:paraId="55C6274F" w14:textId="258B5DC5" w:rsidR="00442708" w:rsidRPr="00FF4C9C" w:rsidRDefault="004E672B" w:rsidP="00442708">
      <w:pPr>
        <w:pStyle w:val="ListParagraph"/>
        <w:ind w:left="1440"/>
        <w:rPr>
          <w:b/>
        </w:rPr>
      </w:pPr>
      <w:r w:rsidRPr="00FF4C9C">
        <w:rPr>
          <w:b/>
        </w:rPr>
        <w:t>EE/Deployment</w:t>
      </w:r>
    </w:p>
    <w:p w14:paraId="2DDEE488" w14:textId="42B0D8D0" w:rsidR="00442708" w:rsidRPr="00FF4C9C" w:rsidRDefault="004E672B" w:rsidP="00AA4320">
      <w:pPr>
        <w:pStyle w:val="ListParagraph"/>
        <w:numPr>
          <w:ilvl w:val="0"/>
          <w:numId w:val="15"/>
        </w:numPr>
        <w:ind w:left="2160"/>
      </w:pPr>
      <w:r w:rsidRPr="00FF4C9C">
        <w:t xml:space="preserve">The project’s solution or strategy will </w:t>
      </w:r>
      <w:r w:rsidRPr="00F00F18">
        <w:t>maximiz</w:t>
      </w:r>
      <w:r w:rsidRPr="00FF4C9C">
        <w:t>e deployment or replication.</w:t>
      </w:r>
    </w:p>
    <w:p w14:paraId="12BD4524" w14:textId="6E895968" w:rsidR="000B0C6E" w:rsidRDefault="000B0C6E" w:rsidP="00442708">
      <w:pPr>
        <w:pStyle w:val="ListParagraph"/>
        <w:ind w:left="1440"/>
        <w:rPr>
          <w:b/>
        </w:rPr>
      </w:pPr>
    </w:p>
    <w:p w14:paraId="10DB711C" w14:textId="42D8D056" w:rsidR="00442708" w:rsidRPr="00FF4C9C" w:rsidRDefault="004E672B" w:rsidP="00442708">
      <w:pPr>
        <w:pStyle w:val="ListParagraph"/>
        <w:ind w:left="1440"/>
        <w:rPr>
          <w:b/>
        </w:rPr>
      </w:pPr>
      <w:r w:rsidRPr="00FF4C9C">
        <w:rPr>
          <w:b/>
        </w:rPr>
        <w:t>Tech Transfer</w:t>
      </w:r>
    </w:p>
    <w:p w14:paraId="142E0B2D" w14:textId="157A8127" w:rsidR="002A460F" w:rsidRDefault="004E672B" w:rsidP="00AA4320">
      <w:pPr>
        <w:pStyle w:val="ListParagraph"/>
        <w:numPr>
          <w:ilvl w:val="0"/>
          <w:numId w:val="15"/>
        </w:numPr>
        <w:ind w:left="2160"/>
      </w:pPr>
      <w:r w:rsidRPr="00FF4C9C">
        <w:t xml:space="preserve">The project promotes increased </w:t>
      </w:r>
      <w:r w:rsidRPr="00F00F18">
        <w:t>coordination</w:t>
      </w:r>
      <w:r w:rsidRPr="00FF4C9C">
        <w:t xml:space="preserve"> with nongovernmental entities for demonstration of technologies and research applications to facilitate technology transfer.</w:t>
      </w:r>
    </w:p>
    <w:p w14:paraId="2A30167B" w14:textId="77777777" w:rsidR="00A845C3" w:rsidRDefault="00A845C3" w:rsidP="00A845C3"/>
    <w:p w14:paraId="68BC266A" w14:textId="72764DF4" w:rsidR="00B07932" w:rsidRPr="001B113C" w:rsidRDefault="004E672B" w:rsidP="0017595D">
      <w:pPr>
        <w:pStyle w:val="FOAHeading2"/>
      </w:pPr>
      <w:bookmarkStart w:id="400" w:name="_Toc515980137"/>
      <w:bookmarkStart w:id="401" w:name="_Toc515980232"/>
      <w:bookmarkStart w:id="402" w:name="_Toc517191933"/>
      <w:bookmarkStart w:id="403" w:name="_Toc517350982"/>
      <w:bookmarkStart w:id="404" w:name="_Toc517771574"/>
      <w:bookmarkStart w:id="405" w:name="_Toc517797791"/>
      <w:bookmarkStart w:id="406" w:name="_Toc517797871"/>
      <w:bookmarkStart w:id="407" w:name="_Toc517797949"/>
      <w:bookmarkStart w:id="408" w:name="_Toc517798064"/>
      <w:bookmarkStart w:id="409" w:name="_Toc517798289"/>
      <w:bookmarkStart w:id="410" w:name="_Toc517798370"/>
      <w:bookmarkStart w:id="411" w:name="_Toc517798930"/>
      <w:bookmarkStart w:id="412" w:name="_Toc517799231"/>
      <w:bookmarkStart w:id="413" w:name="_Toc519602186"/>
      <w:bookmarkStart w:id="414" w:name="_Toc519602258"/>
      <w:bookmarkStart w:id="415" w:name="_Toc519602397"/>
      <w:bookmarkStart w:id="416" w:name="_Toc519602563"/>
      <w:bookmarkStart w:id="417" w:name="_Toc520382672"/>
      <w:bookmarkStart w:id="418" w:name="_Toc520455673"/>
      <w:bookmarkStart w:id="419" w:name="_Toc520455843"/>
      <w:bookmarkStart w:id="420" w:name="_Toc517798931"/>
      <w:bookmarkStart w:id="421" w:name="_Toc519602259"/>
      <w:bookmarkStart w:id="422" w:name="_Toc519602398"/>
      <w:bookmarkStart w:id="423" w:name="_Toc109921733"/>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1B113C">
        <w:t>Evaluation and Selection Process</w:t>
      </w:r>
      <w:bookmarkEnd w:id="420"/>
      <w:bookmarkEnd w:id="421"/>
      <w:bookmarkEnd w:id="422"/>
      <w:bookmarkEnd w:id="423"/>
      <w:r w:rsidR="00853350">
        <w:br/>
      </w:r>
    </w:p>
    <w:p w14:paraId="3C332931" w14:textId="61B77AB1" w:rsidR="00B07932" w:rsidRPr="00872882" w:rsidRDefault="004E672B" w:rsidP="00F836F4">
      <w:pPr>
        <w:pStyle w:val="FOAHeading3"/>
        <w:numPr>
          <w:ilvl w:val="0"/>
          <w:numId w:val="36"/>
        </w:numPr>
        <w:ind w:left="1440"/>
        <w:outlineLvl w:val="2"/>
      </w:pPr>
      <w:bookmarkStart w:id="424" w:name="_Toc519602399"/>
      <w:bookmarkStart w:id="425" w:name="_Toc109921734"/>
      <w:r w:rsidRPr="00C72CE2">
        <w:t>Overview</w:t>
      </w:r>
      <w:bookmarkEnd w:id="424"/>
      <w:bookmarkEnd w:id="425"/>
    </w:p>
    <w:p w14:paraId="11C00E67" w14:textId="77777777" w:rsidR="00B07932" w:rsidRPr="008858B4" w:rsidRDefault="004E672B" w:rsidP="00A53BBC">
      <w:pPr>
        <w:ind w:left="1440"/>
        <w:rPr>
          <w:highlight w:val="yellow"/>
        </w:rPr>
      </w:pPr>
      <w:r w:rsidRPr="008858B4">
        <w:t xml:space="preserve">The evaluation process consists of multiple phases; each includes an initial eligibility review and a thorough technical review. Rigorous technical reviews of eligible submissions are conducted by reviewers that are experts in the subject matter of the FOA. Ultimately, the Selection Official considers the recommendations of the reviewers, along with other considerations such as program policy factors, in determining which applications to select. </w:t>
      </w:r>
    </w:p>
    <w:p w14:paraId="0FF5317B" w14:textId="77777777" w:rsidR="00B07932" w:rsidRPr="008858B4" w:rsidRDefault="00B07932" w:rsidP="008858B4"/>
    <w:p w14:paraId="4C77E7AB" w14:textId="4F4A2AA2" w:rsidR="00B07932" w:rsidRPr="00872882" w:rsidRDefault="004E672B" w:rsidP="00F836F4">
      <w:pPr>
        <w:pStyle w:val="FOAHeading3"/>
        <w:numPr>
          <w:ilvl w:val="0"/>
          <w:numId w:val="36"/>
        </w:numPr>
        <w:ind w:left="1440"/>
        <w:outlineLvl w:val="2"/>
      </w:pPr>
      <w:bookmarkStart w:id="426" w:name="_Toc519602400"/>
      <w:bookmarkStart w:id="427" w:name="_Toc109921735"/>
      <w:r w:rsidRPr="00C72CE2">
        <w:t>Pre-Selection Interviews</w:t>
      </w:r>
      <w:bookmarkEnd w:id="426"/>
      <w:bookmarkEnd w:id="427"/>
    </w:p>
    <w:p w14:paraId="2EFF5680" w14:textId="55E73A7F" w:rsidR="00B07932" w:rsidRPr="008858B4" w:rsidRDefault="004E672B" w:rsidP="00A53BBC">
      <w:pPr>
        <w:ind w:left="1440"/>
      </w:pPr>
      <w:r w:rsidRPr="008858B4">
        <w:t xml:space="preserve">As part of the evaluation and selection process, EERE may invite one or more applicants to participate in Pre-Selection Interviews. Pre-Selection Interviews are distinct from and more formal than pre-selection clarifications (See Section </w:t>
      </w:r>
      <w:proofErr w:type="spellStart"/>
      <w:r w:rsidRPr="008858B4">
        <w:t>V.D.</w:t>
      </w:r>
      <w:r w:rsidR="00514F0B">
        <w:t>iii</w:t>
      </w:r>
      <w:proofErr w:type="spellEnd"/>
      <w:r w:rsidR="00FA3F9D">
        <w:t>.</w:t>
      </w:r>
      <w:r w:rsidRPr="008858B4">
        <w:t xml:space="preserve"> of the FOA). The invited applicant(s) will meet with EERE representatives to provide clarification on the contents of the Full Applications and to provide EERE an opportunity to ask questions regarding the proposed project. The information provided by applicants to EERE through Pre-Selection Interviews contributes to EERE’s selection decisions.</w:t>
      </w:r>
    </w:p>
    <w:p w14:paraId="14A63C00" w14:textId="77777777" w:rsidR="00B07932" w:rsidRPr="008858B4" w:rsidRDefault="00B07932" w:rsidP="00A53BBC">
      <w:pPr>
        <w:ind w:left="1440"/>
      </w:pPr>
    </w:p>
    <w:p w14:paraId="48589B20" w14:textId="77777777" w:rsidR="00B07932" w:rsidRPr="008858B4" w:rsidRDefault="004E672B" w:rsidP="00A53BBC">
      <w:pPr>
        <w:ind w:left="1440"/>
      </w:pPr>
      <w:r w:rsidRPr="008858B4">
        <w:t>EERE will arrange to meet with the invited applicants in person at EERE’s offices or a mutually agreed upon location. EERE may also arrange site visits at certain applicants’ facilities. In the alternative, EERE may invite certain applicants to participate in a one-on-one conference with EERE via webinar, videoconference, or conference call.</w:t>
      </w:r>
    </w:p>
    <w:p w14:paraId="0A43ED46" w14:textId="77777777" w:rsidR="00B07932" w:rsidRPr="008858B4" w:rsidRDefault="004E672B" w:rsidP="00A53BBC">
      <w:pPr>
        <w:ind w:left="1440"/>
      </w:pPr>
      <w:r>
        <w:tab/>
      </w:r>
    </w:p>
    <w:p w14:paraId="6AF25751" w14:textId="77777777" w:rsidR="00B07932" w:rsidRPr="008858B4" w:rsidRDefault="004E672B" w:rsidP="00A53BBC">
      <w:pPr>
        <w:ind w:left="1440"/>
      </w:pPr>
      <w:r w:rsidRPr="008858B4">
        <w:t>EERE will not reimburse applicants for travel and other expenses relating to the Pre-Selection Interviews, nor will these costs be eligible for reimbursement as pre-award costs.</w:t>
      </w:r>
    </w:p>
    <w:p w14:paraId="6E0CA3CD" w14:textId="77777777" w:rsidR="00B07932" w:rsidRPr="008858B4" w:rsidRDefault="00B07932" w:rsidP="00A53BBC">
      <w:pPr>
        <w:ind w:left="1440"/>
      </w:pPr>
    </w:p>
    <w:p w14:paraId="75F4E688" w14:textId="77777777" w:rsidR="00B07932" w:rsidRPr="008858B4" w:rsidRDefault="004E672B" w:rsidP="00A53BBC">
      <w:pPr>
        <w:ind w:left="1440"/>
      </w:pPr>
      <w:r w:rsidRPr="008858B4">
        <w:t>EERE may obtain additional information through Pre-Selection Interviews that will be used to make a final selection determination. EERE may select applications for funding and make awards without Pre-Selection Interviews. Participation in Pre-Selection Interviews with EERE does not signify that applicants have been selected for award negotiations.</w:t>
      </w:r>
    </w:p>
    <w:p w14:paraId="4F3CE15F" w14:textId="77777777" w:rsidR="00B07932" w:rsidRPr="008858B4" w:rsidRDefault="00B07932" w:rsidP="008858B4"/>
    <w:p w14:paraId="6D9EDDFD" w14:textId="5E29967E" w:rsidR="00B07932" w:rsidRPr="00872882" w:rsidRDefault="004E672B" w:rsidP="00F836F4">
      <w:pPr>
        <w:pStyle w:val="FOAHeading3"/>
        <w:numPr>
          <w:ilvl w:val="0"/>
          <w:numId w:val="36"/>
        </w:numPr>
        <w:ind w:left="1440"/>
        <w:outlineLvl w:val="2"/>
      </w:pPr>
      <w:bookmarkStart w:id="428" w:name="_Toc519602401"/>
      <w:bookmarkStart w:id="429" w:name="_Toc109921736"/>
      <w:r w:rsidRPr="00C72CE2">
        <w:t>Pre-Selection Clarification</w:t>
      </w:r>
      <w:bookmarkEnd w:id="428"/>
      <w:bookmarkEnd w:id="429"/>
    </w:p>
    <w:p w14:paraId="02B72302" w14:textId="77777777" w:rsidR="00B07932" w:rsidRPr="008858B4" w:rsidRDefault="004E672B" w:rsidP="00A53BBC">
      <w:pPr>
        <w:ind w:left="1440"/>
        <w:rPr>
          <w:szCs w:val="24"/>
        </w:rPr>
      </w:pPr>
      <w:r w:rsidRPr="008858B4">
        <w:t>EERE may determine that pre-selection clarifications are necessary from one or more applicants. Pre-selection clarifications are distinct from and less formal than pre-selection interviews.</w:t>
      </w:r>
      <w:r w:rsidR="001A3502">
        <w:t xml:space="preserve"> </w:t>
      </w:r>
      <w:r w:rsidRPr="008858B4">
        <w:t xml:space="preserve">These pre-selection clarifications will solely be for the purposes of clarifying the </w:t>
      </w:r>
      <w:proofErr w:type="gramStart"/>
      <w:r w:rsidRPr="008858B4">
        <w:t>application, and</w:t>
      </w:r>
      <w:proofErr w:type="gramEnd"/>
      <w:r w:rsidRPr="008858B4">
        <w:t xml:space="preserve"> will be limited to information already provided in the application documentation. The pre-selection clarifications may occur before, during or after the merit </w:t>
      </w:r>
      <w:r w:rsidRPr="00120F39">
        <w:t>review evaluation proce</w:t>
      </w:r>
      <w:r w:rsidRPr="009061D6">
        <w:t xml:space="preserve">ss. Information provided by an applicant that is not necessary to address the pre-selection clarification question will not be reviewed or considered. Typically, a pre-selection clarification will be carried out through either written </w:t>
      </w:r>
      <w:proofErr w:type="gramStart"/>
      <w:r w:rsidRPr="009061D6">
        <w:t>responses</w:t>
      </w:r>
      <w:proofErr w:type="gramEnd"/>
      <w:r w:rsidRPr="009061D6">
        <w:t xml:space="preserve"> to EERE’s written clarification questions or video or conference calls with EERE representatives.</w:t>
      </w:r>
    </w:p>
    <w:p w14:paraId="46C6AD03" w14:textId="77777777" w:rsidR="00B07932" w:rsidRPr="008858B4" w:rsidRDefault="004E672B" w:rsidP="00973D28">
      <w:pPr>
        <w:ind w:left="1440"/>
        <w:rPr>
          <w:szCs w:val="24"/>
        </w:rPr>
      </w:pPr>
      <w:r w:rsidRPr="008858B4">
        <w:rPr>
          <w:szCs w:val="24"/>
        </w:rPr>
        <w:t xml:space="preserve"> </w:t>
      </w:r>
    </w:p>
    <w:p w14:paraId="4EE82927" w14:textId="77777777" w:rsidR="00B07932" w:rsidRPr="00AF2304" w:rsidRDefault="004E672B" w:rsidP="00A53BBC">
      <w:pPr>
        <w:pStyle w:val="PlainText"/>
        <w:ind w:left="1440"/>
        <w:rPr>
          <w:rFonts w:asciiTheme="minorHAnsi" w:hAnsiTheme="minorHAnsi"/>
          <w:sz w:val="24"/>
          <w:szCs w:val="24"/>
        </w:rPr>
      </w:pPr>
      <w:r w:rsidRPr="00AF2304">
        <w:rPr>
          <w:rFonts w:asciiTheme="minorHAnsi" w:hAnsiTheme="minorHAnsi"/>
          <w:sz w:val="24"/>
          <w:szCs w:val="24"/>
        </w:rPr>
        <w:t>The information provided by applicants to EERE through pre-selection clarifications is incorporated in their applications and contributes to the merit review evaluation and EERE’s selection decisions. If EERE contacts an applicant for pre-selection clarification purposes, it does not signify that the applicant has been selected for negotiation of award or that the applicant is among the top ranked applications.</w:t>
      </w:r>
    </w:p>
    <w:p w14:paraId="3B7F9E93" w14:textId="77777777" w:rsidR="00B07932" w:rsidRPr="008858B4" w:rsidRDefault="00B07932" w:rsidP="00A53BBC">
      <w:pPr>
        <w:ind w:left="1440"/>
        <w:rPr>
          <w:szCs w:val="24"/>
        </w:rPr>
      </w:pPr>
    </w:p>
    <w:p w14:paraId="29F34C57" w14:textId="77777777" w:rsidR="00B07932" w:rsidRDefault="004E672B" w:rsidP="00A53BBC">
      <w:pPr>
        <w:ind w:left="1440"/>
        <w:rPr>
          <w:szCs w:val="24"/>
        </w:rPr>
      </w:pPr>
      <w:r w:rsidRPr="00120F39">
        <w:t>EERE wi</w:t>
      </w:r>
      <w:r w:rsidRPr="009061D6">
        <w:t>ll not reimburse applicants for expenses relating to the pre-selection clarifications, nor will these costs be eligible for reimbursement as pre-award costs.</w:t>
      </w:r>
    </w:p>
    <w:p w14:paraId="75C45E66" w14:textId="77777777" w:rsidR="002F33C9" w:rsidRDefault="002F33C9" w:rsidP="001C6AFF">
      <w:pPr>
        <w:ind w:left="1800"/>
        <w:rPr>
          <w:szCs w:val="24"/>
        </w:rPr>
      </w:pPr>
    </w:p>
    <w:p w14:paraId="0966631F" w14:textId="77777777" w:rsidR="00FB7FAD" w:rsidRPr="00872882" w:rsidRDefault="004E672B" w:rsidP="00F836F4">
      <w:pPr>
        <w:pStyle w:val="FOAHeading3"/>
        <w:numPr>
          <w:ilvl w:val="0"/>
          <w:numId w:val="36"/>
        </w:numPr>
        <w:ind w:left="1440"/>
        <w:outlineLvl w:val="2"/>
      </w:pPr>
      <w:bookmarkStart w:id="430" w:name="_Toc519602402"/>
      <w:bookmarkStart w:id="431" w:name="_Toc109921737"/>
      <w:r w:rsidRPr="00C72CE2">
        <w:t>Recipient Integrity and Performance Matters</w:t>
      </w:r>
      <w:bookmarkEnd w:id="430"/>
      <w:bookmarkEnd w:id="431"/>
      <w:r w:rsidRPr="00C72CE2">
        <w:t xml:space="preserve"> </w:t>
      </w:r>
    </w:p>
    <w:p w14:paraId="37F55DAD" w14:textId="77777777" w:rsidR="00FB7FAD" w:rsidRPr="008D2C1A" w:rsidRDefault="004E672B" w:rsidP="00A53BBC">
      <w:pPr>
        <w:pStyle w:val="FOATemplateBody"/>
        <w:ind w:left="1440"/>
        <w:rPr>
          <w:szCs w:val="24"/>
        </w:rPr>
      </w:pPr>
      <w:r w:rsidRPr="00120F39">
        <w:t xml:space="preserve">DOE, prior to making a </w:t>
      </w:r>
      <w:r w:rsidR="00506F43">
        <w:t>f</w:t>
      </w:r>
      <w:r w:rsidR="00506F43" w:rsidRPr="00120F39">
        <w:t xml:space="preserve">ederal </w:t>
      </w:r>
      <w:r w:rsidRPr="00120F39">
        <w:t>award with a total am</w:t>
      </w:r>
      <w:r w:rsidRPr="009061D6">
        <w:t xml:space="preserve">ount of </w:t>
      </w:r>
      <w:r w:rsidR="00506F43">
        <w:t>f</w:t>
      </w:r>
      <w:r w:rsidR="00506F43" w:rsidRPr="009061D6">
        <w:t xml:space="preserve">ederal </w:t>
      </w:r>
      <w:r w:rsidRPr="009061D6">
        <w:t>share greater than the simplified acquisition threshold, is required to review and consider any information about the applicant that is in the designated integrity and performance system accessible through SAM (currently FAPIIS) (see 41 U.S.C. 2313).</w:t>
      </w:r>
    </w:p>
    <w:p w14:paraId="5B177F47" w14:textId="77777777" w:rsidR="00FB7FAD" w:rsidRPr="00B5344E" w:rsidRDefault="00FB7FAD" w:rsidP="00A53BBC">
      <w:pPr>
        <w:ind w:left="1440"/>
      </w:pPr>
    </w:p>
    <w:p w14:paraId="2F7AA0EF" w14:textId="77777777" w:rsidR="00FB7FAD" w:rsidRPr="008D2C1A" w:rsidRDefault="004E672B" w:rsidP="00A53BBC">
      <w:pPr>
        <w:pStyle w:val="FOATemplateBody"/>
        <w:ind w:left="1440"/>
        <w:rPr>
          <w:szCs w:val="24"/>
        </w:rPr>
      </w:pPr>
      <w:r w:rsidRPr="00120F39">
        <w:t xml:space="preserve">The applicant, at its option, may review information in the designated integrity and performance systems accessible through SAM and comment on any information about itself that a </w:t>
      </w:r>
      <w:r w:rsidR="00506F43">
        <w:t>f</w:t>
      </w:r>
      <w:r w:rsidR="00506F43" w:rsidRPr="00120F39">
        <w:t xml:space="preserve">ederal </w:t>
      </w:r>
      <w:r w:rsidRPr="00120F39">
        <w:t>awarding agency previously entered and is currently in th</w:t>
      </w:r>
      <w:r w:rsidRPr="009061D6">
        <w:t>e designated integrity and performance system accessible through SAM.</w:t>
      </w:r>
    </w:p>
    <w:p w14:paraId="0E7CB802" w14:textId="77777777" w:rsidR="00FB7FAD" w:rsidRPr="008D2C1A" w:rsidRDefault="00FB7FAD" w:rsidP="00A53BBC">
      <w:pPr>
        <w:pStyle w:val="FOATemplateBody"/>
        <w:ind w:left="1440"/>
        <w:rPr>
          <w:szCs w:val="24"/>
        </w:rPr>
      </w:pPr>
    </w:p>
    <w:p w14:paraId="61ABEDA1" w14:textId="680AA8CF" w:rsidR="002F33C9" w:rsidRPr="008D2C1A" w:rsidRDefault="004E672B" w:rsidP="00A53BBC">
      <w:pPr>
        <w:pStyle w:val="FOATemplateBody"/>
        <w:ind w:left="1440"/>
        <w:rPr>
          <w:szCs w:val="24"/>
        </w:rPr>
      </w:pPr>
      <w:r w:rsidRPr="00120F39">
        <w:t>DOE will consider any written comments by the applicant, in addition to the other information in the designated integrity and performance system, in making a judgment about the applican</w:t>
      </w:r>
      <w:r w:rsidRPr="009061D6">
        <w:t>t</w:t>
      </w:r>
      <w:r w:rsidR="00070D39">
        <w:t>’</w:t>
      </w:r>
      <w:r w:rsidRPr="009061D6">
        <w:t xml:space="preserve">s integrity, business ethics, and record of performance under </w:t>
      </w:r>
      <w:r w:rsidR="00506F43">
        <w:t>f</w:t>
      </w:r>
      <w:r w:rsidR="00506F43" w:rsidRPr="009061D6">
        <w:t xml:space="preserve">ederal </w:t>
      </w:r>
      <w:r w:rsidRPr="009061D6">
        <w:t>awards when completing the review of risk posed by applicants as described in 2 CFR 200.20</w:t>
      </w:r>
      <w:r w:rsidR="00FC0A92">
        <w:t>6</w:t>
      </w:r>
      <w:r w:rsidRPr="009061D6">
        <w:t>.</w:t>
      </w:r>
    </w:p>
    <w:p w14:paraId="1BC82F94" w14:textId="77777777" w:rsidR="00B07932" w:rsidRDefault="00B07932" w:rsidP="008858B4"/>
    <w:p w14:paraId="69D5FE6E" w14:textId="6142FD59" w:rsidR="00B07932" w:rsidRPr="00872882" w:rsidRDefault="004E672B" w:rsidP="00F836F4">
      <w:pPr>
        <w:pStyle w:val="FOAHeading3"/>
        <w:numPr>
          <w:ilvl w:val="0"/>
          <w:numId w:val="36"/>
        </w:numPr>
        <w:ind w:left="1440"/>
        <w:outlineLvl w:val="2"/>
      </w:pPr>
      <w:bookmarkStart w:id="432" w:name="_Toc517799237"/>
      <w:bookmarkStart w:id="433" w:name="_Toc519602403"/>
      <w:bookmarkStart w:id="434" w:name="_Toc519602569"/>
      <w:bookmarkStart w:id="435" w:name="_Toc520382678"/>
      <w:bookmarkStart w:id="436" w:name="_Toc520455679"/>
      <w:bookmarkStart w:id="437" w:name="_Toc520455849"/>
      <w:bookmarkStart w:id="438" w:name="_Toc519602404"/>
      <w:bookmarkStart w:id="439" w:name="_Toc109921738"/>
      <w:bookmarkEnd w:id="432"/>
      <w:bookmarkEnd w:id="433"/>
      <w:bookmarkEnd w:id="434"/>
      <w:bookmarkEnd w:id="435"/>
      <w:bookmarkEnd w:id="436"/>
      <w:bookmarkEnd w:id="437"/>
      <w:r w:rsidRPr="00C72CE2">
        <w:t>Selection</w:t>
      </w:r>
      <w:bookmarkEnd w:id="438"/>
      <w:bookmarkEnd w:id="439"/>
    </w:p>
    <w:p w14:paraId="518EAE9B" w14:textId="77777777" w:rsidR="00B07932" w:rsidRDefault="004E672B" w:rsidP="00A53BBC">
      <w:pPr>
        <w:ind w:left="1440"/>
      </w:pPr>
      <w:r w:rsidRPr="008858B4">
        <w:t>The Selection Official may consider the technical merit, the Federal Consensus Board’s recommendations, program policy factors, and the amount of funds available in arriving at selections for this FOA.</w:t>
      </w:r>
    </w:p>
    <w:p w14:paraId="69CD58AE" w14:textId="77777777" w:rsidR="00B07932" w:rsidRDefault="00B07932" w:rsidP="008858B4">
      <w:bookmarkStart w:id="440" w:name="_Toc440624336"/>
      <w:bookmarkEnd w:id="440"/>
    </w:p>
    <w:p w14:paraId="05D00C64" w14:textId="595C4F32" w:rsidR="00B07932" w:rsidRPr="001B113C" w:rsidRDefault="004E672B" w:rsidP="0017595D">
      <w:pPr>
        <w:pStyle w:val="FOAHeading2"/>
      </w:pPr>
      <w:bookmarkStart w:id="441" w:name="_Toc515980139"/>
      <w:bookmarkStart w:id="442" w:name="_Toc515980234"/>
      <w:bookmarkStart w:id="443" w:name="_Toc517191935"/>
      <w:bookmarkStart w:id="444" w:name="_Toc517350984"/>
      <w:bookmarkStart w:id="445" w:name="_Toc517771576"/>
      <w:bookmarkStart w:id="446" w:name="_Toc517797793"/>
      <w:bookmarkStart w:id="447" w:name="_Toc517797873"/>
      <w:bookmarkStart w:id="448" w:name="_Toc517797951"/>
      <w:bookmarkStart w:id="449" w:name="_Toc517798066"/>
      <w:bookmarkStart w:id="450" w:name="_Toc517798291"/>
      <w:bookmarkStart w:id="451" w:name="_Toc517798372"/>
      <w:bookmarkStart w:id="452" w:name="_Toc517798932"/>
      <w:bookmarkStart w:id="453" w:name="_Toc517799239"/>
      <w:bookmarkStart w:id="454" w:name="_Toc519602188"/>
      <w:bookmarkStart w:id="455" w:name="_Toc519602260"/>
      <w:bookmarkStart w:id="456" w:name="_Toc519602405"/>
      <w:bookmarkStart w:id="457" w:name="_Toc519602571"/>
      <w:bookmarkStart w:id="458" w:name="_Toc520382680"/>
      <w:bookmarkStart w:id="459" w:name="_Toc520455681"/>
      <w:bookmarkStart w:id="460" w:name="_Toc520455851"/>
      <w:bookmarkStart w:id="461" w:name="_Toc517798933"/>
      <w:bookmarkStart w:id="462" w:name="_Toc519602261"/>
      <w:bookmarkStart w:id="463" w:name="_Toc519602406"/>
      <w:bookmarkStart w:id="464" w:name="_Toc109921739"/>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1B113C">
        <w:t xml:space="preserve">Anticipated Notice of Selection and Award </w:t>
      </w:r>
      <w:r w:rsidR="00C252C8">
        <w:t xml:space="preserve">Negotiation </w:t>
      </w:r>
      <w:r w:rsidRPr="001B113C">
        <w:t>Dates</w:t>
      </w:r>
      <w:bookmarkEnd w:id="461"/>
      <w:bookmarkEnd w:id="462"/>
      <w:bookmarkEnd w:id="463"/>
      <w:bookmarkEnd w:id="464"/>
    </w:p>
    <w:p w14:paraId="19781180" w14:textId="77777777" w:rsidR="00C252C8" w:rsidRDefault="004E672B" w:rsidP="00E42B15">
      <w:pPr>
        <w:pStyle w:val="FOATemplateBody"/>
        <w:ind w:left="1440"/>
        <w:rPr>
          <w:rFonts w:asciiTheme="minorHAnsi" w:hAnsiTheme="minorHAnsi"/>
        </w:rPr>
      </w:pPr>
      <w:r w:rsidRPr="008858B4">
        <w:t xml:space="preserve">EERE anticipates notifying applicants selected for negotiation of award </w:t>
      </w:r>
      <w:r>
        <w:t xml:space="preserve">and negotiating awards </w:t>
      </w:r>
      <w:r w:rsidRPr="008858B4">
        <w:t xml:space="preserve">by </w:t>
      </w:r>
      <w:r w:rsidRPr="008858B4">
        <w:rPr>
          <w:rFonts w:asciiTheme="minorHAnsi" w:hAnsiTheme="minorHAnsi"/>
        </w:rPr>
        <w:t>the dates provided on the cover page of this FOA.</w:t>
      </w:r>
    </w:p>
    <w:p w14:paraId="2E4425AE" w14:textId="711F0D9C" w:rsidR="00B07932" w:rsidRPr="008858B4" w:rsidRDefault="00B07932" w:rsidP="005077C7">
      <w:pPr>
        <w:rPr>
          <w:color w:val="0000FF"/>
        </w:rPr>
      </w:pPr>
    </w:p>
    <w:p w14:paraId="0766574F" w14:textId="77777777" w:rsidR="00B07932" w:rsidRPr="008858B4" w:rsidRDefault="00B07932" w:rsidP="008858B4">
      <w:pPr>
        <w:contextualSpacing/>
      </w:pPr>
    </w:p>
    <w:p w14:paraId="7C303608" w14:textId="4F499BF4" w:rsidR="00B07932" w:rsidRPr="00126FBB" w:rsidRDefault="004E672B" w:rsidP="0017729B">
      <w:pPr>
        <w:pStyle w:val="FOAHeading1"/>
      </w:pPr>
      <w:bookmarkStart w:id="465" w:name="_Toc517798934"/>
      <w:bookmarkStart w:id="466" w:name="_Toc519602262"/>
      <w:bookmarkStart w:id="467" w:name="_Toc519602407"/>
      <w:bookmarkStart w:id="468" w:name="_Toc109921740"/>
      <w:r w:rsidRPr="00126FBB">
        <w:t>Award Administration Information</w:t>
      </w:r>
      <w:bookmarkEnd w:id="465"/>
      <w:bookmarkEnd w:id="466"/>
      <w:bookmarkEnd w:id="467"/>
      <w:bookmarkEnd w:id="468"/>
    </w:p>
    <w:p w14:paraId="6095C3EB" w14:textId="77777777" w:rsidR="006035F9" w:rsidRPr="00B5344E" w:rsidRDefault="006035F9" w:rsidP="00A53BBC"/>
    <w:p w14:paraId="6C8A07AD" w14:textId="65D0CAA4" w:rsidR="00B07932" w:rsidRPr="00872882" w:rsidRDefault="004E672B" w:rsidP="0017595D">
      <w:pPr>
        <w:pStyle w:val="FOAHeading2"/>
      </w:pPr>
      <w:bookmarkStart w:id="469" w:name="_Toc517798935"/>
      <w:bookmarkStart w:id="470" w:name="_Toc519602263"/>
      <w:bookmarkStart w:id="471" w:name="_Toc519602408"/>
      <w:bookmarkStart w:id="472" w:name="_Toc109921741"/>
      <w:r w:rsidRPr="00F04E3C">
        <w:t>Award Notices</w:t>
      </w:r>
      <w:bookmarkEnd w:id="469"/>
      <w:bookmarkEnd w:id="470"/>
      <w:bookmarkEnd w:id="471"/>
      <w:bookmarkEnd w:id="472"/>
      <w:r w:rsidR="00853350">
        <w:br/>
      </w:r>
    </w:p>
    <w:p w14:paraId="185B7781" w14:textId="52EEEC29" w:rsidR="00B07932" w:rsidRPr="0022038E" w:rsidRDefault="004E672B" w:rsidP="00F836F4">
      <w:pPr>
        <w:pStyle w:val="FOAHeading3"/>
        <w:numPr>
          <w:ilvl w:val="0"/>
          <w:numId w:val="37"/>
        </w:numPr>
        <w:ind w:left="1440"/>
        <w:outlineLvl w:val="2"/>
      </w:pPr>
      <w:bookmarkStart w:id="473" w:name="_Toc519602409"/>
      <w:bookmarkStart w:id="474" w:name="_Toc109921742"/>
      <w:r w:rsidRPr="00C72CE2">
        <w:t>Ineligible Submissions</w:t>
      </w:r>
      <w:bookmarkEnd w:id="473"/>
      <w:bookmarkEnd w:id="474"/>
    </w:p>
    <w:p w14:paraId="08044990" w14:textId="25ACE087" w:rsidR="00B07932" w:rsidRPr="008858B4" w:rsidRDefault="004E672B" w:rsidP="00A53BBC">
      <w:pPr>
        <w:ind w:left="1440"/>
      </w:pPr>
      <w:r w:rsidRPr="008858B4">
        <w:t xml:space="preserve">Ineligible Concept Papers and Full Applications will not be further reviewed or considered for award. The Contracting Officer will send a notification letter by email to the technical and administrative points of contact designated by the applicant in </w:t>
      </w:r>
      <w:r w:rsidR="00EB0439">
        <w:t>EERE Exchange</w:t>
      </w:r>
      <w:r w:rsidRPr="008858B4">
        <w:t>. The notification letter will state the basis upon which the Concept Paper or the Full Application is ineligible and not considered for further review.</w:t>
      </w:r>
    </w:p>
    <w:p w14:paraId="2786C78C" w14:textId="7ED6CDC9" w:rsidR="00B07932" w:rsidRPr="008858B4" w:rsidRDefault="00B07932" w:rsidP="008858B4"/>
    <w:p w14:paraId="26C6EBCE" w14:textId="76001C28" w:rsidR="00C913D1" w:rsidRPr="007B2B3A" w:rsidRDefault="004E672B" w:rsidP="00F836F4">
      <w:pPr>
        <w:pStyle w:val="FOAHeading3"/>
        <w:numPr>
          <w:ilvl w:val="0"/>
          <w:numId w:val="37"/>
        </w:numPr>
        <w:ind w:left="1440"/>
        <w:outlineLvl w:val="2"/>
      </w:pPr>
      <w:bookmarkStart w:id="475" w:name="_Toc109921743"/>
      <w:r>
        <w:t xml:space="preserve">Concept Paper </w:t>
      </w:r>
      <w:r w:rsidRPr="0022038E">
        <w:t>Notifications</w:t>
      </w:r>
      <w:bookmarkEnd w:id="475"/>
    </w:p>
    <w:p w14:paraId="558EA44B" w14:textId="742E6E96" w:rsidR="00C9668B" w:rsidRDefault="00074566" w:rsidP="00122A3B">
      <w:pPr>
        <w:ind w:left="1440"/>
      </w:pPr>
      <w:r w:rsidRPr="00C913D1">
        <w:t>EERE will notify applicants of its determination to encourage or discourage the submission of a Full Application. EERE will po</w:t>
      </w:r>
      <w:r w:rsidR="004E672B">
        <w:t xml:space="preserve">st these notifications to </w:t>
      </w:r>
      <w:r w:rsidR="00EB0439">
        <w:t>EERE Exchange</w:t>
      </w:r>
      <w:r w:rsidR="004E672B">
        <w:t>.</w:t>
      </w:r>
    </w:p>
    <w:p w14:paraId="06044D83" w14:textId="77777777" w:rsidR="00C9668B" w:rsidRDefault="00C9668B" w:rsidP="00122A3B">
      <w:pPr>
        <w:ind w:left="1440"/>
      </w:pPr>
    </w:p>
    <w:p w14:paraId="0FCAA6A7" w14:textId="77777777" w:rsidR="00C9668B" w:rsidRDefault="004E672B" w:rsidP="00122A3B">
      <w:pPr>
        <w:ind w:left="1440"/>
      </w:pPr>
      <w:r w:rsidRPr="00C913D1">
        <w:t>Applicants may submit a Full Application even if they receive a notification</w:t>
      </w:r>
      <w:r>
        <w:t xml:space="preserve"> discouraging them from doing so. By discouraging the submission of a Full Application, EERE intends to convey its lack of programmatic interest in the proposed project. Such assessments do not necessarily reflect judgments on the merits of the proposed project. The purpose of the Concept Paper phase is to save applicants the considerable time and expense of preparing a Full Application that is unlikely to be selected for award negotiations.</w:t>
      </w:r>
    </w:p>
    <w:p w14:paraId="331FC3F4" w14:textId="77777777" w:rsidR="00C9668B" w:rsidRDefault="00C9668B" w:rsidP="00122A3B">
      <w:pPr>
        <w:ind w:left="1440"/>
      </w:pPr>
    </w:p>
    <w:p w14:paraId="31D81E32" w14:textId="5F89B7B0" w:rsidR="005519B9" w:rsidRDefault="004E672B" w:rsidP="00122A3B">
      <w:pPr>
        <w:ind w:left="1440"/>
      </w:pPr>
      <w:r>
        <w:t xml:space="preserve">A notification encouraging the submission of a Full Application does not authorize the applicant to commence performance of the project. Please refer to </w:t>
      </w:r>
      <w:r w:rsidRPr="00203706">
        <w:t xml:space="preserve">Section </w:t>
      </w:r>
      <w:proofErr w:type="spellStart"/>
      <w:r w:rsidRPr="00203706">
        <w:t>IV.</w:t>
      </w:r>
      <w:proofErr w:type="gramStart"/>
      <w:r w:rsidR="00203706" w:rsidRPr="00203706">
        <w:t>J</w:t>
      </w:r>
      <w:r w:rsidRPr="00203706">
        <w:t>.ii</w:t>
      </w:r>
      <w:proofErr w:type="spellEnd"/>
      <w:r w:rsidRPr="00203706">
        <w:t>.</w:t>
      </w:r>
      <w:proofErr w:type="gramEnd"/>
      <w:r>
        <w:t xml:space="preserve"> of the FOA for guidance on pre-award costs.</w:t>
      </w:r>
    </w:p>
    <w:p w14:paraId="477DC812" w14:textId="77777777" w:rsidR="00C913D1" w:rsidRPr="00122A3B" w:rsidRDefault="00C913D1" w:rsidP="00122A3B">
      <w:pPr>
        <w:ind w:left="1440"/>
      </w:pPr>
    </w:p>
    <w:p w14:paraId="547643E4" w14:textId="040AEAA3" w:rsidR="00B07932" w:rsidRPr="007B2B3A" w:rsidRDefault="004E672B" w:rsidP="00F836F4">
      <w:pPr>
        <w:pStyle w:val="FOAHeading3"/>
        <w:numPr>
          <w:ilvl w:val="0"/>
          <w:numId w:val="37"/>
        </w:numPr>
        <w:ind w:left="1440"/>
        <w:outlineLvl w:val="2"/>
      </w:pPr>
      <w:bookmarkStart w:id="476" w:name="_Toc109921744"/>
      <w:r w:rsidRPr="0022038E">
        <w:t>Full Application Notifications</w:t>
      </w:r>
      <w:bookmarkEnd w:id="476"/>
    </w:p>
    <w:p w14:paraId="58175D2A" w14:textId="34555EA3" w:rsidR="00B07932" w:rsidRPr="008858B4" w:rsidRDefault="004E672B" w:rsidP="00A53BBC">
      <w:pPr>
        <w:ind w:left="1440"/>
      </w:pPr>
      <w:r w:rsidRPr="008858B4">
        <w:t xml:space="preserve">EERE will notify applicants of its determination via a notification letter by email to the technical and administrative points of contact designated by the applicant in </w:t>
      </w:r>
      <w:r w:rsidR="00EB0439">
        <w:t>EERE Exchange</w:t>
      </w:r>
      <w:r w:rsidRPr="008858B4">
        <w:t xml:space="preserve">. The notification letter will inform the applicant </w:t>
      </w:r>
      <w:proofErr w:type="gramStart"/>
      <w:r w:rsidRPr="008858B4">
        <w:t>whether or not</w:t>
      </w:r>
      <w:proofErr w:type="gramEnd"/>
      <w:r w:rsidRPr="008858B4">
        <w:t xml:space="preserve"> its Full Application was selected for award negotiations. Alternatively, EERE may notify one or more applicants that a final selection determination on </w:t>
      </w:r>
      <w:proofErr w:type="gramStart"/>
      <w:r w:rsidRPr="008858B4">
        <w:t>particular Full</w:t>
      </w:r>
      <w:proofErr w:type="gramEnd"/>
      <w:r w:rsidRPr="008858B4">
        <w:t xml:space="preserve"> Applications will be made at a later date, subject to the availability of funds or other factors.</w:t>
      </w:r>
    </w:p>
    <w:p w14:paraId="135DFE36" w14:textId="77777777" w:rsidR="00B07932" w:rsidRPr="008858B4" w:rsidRDefault="00B07932" w:rsidP="008858B4"/>
    <w:p w14:paraId="17EE0AF4" w14:textId="34195AC4" w:rsidR="00B07932" w:rsidRPr="0022038E" w:rsidRDefault="004E672B" w:rsidP="00F836F4">
      <w:pPr>
        <w:pStyle w:val="FOAHeading3"/>
        <w:numPr>
          <w:ilvl w:val="0"/>
          <w:numId w:val="37"/>
        </w:numPr>
        <w:ind w:left="1440"/>
        <w:outlineLvl w:val="2"/>
      </w:pPr>
      <w:bookmarkStart w:id="477" w:name="_Toc519602413"/>
      <w:bookmarkStart w:id="478" w:name="_Toc109921745"/>
      <w:r w:rsidRPr="00C72CE2">
        <w:t>Successful Applicants</w:t>
      </w:r>
      <w:bookmarkEnd w:id="477"/>
      <w:bookmarkEnd w:id="478"/>
    </w:p>
    <w:p w14:paraId="2226E1FF" w14:textId="77777777" w:rsidR="00B07932" w:rsidRPr="008858B4" w:rsidRDefault="004E672B" w:rsidP="00A53BBC">
      <w:pPr>
        <w:ind w:left="1440"/>
      </w:pPr>
      <w:r w:rsidRPr="008858B4">
        <w:t xml:space="preserve">Receipt of a notification letter selecting a Full Application for award negotiations does not authorize the applicant to commence performance of the project. If an application is selected for award negotiations, it is not a commitment by EERE to issue an award. Applicants do not receive an award until award negotiations are complete and the Contracting Officer executes the funding agreement, accessible by the </w:t>
      </w:r>
      <w:r w:rsidR="00647D5B">
        <w:t>p</w:t>
      </w:r>
      <w:r w:rsidR="00647D5B" w:rsidRPr="008858B4">
        <w:t xml:space="preserve">rime </w:t>
      </w:r>
      <w:r w:rsidR="00647D5B">
        <w:t>r</w:t>
      </w:r>
      <w:r w:rsidR="00647D5B" w:rsidRPr="008858B4">
        <w:t xml:space="preserve">ecipient </w:t>
      </w:r>
      <w:r w:rsidRPr="008858B4">
        <w:t xml:space="preserve">in </w:t>
      </w:r>
      <w:proofErr w:type="spellStart"/>
      <w:r w:rsidRPr="008858B4">
        <w:t>FedConnect</w:t>
      </w:r>
      <w:proofErr w:type="spellEnd"/>
      <w:r w:rsidRPr="008858B4">
        <w:t xml:space="preserve">. </w:t>
      </w:r>
    </w:p>
    <w:p w14:paraId="48B8C5AF" w14:textId="77777777" w:rsidR="00B07932" w:rsidRPr="008858B4" w:rsidRDefault="00B07932" w:rsidP="00A53BBC">
      <w:pPr>
        <w:ind w:left="1440" w:hanging="180"/>
      </w:pPr>
    </w:p>
    <w:p w14:paraId="7384A070" w14:textId="3FA782B9" w:rsidR="00B07932" w:rsidRPr="008858B4" w:rsidRDefault="004E672B" w:rsidP="00A53BBC">
      <w:pPr>
        <w:ind w:left="1440"/>
      </w:pPr>
      <w:r w:rsidRPr="008858B4">
        <w:t xml:space="preserve">The award negotiation process will take approximately 60 days. Applicants must designate a primary and a backup point-of-contact in </w:t>
      </w:r>
      <w:r w:rsidR="00EB0439">
        <w:t>EERE Exchange</w:t>
      </w:r>
      <w:r w:rsidR="00EB0439" w:rsidRPr="008858B4">
        <w:t xml:space="preserve"> </w:t>
      </w:r>
      <w:r w:rsidRPr="008858B4">
        <w:t>with whom EERE will communicate to conduct award negotiations. The applicant must be responsive during award negotiations (i.e., provide requested documentation) and meet the negotiation deadlines. If the applicant fails to do so or if award negotiations are otherwise unsuccessful, EERE will cancel the award negotiations and rescind the Selection. EERE reserves the right to terminate award negotiations at any time for any reason.</w:t>
      </w:r>
    </w:p>
    <w:p w14:paraId="420BEF09" w14:textId="77777777" w:rsidR="00B07932" w:rsidRPr="008858B4" w:rsidRDefault="00B07932" w:rsidP="00A53BBC">
      <w:pPr>
        <w:ind w:left="1440"/>
      </w:pPr>
    </w:p>
    <w:p w14:paraId="5EDDF9F8" w14:textId="0B8C2D86" w:rsidR="00B07932" w:rsidRPr="008858B4" w:rsidRDefault="004E672B" w:rsidP="00A53BBC">
      <w:pPr>
        <w:ind w:left="1440"/>
      </w:pPr>
      <w:r w:rsidRPr="008858B4">
        <w:t xml:space="preserve">Please refer to </w:t>
      </w:r>
      <w:r w:rsidRPr="00203706">
        <w:t xml:space="preserve">Section </w:t>
      </w:r>
      <w:proofErr w:type="spellStart"/>
      <w:r w:rsidRPr="00203706">
        <w:t>IV.</w:t>
      </w:r>
      <w:proofErr w:type="gramStart"/>
      <w:r w:rsidR="00203706" w:rsidRPr="00203706">
        <w:t>J</w:t>
      </w:r>
      <w:r w:rsidRPr="00203706">
        <w:t>.</w:t>
      </w:r>
      <w:r w:rsidR="00011211" w:rsidRPr="00203706">
        <w:t>ii</w:t>
      </w:r>
      <w:proofErr w:type="spellEnd"/>
      <w:r w:rsidR="00011211" w:rsidRPr="00203706">
        <w:t>.</w:t>
      </w:r>
      <w:proofErr w:type="gramEnd"/>
      <w:r w:rsidRPr="008858B4">
        <w:t xml:space="preserve"> of the FOA for guidance on pre-award costs.</w:t>
      </w:r>
    </w:p>
    <w:p w14:paraId="04CB86CC" w14:textId="77777777" w:rsidR="00B07932" w:rsidRPr="008858B4" w:rsidRDefault="00B07932" w:rsidP="008858B4"/>
    <w:p w14:paraId="0EFF0293" w14:textId="399236BE" w:rsidR="00B07932" w:rsidRPr="0022038E" w:rsidRDefault="004E672B" w:rsidP="00F836F4">
      <w:pPr>
        <w:pStyle w:val="FOAHeading3"/>
        <w:numPr>
          <w:ilvl w:val="0"/>
          <w:numId w:val="37"/>
        </w:numPr>
        <w:ind w:left="1440"/>
        <w:outlineLvl w:val="2"/>
      </w:pPr>
      <w:bookmarkStart w:id="479" w:name="_Toc519602414"/>
      <w:bookmarkStart w:id="480" w:name="_Toc109921746"/>
      <w:r w:rsidRPr="00C72CE2">
        <w:t>Alternate Selection Determinations</w:t>
      </w:r>
      <w:bookmarkEnd w:id="479"/>
      <w:bookmarkEnd w:id="480"/>
    </w:p>
    <w:p w14:paraId="6812794C" w14:textId="77777777" w:rsidR="00B07932" w:rsidRPr="008858B4" w:rsidRDefault="004E672B" w:rsidP="00A53BBC">
      <w:pPr>
        <w:ind w:left="1440"/>
      </w:pPr>
      <w:r w:rsidRPr="008858B4">
        <w:t xml:space="preserve">In some instances, an applicant may receive a notification that its application was not selected for award and EERE designated the application to be an alternate. As an alternate, EERE may consider the Full Application for </w:t>
      </w:r>
      <w:r w:rsidR="00506F43">
        <w:t>f</w:t>
      </w:r>
      <w:r w:rsidR="00506F43" w:rsidRPr="008858B4">
        <w:t xml:space="preserve">ederal </w:t>
      </w:r>
      <w:r w:rsidRPr="008858B4">
        <w:t>funding in the future. A notification letter stating the Full Application is designated as an alternate does not authorize the applicant to commence performance of the project. EERE may ultimately determine to select or not select the Full Application for award negotiations.</w:t>
      </w:r>
    </w:p>
    <w:p w14:paraId="27C445C8" w14:textId="77777777" w:rsidR="00B07932" w:rsidRDefault="00B07932" w:rsidP="00204D76">
      <w:pPr>
        <w:ind w:left="1620" w:hanging="180"/>
      </w:pPr>
    </w:p>
    <w:p w14:paraId="2FB5D616" w14:textId="4390B53A" w:rsidR="00B07932" w:rsidRPr="007B2B3A" w:rsidRDefault="004E672B" w:rsidP="00F836F4">
      <w:pPr>
        <w:pStyle w:val="FOAHeading3"/>
        <w:numPr>
          <w:ilvl w:val="0"/>
          <w:numId w:val="37"/>
        </w:numPr>
        <w:ind w:left="1440"/>
        <w:outlineLvl w:val="2"/>
      </w:pPr>
      <w:bookmarkStart w:id="481" w:name="_Toc517799249"/>
      <w:bookmarkStart w:id="482" w:name="_Toc519602415"/>
      <w:bookmarkStart w:id="483" w:name="_Toc519602581"/>
      <w:bookmarkStart w:id="484" w:name="_Toc520382690"/>
      <w:bookmarkStart w:id="485" w:name="_Toc520455691"/>
      <w:bookmarkStart w:id="486" w:name="_Toc520455861"/>
      <w:bookmarkStart w:id="487" w:name="_Toc519602416"/>
      <w:bookmarkStart w:id="488" w:name="_Toc109921747"/>
      <w:bookmarkEnd w:id="481"/>
      <w:bookmarkEnd w:id="482"/>
      <w:bookmarkEnd w:id="483"/>
      <w:bookmarkEnd w:id="484"/>
      <w:bookmarkEnd w:id="485"/>
      <w:bookmarkEnd w:id="486"/>
      <w:r w:rsidRPr="0022038E">
        <w:t>Unsuccessful Applicants</w:t>
      </w:r>
      <w:bookmarkEnd w:id="487"/>
      <w:bookmarkEnd w:id="488"/>
    </w:p>
    <w:p w14:paraId="6DE2C7F5" w14:textId="77777777" w:rsidR="00B07932" w:rsidRDefault="004E672B" w:rsidP="00A53BBC">
      <w:pPr>
        <w:ind w:left="1440"/>
      </w:pPr>
      <w:r w:rsidRPr="008858B4">
        <w:t xml:space="preserve">EERE shall promptly notify in writing each applicant whose application has not been selected for award or whose application cannot be funded because of the unavailability of appropriated funds. </w:t>
      </w:r>
      <w:r w:rsidRPr="008858B4">
        <w:br/>
      </w:r>
    </w:p>
    <w:p w14:paraId="301DE429" w14:textId="25B5A732" w:rsidR="00B07932" w:rsidRPr="00872882" w:rsidRDefault="004E672B" w:rsidP="0017595D">
      <w:pPr>
        <w:pStyle w:val="FOAHeading2"/>
      </w:pPr>
      <w:bookmarkStart w:id="489" w:name="_Toc517771580"/>
      <w:bookmarkStart w:id="490" w:name="_Toc517797797"/>
      <w:bookmarkStart w:id="491" w:name="_Toc517797877"/>
      <w:bookmarkStart w:id="492" w:name="_Toc517797955"/>
      <w:bookmarkStart w:id="493" w:name="_Toc517798070"/>
      <w:bookmarkStart w:id="494" w:name="_Toc517798295"/>
      <w:bookmarkStart w:id="495" w:name="_Toc517798376"/>
      <w:bookmarkStart w:id="496" w:name="_Toc517798936"/>
      <w:bookmarkStart w:id="497" w:name="_Toc517799251"/>
      <w:bookmarkStart w:id="498" w:name="_Toc519602192"/>
      <w:bookmarkStart w:id="499" w:name="_Toc519602264"/>
      <w:bookmarkStart w:id="500" w:name="_Toc519602417"/>
      <w:bookmarkStart w:id="501" w:name="_Toc519602583"/>
      <w:bookmarkStart w:id="502" w:name="_Toc520382692"/>
      <w:bookmarkStart w:id="503" w:name="_Toc520455693"/>
      <w:bookmarkStart w:id="504" w:name="_Toc520455863"/>
      <w:bookmarkStart w:id="505" w:name="_Toc517798937"/>
      <w:bookmarkStart w:id="506" w:name="_Toc519602265"/>
      <w:bookmarkStart w:id="507" w:name="_Toc519602418"/>
      <w:bookmarkStart w:id="508" w:name="_Toc109921748"/>
      <w:bookmarkStart w:id="509" w:name="_Hlk89356784"/>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AF2304">
        <w:t>Administrative and National Policy Requirements</w:t>
      </w:r>
      <w:bookmarkEnd w:id="505"/>
      <w:bookmarkEnd w:id="506"/>
      <w:bookmarkEnd w:id="507"/>
      <w:bookmarkEnd w:id="508"/>
    </w:p>
    <w:bookmarkEnd w:id="509"/>
    <w:p w14:paraId="05C6D0F0" w14:textId="77777777" w:rsidR="00156F9D" w:rsidRPr="00B5344E" w:rsidRDefault="00156F9D" w:rsidP="00A53BBC"/>
    <w:p w14:paraId="374A4B13" w14:textId="14B446E7" w:rsidR="00B07932" w:rsidRPr="00872882" w:rsidRDefault="004E672B" w:rsidP="00F836F4">
      <w:pPr>
        <w:pStyle w:val="FOAHeading3"/>
        <w:numPr>
          <w:ilvl w:val="0"/>
          <w:numId w:val="38"/>
        </w:numPr>
        <w:ind w:left="1440"/>
        <w:outlineLvl w:val="2"/>
      </w:pPr>
      <w:bookmarkStart w:id="510" w:name="_Toc519602419"/>
      <w:bookmarkStart w:id="511" w:name="_Toc109921749"/>
      <w:bookmarkStart w:id="512" w:name="_Hlk85628409"/>
      <w:r w:rsidRPr="00C72CE2">
        <w:t>Registration Requirements</w:t>
      </w:r>
      <w:bookmarkEnd w:id="510"/>
      <w:bookmarkEnd w:id="511"/>
    </w:p>
    <w:p w14:paraId="382EE11C" w14:textId="77777777" w:rsidR="00B07932" w:rsidRPr="008858B4" w:rsidRDefault="004E672B" w:rsidP="00A53BBC">
      <w:pPr>
        <w:ind w:left="1440"/>
      </w:pPr>
      <w:r w:rsidRPr="008858B4">
        <w:t xml:space="preserve">There are several one-time actions before </w:t>
      </w:r>
      <w:proofErr w:type="gramStart"/>
      <w:r w:rsidRPr="008858B4">
        <w:t>submitting an application</w:t>
      </w:r>
      <w:proofErr w:type="gramEnd"/>
      <w:r w:rsidRPr="008858B4">
        <w:t xml:space="preserve"> in response to this FOA, and it is vital that applicants address these items as soon as possible. Some may take several weeks, and failure to complete them could interfere with an applicant’s ability to apply to this FOA, or to meet the negotiation deadlines and receive an award if the application is selected. These requirements are as follows:</w:t>
      </w:r>
    </w:p>
    <w:p w14:paraId="797EB467" w14:textId="77777777" w:rsidR="00B07932" w:rsidRPr="008858B4" w:rsidRDefault="00B07932" w:rsidP="008858B4"/>
    <w:p w14:paraId="57343709" w14:textId="2DA6AD45" w:rsidR="008E7670" w:rsidRPr="00181EB4" w:rsidRDefault="008E7670" w:rsidP="00F836F4">
      <w:pPr>
        <w:pStyle w:val="ListParagraph"/>
        <w:numPr>
          <w:ilvl w:val="0"/>
          <w:numId w:val="82"/>
        </w:numPr>
        <w:rPr>
          <w:b/>
          <w:bCs/>
        </w:rPr>
      </w:pPr>
      <w:r w:rsidRPr="00181EB4">
        <w:rPr>
          <w:b/>
          <w:bCs/>
        </w:rPr>
        <w:t>EERE Exchange</w:t>
      </w:r>
    </w:p>
    <w:p w14:paraId="7622C470" w14:textId="3AFA1200" w:rsidR="00D22DE7" w:rsidRDefault="008E7670" w:rsidP="000F6860">
      <w:pPr>
        <w:ind w:left="1800"/>
      </w:pPr>
      <w:r w:rsidRPr="00EB0439">
        <w:t xml:space="preserve">Register and create an account on EERE Exchange at </w:t>
      </w:r>
      <w:hyperlink r:id="rId64" w:history="1">
        <w:r w:rsidR="000F6860" w:rsidRPr="00CA4644">
          <w:rPr>
            <w:rStyle w:val="Hyperlink"/>
          </w:rPr>
          <w:t>https://eere-Exchange.energy.gov</w:t>
        </w:r>
      </w:hyperlink>
      <w:r w:rsidRPr="00EB0439">
        <w:t>.</w:t>
      </w:r>
      <w:r w:rsidR="00101E99">
        <w:t xml:space="preserve"> </w:t>
      </w:r>
      <w:r w:rsidRPr="00EB0439">
        <w:t>This account will then allow the user to register for any open EERE FOAs that</w:t>
      </w:r>
      <w:r w:rsidR="00101E99">
        <w:t xml:space="preserve"> </w:t>
      </w:r>
      <w:r w:rsidRPr="00EB0439">
        <w:t>are currently in EERE Exchange. It is recommended that each organization or</w:t>
      </w:r>
      <w:r w:rsidR="00101E99">
        <w:t xml:space="preserve"> </w:t>
      </w:r>
      <w:r w:rsidRPr="00EB0439">
        <w:t>business unit, whether acting as a team or a single entity, use only one</w:t>
      </w:r>
      <w:r w:rsidR="00101E99">
        <w:t xml:space="preserve"> </w:t>
      </w:r>
      <w:r w:rsidRPr="00EB0439">
        <w:t>account as the contact point for each submission. Applicants should also</w:t>
      </w:r>
      <w:r w:rsidR="00101E99">
        <w:t xml:space="preserve"> </w:t>
      </w:r>
      <w:r w:rsidRPr="00EB0439">
        <w:t>designate backup points of contact so they may be easily contacted if</w:t>
      </w:r>
      <w:r w:rsidR="00101E99">
        <w:t xml:space="preserve"> </w:t>
      </w:r>
      <w:r w:rsidRPr="00EB0439">
        <w:t xml:space="preserve">deemed necessary. </w:t>
      </w:r>
      <w:r w:rsidRPr="00181EB4">
        <w:rPr>
          <w:b/>
          <w:bCs/>
          <w:u w:val="single"/>
        </w:rPr>
        <w:t>This step is required to apply to this FOA.</w:t>
      </w:r>
      <w:r w:rsidR="00703B41">
        <w:t xml:space="preserve"> </w:t>
      </w:r>
      <w:r w:rsidRPr="00EB0439">
        <w:t xml:space="preserve">The EERE Exchange registration does not have a delay; however, </w:t>
      </w:r>
      <w:r w:rsidRPr="00181EB4">
        <w:rPr>
          <w:b/>
          <w:bCs/>
          <w:u w:val="single"/>
        </w:rPr>
        <w:t>the</w:t>
      </w:r>
      <w:r w:rsidR="00101E99">
        <w:rPr>
          <w:b/>
          <w:bCs/>
          <w:u w:val="single"/>
        </w:rPr>
        <w:t xml:space="preserve"> </w:t>
      </w:r>
      <w:r w:rsidRPr="00181EB4">
        <w:rPr>
          <w:b/>
          <w:bCs/>
          <w:u w:val="single"/>
        </w:rPr>
        <w:t xml:space="preserve">remaining registration requirements below could take several weeks to </w:t>
      </w:r>
      <w:r w:rsidRPr="007B57F7">
        <w:rPr>
          <w:b/>
          <w:bCs/>
          <w:u w:val="single"/>
        </w:rPr>
        <w:t>process and are necessary for a potential applicant to receive an award under this FOA.</w:t>
      </w:r>
    </w:p>
    <w:p w14:paraId="1EB44954" w14:textId="77777777" w:rsidR="00B07932" w:rsidRPr="008858B4" w:rsidRDefault="00B07932" w:rsidP="00195845">
      <w:pPr>
        <w:ind w:left="1440" w:firstLine="360"/>
      </w:pPr>
    </w:p>
    <w:p w14:paraId="056DDF2E" w14:textId="77777777" w:rsidR="00B07932" w:rsidRPr="00703B41" w:rsidRDefault="004E672B" w:rsidP="00F836F4">
      <w:pPr>
        <w:pStyle w:val="FOAHeading4"/>
        <w:numPr>
          <w:ilvl w:val="0"/>
          <w:numId w:val="82"/>
        </w:numPr>
      </w:pPr>
      <w:r w:rsidRPr="00703B41">
        <w:t>System for Award Management</w:t>
      </w:r>
    </w:p>
    <w:p w14:paraId="63179C02" w14:textId="5BE441CA" w:rsidR="00B07932" w:rsidRPr="008858B4" w:rsidRDefault="004E672B" w:rsidP="00A53BBC">
      <w:pPr>
        <w:ind w:left="1800"/>
      </w:pPr>
      <w:r w:rsidRPr="008858B4">
        <w:t xml:space="preserve">Register with the SAM at </w:t>
      </w:r>
      <w:hyperlink r:id="rId65" w:history="1">
        <w:r w:rsidRPr="008858B4">
          <w:rPr>
            <w:rStyle w:val="Hyperlink"/>
          </w:rPr>
          <w:t>https://www.sam.gov</w:t>
        </w:r>
      </w:hyperlink>
      <w:r w:rsidRPr="008858B4">
        <w:t>. Designating an Electronic Business Point of Contact (</w:t>
      </w:r>
      <w:proofErr w:type="spellStart"/>
      <w:r w:rsidRPr="008858B4">
        <w:t>E</w:t>
      </w:r>
      <w:r w:rsidR="00070D39" w:rsidRPr="008858B4">
        <w:t>b</w:t>
      </w:r>
      <w:r w:rsidRPr="008858B4">
        <w:t>iz</w:t>
      </w:r>
      <w:proofErr w:type="spellEnd"/>
      <w:r w:rsidRPr="008858B4">
        <w:t xml:space="preserve"> POC) and obtaining a special password called a </w:t>
      </w:r>
      <w:r w:rsidR="002B5928">
        <w:t>Marketing Partner ID Number (</w:t>
      </w:r>
      <w:r w:rsidRPr="008858B4">
        <w:t>MPIN</w:t>
      </w:r>
      <w:r w:rsidR="002B5928">
        <w:t>)</w:t>
      </w:r>
      <w:r w:rsidRPr="008858B4">
        <w:t xml:space="preserve"> are important steps in SAM registration. Please update your SAM registration annually.</w:t>
      </w:r>
    </w:p>
    <w:bookmarkEnd w:id="512"/>
    <w:p w14:paraId="1BC8F0B0" w14:textId="77777777" w:rsidR="00F60FFA" w:rsidRPr="008858B4" w:rsidRDefault="00F60FFA" w:rsidP="00195845">
      <w:pPr>
        <w:ind w:left="1440" w:firstLine="360"/>
      </w:pPr>
    </w:p>
    <w:p w14:paraId="06C6625D" w14:textId="77777777" w:rsidR="00B07932" w:rsidRPr="00A53BBC" w:rsidRDefault="004E672B" w:rsidP="00F836F4">
      <w:pPr>
        <w:pStyle w:val="FOAHeading4"/>
        <w:numPr>
          <w:ilvl w:val="0"/>
          <w:numId w:val="82"/>
        </w:numPr>
      </w:pPr>
      <w:proofErr w:type="spellStart"/>
      <w:r w:rsidRPr="00A53BBC">
        <w:t>FedConnect</w:t>
      </w:r>
      <w:proofErr w:type="spellEnd"/>
    </w:p>
    <w:p w14:paraId="03B835C6" w14:textId="613C5913" w:rsidR="00B07932" w:rsidRPr="008858B4" w:rsidRDefault="004E672B" w:rsidP="00A53BBC">
      <w:pPr>
        <w:ind w:left="1800"/>
      </w:pPr>
      <w:r w:rsidRPr="008858B4">
        <w:t xml:space="preserve">Register in </w:t>
      </w:r>
      <w:proofErr w:type="spellStart"/>
      <w:r w:rsidRPr="008858B4">
        <w:t>FedConnect</w:t>
      </w:r>
      <w:proofErr w:type="spellEnd"/>
      <w:r w:rsidRPr="008858B4">
        <w:t xml:space="preserve"> at </w:t>
      </w:r>
      <w:hyperlink r:id="rId66" w:history="1">
        <w:r w:rsidRPr="008858B4">
          <w:rPr>
            <w:rStyle w:val="Hyperlink"/>
          </w:rPr>
          <w:t>https://www.fedconnect.net</w:t>
        </w:r>
      </w:hyperlink>
      <w:r w:rsidRPr="008858B4">
        <w:t>. To create an organization account, your organization’s SAM MPIN is required.</w:t>
      </w:r>
      <w:r w:rsidR="00604DB0">
        <w:t xml:space="preserve"> </w:t>
      </w:r>
      <w:r w:rsidRPr="008858B4">
        <w:t xml:space="preserve">For more information about the SAM MPIN or other registration requirements, review the </w:t>
      </w:r>
      <w:proofErr w:type="spellStart"/>
      <w:r w:rsidRPr="008858B4">
        <w:t>FedConnect</w:t>
      </w:r>
      <w:proofErr w:type="spellEnd"/>
      <w:r w:rsidRPr="008858B4">
        <w:t xml:space="preserve"> Ready, Set, </w:t>
      </w:r>
      <w:r w:rsidRPr="00120F39">
        <w:t xml:space="preserve">Go! Guide at </w:t>
      </w:r>
      <w:hyperlink r:id="rId67" w:history="1">
        <w:r w:rsidR="00E92EE6" w:rsidRPr="00120F39">
          <w:rPr>
            <w:color w:val="0000FF"/>
            <w:u w:val="single"/>
          </w:rPr>
          <w:t>https://www.fedconnect.net/FedConnect/Marketing/Documents/FedConnect_Ready_Set_Go.pdf</w:t>
        </w:r>
      </w:hyperlink>
      <w:r w:rsidRPr="00120F39">
        <w:t>.</w:t>
      </w:r>
      <w:r w:rsidRPr="008858B4">
        <w:t xml:space="preserve"> </w:t>
      </w:r>
    </w:p>
    <w:p w14:paraId="4CF391F2" w14:textId="77777777" w:rsidR="009A08CC" w:rsidRPr="008858B4" w:rsidRDefault="009A08CC" w:rsidP="00195845">
      <w:pPr>
        <w:ind w:left="1440" w:firstLine="360"/>
      </w:pPr>
    </w:p>
    <w:p w14:paraId="3732C06A" w14:textId="77777777" w:rsidR="00B07932" w:rsidRPr="00A53BBC" w:rsidRDefault="004E672B" w:rsidP="00F836F4">
      <w:pPr>
        <w:pStyle w:val="FOAHeading4"/>
        <w:numPr>
          <w:ilvl w:val="0"/>
          <w:numId w:val="82"/>
        </w:numPr>
      </w:pPr>
      <w:r w:rsidRPr="00A53BBC">
        <w:t>Grants.gov</w:t>
      </w:r>
    </w:p>
    <w:p w14:paraId="310C71A2" w14:textId="00A8F528" w:rsidR="00AF2304" w:rsidRPr="008858B4" w:rsidRDefault="004E672B" w:rsidP="00AF2304">
      <w:pPr>
        <w:ind w:left="1800"/>
      </w:pPr>
      <w:r w:rsidRPr="008858B4">
        <w:t>Register in Grants.gov (</w:t>
      </w:r>
      <w:hyperlink r:id="rId68" w:history="1">
        <w:r w:rsidRPr="008858B4">
          <w:rPr>
            <w:rStyle w:val="Hyperlink"/>
          </w:rPr>
          <w:t>http://www.grants.gov</w:t>
        </w:r>
      </w:hyperlink>
      <w:r w:rsidRPr="008858B4">
        <w:t>) to receive automatic updates when Amendments to this FOA are posted.</w:t>
      </w:r>
      <w:r w:rsidR="001A3502">
        <w:t xml:space="preserve"> </w:t>
      </w:r>
      <w:r w:rsidRPr="008858B4">
        <w:t>However, please note that</w:t>
      </w:r>
      <w:r w:rsidR="00A704D0">
        <w:t xml:space="preserve"> Concept Papers and </w:t>
      </w:r>
      <w:r w:rsidRPr="008858B4">
        <w:t xml:space="preserve">Full Applications will not be accepted through Grants.gov. </w:t>
      </w:r>
    </w:p>
    <w:p w14:paraId="4570267F" w14:textId="77777777" w:rsidR="00B07932" w:rsidRPr="008858B4" w:rsidRDefault="00B07932" w:rsidP="00AF2304">
      <w:pPr>
        <w:ind w:left="1800"/>
      </w:pPr>
    </w:p>
    <w:p w14:paraId="7A81BD62" w14:textId="77777777" w:rsidR="00B07932" w:rsidRPr="00A53BBC" w:rsidRDefault="004E672B" w:rsidP="00F836F4">
      <w:pPr>
        <w:pStyle w:val="FOAHeading4"/>
        <w:numPr>
          <w:ilvl w:val="0"/>
          <w:numId w:val="82"/>
        </w:numPr>
      </w:pPr>
      <w:r w:rsidRPr="00A53BBC">
        <w:t>Electronic Authorization of Applications and Award Documents</w:t>
      </w:r>
    </w:p>
    <w:p w14:paraId="5E4B6457" w14:textId="31D86A7A" w:rsidR="00B07932" w:rsidRPr="008858B4" w:rsidRDefault="004E672B" w:rsidP="00A53BBC">
      <w:pPr>
        <w:ind w:left="1800"/>
      </w:pPr>
      <w:r w:rsidRPr="008858B4">
        <w:t xml:space="preserve">Submission of an application and supplemental information under this FOA through electronic systems used by the </w:t>
      </w:r>
      <w:r w:rsidR="00A5029A">
        <w:t>DOE</w:t>
      </w:r>
      <w:r w:rsidRPr="008858B4">
        <w:t xml:space="preserve">, including </w:t>
      </w:r>
      <w:r w:rsidR="00EB0439">
        <w:t>EERE Exchange</w:t>
      </w:r>
      <w:r w:rsidR="00EB0439" w:rsidRPr="008858B4">
        <w:t xml:space="preserve"> </w:t>
      </w:r>
      <w:r w:rsidRPr="008858B4">
        <w:t>and FedConnect.net, constitutes the authorized representative’s approval and electronic signature.</w:t>
      </w:r>
      <w:r w:rsidR="001A3502">
        <w:t xml:space="preserve"> </w:t>
      </w:r>
    </w:p>
    <w:p w14:paraId="0D5554AC" w14:textId="77777777" w:rsidR="00B07932" w:rsidRDefault="00B07932" w:rsidP="00A53BBC"/>
    <w:p w14:paraId="1D9DEFA7" w14:textId="4885764B" w:rsidR="00B07932" w:rsidRPr="00872882" w:rsidRDefault="004E672B" w:rsidP="00F836F4">
      <w:pPr>
        <w:pStyle w:val="FOAHeading3"/>
        <w:numPr>
          <w:ilvl w:val="0"/>
          <w:numId w:val="38"/>
        </w:numPr>
        <w:ind w:left="1440"/>
        <w:outlineLvl w:val="2"/>
      </w:pPr>
      <w:bookmarkStart w:id="513" w:name="_Toc517799254"/>
      <w:bookmarkStart w:id="514" w:name="_Toc519602420"/>
      <w:bookmarkStart w:id="515" w:name="_Toc519602586"/>
      <w:bookmarkStart w:id="516" w:name="_Toc520382695"/>
      <w:bookmarkStart w:id="517" w:name="_Toc520455696"/>
      <w:bookmarkStart w:id="518" w:name="_Toc520455866"/>
      <w:bookmarkStart w:id="519" w:name="_Toc519602421"/>
      <w:bookmarkStart w:id="520" w:name="_Toc109921750"/>
      <w:bookmarkEnd w:id="513"/>
      <w:bookmarkEnd w:id="514"/>
      <w:bookmarkEnd w:id="515"/>
      <w:bookmarkEnd w:id="516"/>
      <w:bookmarkEnd w:id="517"/>
      <w:bookmarkEnd w:id="518"/>
      <w:r w:rsidRPr="00C72CE2">
        <w:t>Award Administrative Requirements</w:t>
      </w:r>
      <w:bookmarkEnd w:id="519"/>
      <w:bookmarkEnd w:id="520"/>
    </w:p>
    <w:p w14:paraId="4EFF90BD" w14:textId="77777777" w:rsidR="00B07932" w:rsidRPr="008858B4" w:rsidRDefault="004E672B" w:rsidP="00A53BBC">
      <w:pPr>
        <w:ind w:left="1440"/>
      </w:pPr>
      <w:r w:rsidRPr="008858B4">
        <w:t>The administrative requirements for DOE grants and cooperative agreements are contained in 2 CFR Part 200 as amended by 2 CFR Part 910.</w:t>
      </w:r>
      <w:r w:rsidR="001A3502">
        <w:t xml:space="preserve"> </w:t>
      </w:r>
    </w:p>
    <w:p w14:paraId="3D608FE8" w14:textId="77777777" w:rsidR="00B07932" w:rsidRPr="008858B4" w:rsidRDefault="00B07932" w:rsidP="00195845">
      <w:pPr>
        <w:ind w:left="1620" w:hanging="180"/>
      </w:pPr>
    </w:p>
    <w:p w14:paraId="3C7D8AAD" w14:textId="34C32CA9" w:rsidR="00B07932" w:rsidRPr="00872882" w:rsidRDefault="004E672B" w:rsidP="00F836F4">
      <w:pPr>
        <w:pStyle w:val="FOAHeading3"/>
        <w:numPr>
          <w:ilvl w:val="0"/>
          <w:numId w:val="38"/>
        </w:numPr>
        <w:ind w:left="1440"/>
        <w:outlineLvl w:val="2"/>
      </w:pPr>
      <w:bookmarkStart w:id="521" w:name="_Toc424905243"/>
      <w:bookmarkStart w:id="522" w:name="_Toc425399674"/>
      <w:bookmarkStart w:id="523" w:name="_Toc519602422"/>
      <w:bookmarkStart w:id="524" w:name="_Toc109921751"/>
      <w:bookmarkStart w:id="525" w:name="_Hlk105174627"/>
      <w:r w:rsidRPr="00C72CE2">
        <w:t xml:space="preserve">Foreign National </w:t>
      </w:r>
      <w:bookmarkEnd w:id="521"/>
      <w:bookmarkEnd w:id="522"/>
      <w:r w:rsidRPr="00C72CE2">
        <w:t>Access</w:t>
      </w:r>
      <w:bookmarkEnd w:id="523"/>
      <w:bookmarkEnd w:id="524"/>
    </w:p>
    <w:p w14:paraId="54655DBD" w14:textId="0695F3B0" w:rsidR="004A7EB3" w:rsidRPr="00AF2304" w:rsidRDefault="004E672B" w:rsidP="00A53BBC">
      <w:pPr>
        <w:pStyle w:val="FOATemplateBody"/>
        <w:ind w:left="1440"/>
        <w:rPr>
          <w:rFonts w:asciiTheme="minorHAnsi" w:hAnsiTheme="minorHAnsi"/>
        </w:rPr>
      </w:pPr>
      <w:r w:rsidRPr="004A7EB3">
        <w:rPr>
          <w:rFonts w:asciiTheme="minorHAnsi" w:hAnsiTheme="minorHAnsi"/>
        </w:rPr>
        <w:t xml:space="preserve">All applicants selected for an award under this FOA may be required to provide information to DOE </w:t>
      </w:r>
      <w:proofErr w:type="gramStart"/>
      <w:r w:rsidRPr="004A7EB3">
        <w:rPr>
          <w:rFonts w:asciiTheme="minorHAnsi" w:hAnsiTheme="minorHAnsi"/>
        </w:rPr>
        <w:t>in order to</w:t>
      </w:r>
      <w:proofErr w:type="gramEnd"/>
      <w:r w:rsidRPr="004A7EB3">
        <w:rPr>
          <w:rFonts w:asciiTheme="minorHAnsi" w:hAnsiTheme="minorHAnsi"/>
        </w:rPr>
        <w:t xml:space="preserve"> satisfy requirements for foreign nationals’ access to DOE sites, information, technologies, equipment, programs or </w:t>
      </w:r>
      <w:r w:rsidRPr="008E7670">
        <w:rPr>
          <w:rFonts w:asciiTheme="minorHAnsi" w:hAnsiTheme="minorHAnsi"/>
        </w:rPr>
        <w:t xml:space="preserve">personnel. </w:t>
      </w:r>
      <w:r w:rsidRPr="007B57F7">
        <w:rPr>
          <w:rFonts w:asciiTheme="minorHAnsi" w:hAnsiTheme="minorHAnsi"/>
        </w:rPr>
        <w:t>A foreign national is defined as any person who is not a U.S. citizen by birth or naturalization</w:t>
      </w:r>
      <w:r w:rsidRPr="008E7670">
        <w:rPr>
          <w:rFonts w:asciiTheme="minorHAnsi" w:hAnsiTheme="minorHAnsi"/>
        </w:rPr>
        <w:t xml:space="preserve">. If a selected applicant (including any of its subrecipients, contractors or vendors) anticipates involving foreign nationals in the performance of its award, the selected applicant may be required to provide DOE with specific information about each foreign national to ensure compliance with the requirements for access approval. </w:t>
      </w:r>
      <w:r w:rsidRPr="007B57F7">
        <w:rPr>
          <w:rFonts w:asciiTheme="minorHAnsi" w:hAnsiTheme="minorHAnsi"/>
        </w:rPr>
        <w:t>National laboratory personnel already cleared for site access may be excluded</w:t>
      </w:r>
      <w:r w:rsidRPr="008E7670">
        <w:rPr>
          <w:rFonts w:asciiTheme="minorHAnsi" w:hAnsiTheme="minorHAnsi"/>
        </w:rPr>
        <w:t xml:space="preserve">. </w:t>
      </w:r>
    </w:p>
    <w:bookmarkEnd w:id="525"/>
    <w:p w14:paraId="5E08CE9D" w14:textId="77777777" w:rsidR="00B07932" w:rsidRPr="008858B4" w:rsidRDefault="00B07932" w:rsidP="008858B4"/>
    <w:p w14:paraId="12EB57C5" w14:textId="63AB36E8" w:rsidR="00B07932" w:rsidRPr="00872882" w:rsidRDefault="004E672B" w:rsidP="00F836F4">
      <w:pPr>
        <w:pStyle w:val="FOAHeading3"/>
        <w:numPr>
          <w:ilvl w:val="0"/>
          <w:numId w:val="38"/>
        </w:numPr>
        <w:ind w:left="1440"/>
        <w:outlineLvl w:val="2"/>
      </w:pPr>
      <w:bookmarkStart w:id="526" w:name="_Toc519602423"/>
      <w:bookmarkStart w:id="527" w:name="_Toc109921752"/>
      <w:r w:rsidRPr="00C72CE2">
        <w:t>Subaward and Ex</w:t>
      </w:r>
      <w:r w:rsidRPr="0022038E">
        <w:t>ecutive Reporting</w:t>
      </w:r>
      <w:bookmarkEnd w:id="526"/>
      <w:bookmarkEnd w:id="527"/>
    </w:p>
    <w:p w14:paraId="6992E845" w14:textId="77777777" w:rsidR="00B07932" w:rsidRPr="008858B4" w:rsidRDefault="004E672B" w:rsidP="00A53BBC">
      <w:pPr>
        <w:ind w:left="1440"/>
      </w:pPr>
      <w:r w:rsidRPr="008858B4">
        <w:t xml:space="preserve">Additional administrative requirements necessary for DOE grants and cooperative agreements to comply with the Federal Funding and Transparency Act of 2006 (FFATA) are contained in 2 CFR Part 170. Prime </w:t>
      </w:r>
      <w:r w:rsidR="00647D5B">
        <w:t>r</w:t>
      </w:r>
      <w:r w:rsidR="00647D5B" w:rsidRPr="008858B4">
        <w:t xml:space="preserve">ecipients </w:t>
      </w:r>
      <w:r w:rsidRPr="008858B4">
        <w:t xml:space="preserve">must register with the new FFATA Subaward Reporting System database and report the required data on their first tier </w:t>
      </w:r>
      <w:r w:rsidR="00496B2A">
        <w:t>s</w:t>
      </w:r>
      <w:r w:rsidR="00496B2A" w:rsidRPr="008858B4">
        <w:t>ubrecipients</w:t>
      </w:r>
      <w:r w:rsidRPr="008858B4">
        <w:t xml:space="preserve">. Prime </w:t>
      </w:r>
      <w:r w:rsidR="00647D5B">
        <w:t>r</w:t>
      </w:r>
      <w:r w:rsidR="00647D5B" w:rsidRPr="008858B4">
        <w:t xml:space="preserve">ecipients </w:t>
      </w:r>
      <w:r w:rsidRPr="008858B4">
        <w:t>must report the executive compensation for their own executives as part of their registration profile in SAM.</w:t>
      </w:r>
    </w:p>
    <w:p w14:paraId="43E598C0" w14:textId="77777777" w:rsidR="00B07932" w:rsidRDefault="00B07932"/>
    <w:p w14:paraId="5A21D6FD" w14:textId="0D972E50" w:rsidR="00B07932" w:rsidRPr="00872882" w:rsidRDefault="004E672B" w:rsidP="00F836F4">
      <w:pPr>
        <w:pStyle w:val="FOAHeading3"/>
        <w:numPr>
          <w:ilvl w:val="0"/>
          <w:numId w:val="38"/>
        </w:numPr>
        <w:ind w:left="1440"/>
        <w:outlineLvl w:val="2"/>
      </w:pPr>
      <w:bookmarkStart w:id="528" w:name="_Toc517799258"/>
      <w:bookmarkStart w:id="529" w:name="_Toc519602424"/>
      <w:bookmarkStart w:id="530" w:name="_Toc519602590"/>
      <w:bookmarkStart w:id="531" w:name="_Toc520382699"/>
      <w:bookmarkStart w:id="532" w:name="_Toc520455700"/>
      <w:bookmarkStart w:id="533" w:name="_Toc520455870"/>
      <w:bookmarkStart w:id="534" w:name="_Toc519602425"/>
      <w:bookmarkStart w:id="535" w:name="_Toc109921753"/>
      <w:bookmarkEnd w:id="528"/>
      <w:bookmarkEnd w:id="529"/>
      <w:bookmarkEnd w:id="530"/>
      <w:bookmarkEnd w:id="531"/>
      <w:bookmarkEnd w:id="532"/>
      <w:bookmarkEnd w:id="533"/>
      <w:r w:rsidRPr="00C72CE2">
        <w:t>National Policy Requ</w:t>
      </w:r>
      <w:r w:rsidRPr="0022038E">
        <w:t>irements</w:t>
      </w:r>
      <w:bookmarkEnd w:id="534"/>
      <w:bookmarkEnd w:id="535"/>
    </w:p>
    <w:p w14:paraId="5F418E8F" w14:textId="77777777" w:rsidR="00B07932" w:rsidRPr="008858B4" w:rsidRDefault="004E672B" w:rsidP="00A53BBC">
      <w:pPr>
        <w:ind w:left="1440"/>
      </w:pPr>
      <w:r w:rsidRPr="008858B4">
        <w:t xml:space="preserve">The National Policy Assurances that are incorporated as a term and condition of award are located at: </w:t>
      </w:r>
      <w:hyperlink r:id="rId69" w:history="1">
        <w:r w:rsidRPr="00120F39">
          <w:rPr>
            <w:rStyle w:val="Hyperlink"/>
          </w:rPr>
          <w:t>http://www.nsf.gov/awards/managing/rtc.jsp</w:t>
        </w:r>
      </w:hyperlink>
      <w:r w:rsidRPr="00120F39">
        <w:t xml:space="preserve">. </w:t>
      </w:r>
    </w:p>
    <w:p w14:paraId="7106FE4E" w14:textId="77777777" w:rsidR="00B07932" w:rsidRPr="009A08CC" w:rsidRDefault="00B07932"/>
    <w:p w14:paraId="3456E7EE" w14:textId="06C88126" w:rsidR="00B07932" w:rsidRPr="00872882" w:rsidRDefault="004E672B" w:rsidP="00F836F4">
      <w:pPr>
        <w:pStyle w:val="FOAHeading3"/>
        <w:numPr>
          <w:ilvl w:val="0"/>
          <w:numId w:val="38"/>
        </w:numPr>
        <w:ind w:left="1440"/>
        <w:outlineLvl w:val="2"/>
      </w:pPr>
      <w:bookmarkStart w:id="536" w:name="_Toc519602426"/>
      <w:bookmarkStart w:id="537" w:name="_Toc109921754"/>
      <w:r w:rsidRPr="00C72CE2">
        <w:t xml:space="preserve">Environmental Review in Accordance with </w:t>
      </w:r>
      <w:r w:rsidRPr="0022038E">
        <w:t>National Environmental Policy Act (NEPA)</w:t>
      </w:r>
      <w:bookmarkEnd w:id="536"/>
      <w:bookmarkEnd w:id="537"/>
    </w:p>
    <w:p w14:paraId="050C5707" w14:textId="5F1870B8" w:rsidR="00B07932" w:rsidRPr="008858B4" w:rsidRDefault="004E672B" w:rsidP="00A53BBC">
      <w:pPr>
        <w:ind w:left="1440"/>
      </w:pPr>
      <w:r w:rsidRPr="008858B4">
        <w:t xml:space="preserve">EERE’s decision whether and how to distribute </w:t>
      </w:r>
      <w:r w:rsidR="00506F43">
        <w:t>f</w:t>
      </w:r>
      <w:r w:rsidR="00506F43" w:rsidRPr="008858B4">
        <w:t xml:space="preserve">ederal </w:t>
      </w:r>
      <w:r w:rsidRPr="008858B4">
        <w:t xml:space="preserve">funds under this FOA is subject to </w:t>
      </w:r>
      <w:r w:rsidR="006B6279">
        <w:t>NEPA</w:t>
      </w:r>
      <w:r w:rsidRPr="008858B4">
        <w:t xml:space="preserve"> (42 U</w:t>
      </w:r>
      <w:r w:rsidR="00576BC8">
        <w:t>.</w:t>
      </w:r>
      <w:r w:rsidRPr="008858B4">
        <w:t>S</w:t>
      </w:r>
      <w:r w:rsidR="00576BC8">
        <w:t>.</w:t>
      </w:r>
      <w:r w:rsidRPr="008858B4">
        <w:t>C</w:t>
      </w:r>
      <w:r w:rsidR="00576BC8">
        <w:t>.</w:t>
      </w:r>
      <w:r w:rsidRPr="008858B4">
        <w:t xml:space="preserve"> 4321, </w:t>
      </w:r>
      <w:r w:rsidRPr="00120F39">
        <w:rPr>
          <w:i/>
        </w:rPr>
        <w:t>et seq.</w:t>
      </w:r>
      <w:r w:rsidRPr="008858B4">
        <w:t xml:space="preserve">). NEPA requires </w:t>
      </w:r>
      <w:r w:rsidR="001F169D">
        <w:t>f</w:t>
      </w:r>
      <w:r w:rsidR="001F169D" w:rsidRPr="008858B4">
        <w:t xml:space="preserve">ederal </w:t>
      </w:r>
      <w:r w:rsidRPr="008858B4">
        <w:t xml:space="preserve">agencies to integrate environmental values into their decision-making processes by considering the potential environmental impacts of their proposed actions. For additional background on NEPA, please see DOE’s NEPA website, at </w:t>
      </w:r>
      <w:hyperlink r:id="rId70" w:history="1">
        <w:r w:rsidR="00E366B5">
          <w:rPr>
            <w:rStyle w:val="Hyperlink"/>
          </w:rPr>
          <w:t>https://www.energy.gov/nepa</w:t>
        </w:r>
      </w:hyperlink>
      <w:r w:rsidR="00E366B5">
        <w:t>.</w:t>
      </w:r>
    </w:p>
    <w:p w14:paraId="4573588C" w14:textId="77777777" w:rsidR="00B07932" w:rsidRPr="008858B4" w:rsidRDefault="00B07932" w:rsidP="00A53BBC">
      <w:pPr>
        <w:ind w:left="1440"/>
      </w:pPr>
    </w:p>
    <w:p w14:paraId="7518C4C1" w14:textId="4899F0B0" w:rsidR="00B07932" w:rsidRDefault="004E672B" w:rsidP="00A53BBC">
      <w:pPr>
        <w:autoSpaceDE w:val="0"/>
        <w:autoSpaceDN w:val="0"/>
        <w:adjustRightInd w:val="0"/>
        <w:ind w:left="1440"/>
        <w:rPr>
          <w:rFonts w:cs="TT13Et00"/>
          <w:szCs w:val="24"/>
        </w:rPr>
      </w:pPr>
      <w:r w:rsidRPr="008858B4">
        <w:t xml:space="preserve">While NEPA compliance is a </w:t>
      </w:r>
      <w:r w:rsidR="001F169D">
        <w:t>f</w:t>
      </w:r>
      <w:r w:rsidR="001F169D" w:rsidRPr="008858B4">
        <w:t xml:space="preserve">ederal </w:t>
      </w:r>
      <w:r w:rsidRPr="008858B4">
        <w:t xml:space="preserve">agency responsibility and the ultimate decisions remain with the </w:t>
      </w:r>
      <w:r w:rsidR="001F169D">
        <w:t>f</w:t>
      </w:r>
      <w:r w:rsidR="001F169D" w:rsidRPr="008858B4">
        <w:t xml:space="preserve">ederal </w:t>
      </w:r>
      <w:r w:rsidRPr="008858B4">
        <w:t>agency, all recipients selected for an award will be required to assist in the timely and effective completion of the NEPA process in the manner most pertinent to their proposed project.</w:t>
      </w:r>
      <w:r w:rsidR="001A3502">
        <w:t xml:space="preserve"> </w:t>
      </w:r>
      <w:r w:rsidRPr="008858B4">
        <w:t xml:space="preserve">If DOE determines certain records must be prepared to complete the NEPA review process (e.g., biological evaluations or environmental assessments), </w:t>
      </w:r>
      <w:r w:rsidR="00CB7958">
        <w:t xml:space="preserve">the recipient may be required to prepare the records and </w:t>
      </w:r>
      <w:r w:rsidRPr="00AF2304">
        <w:rPr>
          <w:rFonts w:cs="TT13Et00"/>
          <w:szCs w:val="24"/>
        </w:rPr>
        <w:t xml:space="preserve">the costs to prepare the necessary records may be included as part of the project costs. </w:t>
      </w:r>
    </w:p>
    <w:p w14:paraId="54B35D30" w14:textId="11A295D1" w:rsidR="00441D34" w:rsidRDefault="00441D34" w:rsidP="00A53BBC">
      <w:pPr>
        <w:autoSpaceDE w:val="0"/>
        <w:autoSpaceDN w:val="0"/>
        <w:adjustRightInd w:val="0"/>
        <w:ind w:left="1440"/>
        <w:rPr>
          <w:rFonts w:cs="TT13Et00"/>
          <w:szCs w:val="24"/>
        </w:rPr>
      </w:pPr>
    </w:p>
    <w:p w14:paraId="5F718347" w14:textId="77777777" w:rsidR="00441D34" w:rsidRPr="00D00A1F" w:rsidRDefault="00441D34" w:rsidP="00D00A1F">
      <w:pPr>
        <w:pStyle w:val="FOAHeading3"/>
        <w:ind w:left="1440"/>
        <w:outlineLvl w:val="2"/>
      </w:pPr>
      <w:bookmarkStart w:id="538" w:name="_Toc103174901"/>
      <w:bookmarkStart w:id="539" w:name="_Toc109921755"/>
      <w:r w:rsidRPr="00D00A1F">
        <w:t>Flood Resilience</w:t>
      </w:r>
      <w:bookmarkEnd w:id="538"/>
      <w:bookmarkEnd w:id="539"/>
    </w:p>
    <w:p w14:paraId="20C622CC" w14:textId="77777777" w:rsidR="00441D34" w:rsidRPr="00441D34" w:rsidRDefault="00441D34" w:rsidP="00441D34">
      <w:pPr>
        <w:ind w:left="720" w:firstLine="720"/>
        <w:rPr>
          <w:rFonts w:ascii="Calibri" w:eastAsia="Calibri" w:hAnsi="Calibri" w:cs="Arial"/>
          <w:b/>
          <w:szCs w:val="22"/>
        </w:rPr>
      </w:pPr>
      <w:r w:rsidRPr="00441D34">
        <w:rPr>
          <w:rFonts w:ascii="Calibri" w:eastAsiaTheme="minorHAnsi" w:hAnsi="Calibri" w:cstheme="minorBidi"/>
          <w:szCs w:val="22"/>
        </w:rPr>
        <w:t xml:space="preserve">Applications should indicate whether the proposed project location(s) is within a </w:t>
      </w:r>
      <w:r w:rsidRPr="00441D34">
        <w:rPr>
          <w:rFonts w:ascii="Calibri" w:eastAsiaTheme="minorHAnsi" w:hAnsi="Calibri" w:cstheme="minorBidi"/>
          <w:szCs w:val="22"/>
        </w:rPr>
        <w:tab/>
        <w:t xml:space="preserve">floodplain, how the floodplain was defined, and how future flooding will factor </w:t>
      </w:r>
      <w:r w:rsidRPr="00441D34">
        <w:rPr>
          <w:rFonts w:ascii="Calibri" w:eastAsiaTheme="minorHAnsi" w:hAnsi="Calibri" w:cstheme="minorBidi"/>
          <w:szCs w:val="22"/>
        </w:rPr>
        <w:tab/>
        <w:t xml:space="preserve">into the project’s design. The base floodplain long used for planning has been </w:t>
      </w:r>
      <w:r w:rsidRPr="00441D34">
        <w:rPr>
          <w:rFonts w:ascii="Calibri" w:eastAsiaTheme="minorHAnsi" w:hAnsi="Calibri" w:cstheme="minorBidi"/>
          <w:szCs w:val="22"/>
        </w:rPr>
        <w:tab/>
        <w:t xml:space="preserve">the 100-year floodplain, that is, a floodplain with a 1.0 percent chance of </w:t>
      </w:r>
      <w:r w:rsidRPr="00441D34">
        <w:rPr>
          <w:rFonts w:ascii="Calibri" w:eastAsiaTheme="minorHAnsi" w:hAnsi="Calibri" w:cstheme="minorBidi"/>
          <w:szCs w:val="22"/>
        </w:rPr>
        <w:tab/>
      </w:r>
      <w:r w:rsidRPr="00441D34">
        <w:rPr>
          <w:rFonts w:ascii="Calibri" w:eastAsiaTheme="minorHAnsi" w:hAnsi="Calibri" w:cstheme="minorBidi"/>
          <w:szCs w:val="22"/>
        </w:rPr>
        <w:tab/>
        <w:t xml:space="preserve">flooding in any given year. As directed by Executive Order 13690, Establishing a </w:t>
      </w:r>
      <w:r w:rsidRPr="00441D34">
        <w:rPr>
          <w:rFonts w:ascii="Calibri" w:eastAsiaTheme="minorHAnsi" w:hAnsi="Calibri" w:cstheme="minorBidi"/>
          <w:szCs w:val="22"/>
        </w:rPr>
        <w:tab/>
        <w:t xml:space="preserve">Federal Flood Risk Management Standard and a Process for Further Soliciting </w:t>
      </w:r>
      <w:r w:rsidRPr="00441D34">
        <w:rPr>
          <w:rFonts w:ascii="Calibri" w:eastAsiaTheme="minorHAnsi" w:hAnsi="Calibri" w:cstheme="minorBidi"/>
          <w:szCs w:val="22"/>
        </w:rPr>
        <w:tab/>
        <w:t xml:space="preserve">and Considering Stakeholder Input (2015), Federal agencies, including DOE, </w:t>
      </w:r>
      <w:r w:rsidRPr="00441D34">
        <w:rPr>
          <w:rFonts w:ascii="Calibri" w:eastAsiaTheme="minorHAnsi" w:hAnsi="Calibri" w:cstheme="minorBidi"/>
          <w:szCs w:val="22"/>
        </w:rPr>
        <w:tab/>
        <w:t xml:space="preserve">continue to avoid development in a floodplain to the extent possible. When </w:t>
      </w:r>
      <w:r w:rsidRPr="00441D34">
        <w:rPr>
          <w:rFonts w:ascii="Calibri" w:eastAsiaTheme="minorHAnsi" w:hAnsi="Calibri" w:cstheme="minorBidi"/>
          <w:szCs w:val="22"/>
        </w:rPr>
        <w:tab/>
        <w:t xml:space="preserve">doing so is not possible, Federal agencies are directed to “expand management </w:t>
      </w:r>
      <w:r w:rsidRPr="00441D34">
        <w:rPr>
          <w:rFonts w:ascii="Calibri" w:eastAsiaTheme="minorHAnsi" w:hAnsi="Calibri" w:cstheme="minorBidi"/>
          <w:szCs w:val="22"/>
        </w:rPr>
        <w:tab/>
        <w:t xml:space="preserve">from the current base flood level to a higher vertical elevation and </w:t>
      </w:r>
      <w:r w:rsidRPr="00441D34">
        <w:rPr>
          <w:rFonts w:ascii="Calibri" w:eastAsiaTheme="minorHAnsi" w:hAnsi="Calibri" w:cstheme="minorBidi"/>
          <w:szCs w:val="22"/>
        </w:rPr>
        <w:tab/>
      </w:r>
      <w:r w:rsidRPr="00441D34">
        <w:rPr>
          <w:rFonts w:ascii="Calibri" w:eastAsiaTheme="minorHAnsi" w:hAnsi="Calibri" w:cstheme="minorBidi"/>
          <w:szCs w:val="22"/>
        </w:rPr>
        <w:tab/>
        <w:t xml:space="preserve">corresponding horizontal floodplain to address current and future flood risk and </w:t>
      </w:r>
      <w:r w:rsidRPr="00441D34">
        <w:rPr>
          <w:rFonts w:ascii="Calibri" w:eastAsiaTheme="minorHAnsi" w:hAnsi="Calibri" w:cstheme="minorBidi"/>
          <w:szCs w:val="22"/>
        </w:rPr>
        <w:tab/>
        <w:t xml:space="preserve">ensure that projects funded with taxpayer dollars last as long as intended.” The </w:t>
      </w:r>
      <w:r w:rsidRPr="00441D34">
        <w:rPr>
          <w:rFonts w:ascii="Calibri" w:eastAsiaTheme="minorHAnsi" w:hAnsi="Calibri" w:cstheme="minorBidi"/>
          <w:szCs w:val="22"/>
        </w:rPr>
        <w:tab/>
        <w:t xml:space="preserve">higher flood elevation is based on one of three approaches: climate-informed </w:t>
      </w:r>
      <w:r w:rsidRPr="00441D34">
        <w:rPr>
          <w:rFonts w:ascii="Calibri" w:eastAsiaTheme="minorHAnsi" w:hAnsi="Calibri" w:cstheme="minorBidi"/>
          <w:szCs w:val="22"/>
        </w:rPr>
        <w:tab/>
        <w:t>science (preferred), freeboard value, or 0.2 percent annual flood change (500-</w:t>
      </w:r>
      <w:r w:rsidRPr="00441D34">
        <w:rPr>
          <w:rFonts w:ascii="Calibri" w:eastAsiaTheme="minorHAnsi" w:hAnsi="Calibri" w:cstheme="minorBidi"/>
          <w:szCs w:val="22"/>
        </w:rPr>
        <w:tab/>
        <w:t xml:space="preserve">year floodplain). EO 13690 and related information is available at </w:t>
      </w:r>
      <w:r w:rsidRPr="00441D34">
        <w:rPr>
          <w:rFonts w:ascii="Calibri" w:eastAsiaTheme="minorHAnsi" w:hAnsi="Calibri" w:cstheme="minorBidi"/>
          <w:szCs w:val="22"/>
        </w:rPr>
        <w:tab/>
      </w:r>
      <w:r w:rsidRPr="00441D34">
        <w:rPr>
          <w:rFonts w:ascii="Calibri" w:eastAsiaTheme="minorHAnsi" w:hAnsi="Calibri" w:cstheme="minorBidi"/>
          <w:szCs w:val="22"/>
        </w:rPr>
        <w:tab/>
      </w:r>
      <w:r w:rsidRPr="00441D34">
        <w:rPr>
          <w:rFonts w:ascii="Calibri" w:eastAsiaTheme="minorHAnsi" w:hAnsi="Calibri" w:cstheme="minorBidi"/>
          <w:szCs w:val="22"/>
        </w:rPr>
        <w:tab/>
      </w:r>
      <w:hyperlink r:id="rId71">
        <w:r w:rsidRPr="00441D34">
          <w:rPr>
            <w:rFonts w:ascii="Calibri" w:eastAsiaTheme="minorHAnsi" w:hAnsi="Calibri" w:cstheme="minorBidi"/>
            <w:color w:val="0000FF"/>
            <w:szCs w:val="22"/>
            <w:u w:val="single"/>
          </w:rPr>
          <w:t>https://www.energy.gov/nepa/articles/eo-13690-</w:t>
        </w:r>
      </w:hyperlink>
      <w:r w:rsidRPr="00441D34">
        <w:rPr>
          <w:rFonts w:ascii="Calibri" w:eastAsiaTheme="minorHAnsi" w:hAnsi="Calibri" w:cstheme="minorBidi"/>
          <w:color w:val="0000FF"/>
          <w:szCs w:val="22"/>
          <w:u w:val="single"/>
        </w:rPr>
        <w:t>establishing-federal-flood-risk-</w:t>
      </w:r>
      <w:r w:rsidRPr="00441D34">
        <w:rPr>
          <w:rFonts w:ascii="Calibri" w:eastAsiaTheme="minorHAnsi" w:hAnsi="Calibri" w:cstheme="minorBidi"/>
          <w:szCs w:val="22"/>
        </w:rPr>
        <w:tab/>
      </w:r>
      <w:r w:rsidRPr="00441D34">
        <w:rPr>
          <w:rFonts w:ascii="Calibri" w:eastAsiaTheme="minorHAnsi" w:hAnsi="Calibri" w:cstheme="minorBidi"/>
          <w:color w:val="0000FF"/>
          <w:szCs w:val="22"/>
          <w:u w:val="single"/>
        </w:rPr>
        <w:t>management-standard-and-process-further</w:t>
      </w:r>
      <w:r w:rsidRPr="00441D34">
        <w:rPr>
          <w:rFonts w:ascii="Calibri" w:eastAsiaTheme="minorHAnsi" w:hAnsi="Calibri" w:cstheme="minorBidi"/>
          <w:szCs w:val="22"/>
        </w:rPr>
        <w:t>.</w:t>
      </w:r>
    </w:p>
    <w:p w14:paraId="52410E68" w14:textId="77777777" w:rsidR="005E2B4E" w:rsidRPr="008858B4" w:rsidRDefault="005E2B4E" w:rsidP="008858B4"/>
    <w:p w14:paraId="24D29402" w14:textId="011B564E" w:rsidR="00B07932" w:rsidRPr="00872882" w:rsidRDefault="004E672B" w:rsidP="00F836F4">
      <w:pPr>
        <w:pStyle w:val="FOAHeading3"/>
        <w:numPr>
          <w:ilvl w:val="0"/>
          <w:numId w:val="38"/>
        </w:numPr>
        <w:ind w:left="1440"/>
        <w:outlineLvl w:val="2"/>
      </w:pPr>
      <w:bookmarkStart w:id="540" w:name="_Toc519602427"/>
      <w:bookmarkStart w:id="541" w:name="_Toc109921756"/>
      <w:r w:rsidRPr="00C72CE2">
        <w:t>Applicant Representations and Certifications</w:t>
      </w:r>
      <w:bookmarkEnd w:id="540"/>
      <w:bookmarkEnd w:id="541"/>
    </w:p>
    <w:p w14:paraId="3D84DD9A" w14:textId="77777777" w:rsidR="00156F9D" w:rsidRPr="00B5344E" w:rsidRDefault="00156F9D" w:rsidP="00A53BBC"/>
    <w:p w14:paraId="2D3644B9" w14:textId="77777777" w:rsidR="00B07932" w:rsidRPr="005E2B4E" w:rsidRDefault="004E672B" w:rsidP="00F836F4">
      <w:pPr>
        <w:pStyle w:val="FOAHeading4"/>
        <w:numPr>
          <w:ilvl w:val="0"/>
          <w:numId w:val="39"/>
        </w:numPr>
        <w:ind w:left="1800"/>
      </w:pPr>
      <w:r w:rsidRPr="005E2B4E">
        <w:t>Lobbying Restrictions</w:t>
      </w:r>
    </w:p>
    <w:p w14:paraId="15F736A4" w14:textId="11645161" w:rsidR="00B07932" w:rsidRPr="008858B4" w:rsidRDefault="004E672B" w:rsidP="00A53BBC">
      <w:pPr>
        <w:ind w:left="1800"/>
      </w:pPr>
      <w:r w:rsidRPr="008858B4">
        <w:t xml:space="preserve">By accepting funds under this award, the </w:t>
      </w:r>
      <w:r w:rsidR="00647D5B">
        <w:t>p</w:t>
      </w:r>
      <w:r w:rsidR="00647D5B" w:rsidRPr="008858B4">
        <w:t xml:space="preserve">rime </w:t>
      </w:r>
      <w:r w:rsidR="00647D5B">
        <w:t>r</w:t>
      </w:r>
      <w:r w:rsidR="00647D5B" w:rsidRPr="008858B4">
        <w:t xml:space="preserve">ecipient </w:t>
      </w:r>
      <w:r w:rsidRPr="008858B4">
        <w:t>agrees that none of the funds obligated on the award shall be expended, directly or indirectly, to influence Congressional action on any legislation or appropriation matters pending before Congress, other than to communicate to Members of Congress as described in 18 U.S.C. §</w:t>
      </w:r>
      <w:r w:rsidR="008906FD">
        <w:t xml:space="preserve"> </w:t>
      </w:r>
      <w:r w:rsidRPr="008858B4">
        <w:t>1913. This restriction is in addition to those prescribed elsewhere in statute and regulation.</w:t>
      </w:r>
    </w:p>
    <w:p w14:paraId="47F7E55A" w14:textId="77777777" w:rsidR="00B07932" w:rsidRPr="008858B4" w:rsidRDefault="00B07932" w:rsidP="00F325ED">
      <w:pPr>
        <w:ind w:left="1980" w:hanging="360"/>
      </w:pPr>
    </w:p>
    <w:p w14:paraId="0C269B3E" w14:textId="77777777" w:rsidR="00B07932" w:rsidRPr="005E2B4E" w:rsidRDefault="004E672B" w:rsidP="00F836F4">
      <w:pPr>
        <w:pStyle w:val="FOAHeading4"/>
        <w:numPr>
          <w:ilvl w:val="0"/>
          <w:numId w:val="39"/>
        </w:numPr>
        <w:ind w:left="1800"/>
      </w:pPr>
      <w:r w:rsidRPr="005E2B4E">
        <w:t xml:space="preserve">Corporate Felony Conviction and Federal Tax Liability Representations </w:t>
      </w:r>
    </w:p>
    <w:p w14:paraId="401E626E" w14:textId="77777777" w:rsidR="00B07932" w:rsidRPr="002A0AA3" w:rsidRDefault="004E672B" w:rsidP="00A53BBC">
      <w:pPr>
        <w:pStyle w:val="ListParagraph"/>
        <w:ind w:left="1800"/>
        <w:rPr>
          <w:szCs w:val="24"/>
        </w:rPr>
      </w:pPr>
      <w:r w:rsidRPr="00120F39">
        <w:t xml:space="preserve">In </w:t>
      </w:r>
      <w:proofErr w:type="gramStart"/>
      <w:r w:rsidRPr="00120F39">
        <w:t>submitting an application</w:t>
      </w:r>
      <w:proofErr w:type="gramEnd"/>
      <w:r w:rsidRPr="00120F39">
        <w:t xml:space="preserve"> in response to this FOA, </w:t>
      </w:r>
      <w:r w:rsidRPr="009061D6">
        <w:t>the applicant represents that:</w:t>
      </w:r>
    </w:p>
    <w:p w14:paraId="68B2E5AF" w14:textId="77777777" w:rsidR="00B07932" w:rsidRPr="008858B4" w:rsidRDefault="00B07932" w:rsidP="008858B4"/>
    <w:p w14:paraId="32224E9B" w14:textId="35BA46D9" w:rsidR="00B07932" w:rsidRDefault="004E672B" w:rsidP="00F836F4">
      <w:pPr>
        <w:pStyle w:val="ListParagraph"/>
        <w:numPr>
          <w:ilvl w:val="0"/>
          <w:numId w:val="22"/>
        </w:numPr>
        <w:ind w:left="2160"/>
      </w:pPr>
      <w:r w:rsidRPr="008858B4">
        <w:t xml:space="preserve">It is </w:t>
      </w:r>
      <w:r w:rsidRPr="00120F39">
        <w:rPr>
          <w:b/>
        </w:rPr>
        <w:t>not</w:t>
      </w:r>
      <w:r w:rsidRPr="008858B4">
        <w:t xml:space="preserve"> a corporation that has been convicted of a felony criminal violation under any </w:t>
      </w:r>
      <w:r w:rsidR="001F169D">
        <w:t>f</w:t>
      </w:r>
      <w:r w:rsidR="001F169D" w:rsidRPr="008858B4">
        <w:t xml:space="preserve">ederal </w:t>
      </w:r>
      <w:r w:rsidRPr="008858B4">
        <w:t>law</w:t>
      </w:r>
      <w:r w:rsidR="00557553">
        <w:t xml:space="preserve"> within the preceding 24 months;</w:t>
      </w:r>
      <w:r w:rsidRPr="008858B4">
        <w:t xml:space="preserve"> and</w:t>
      </w:r>
    </w:p>
    <w:p w14:paraId="692E5697" w14:textId="77777777" w:rsidR="001F19A6" w:rsidRDefault="001F19A6" w:rsidP="00A53BBC">
      <w:pPr>
        <w:pStyle w:val="ListParagraph"/>
        <w:ind w:left="2160"/>
      </w:pPr>
    </w:p>
    <w:p w14:paraId="31BCC73B" w14:textId="77777777" w:rsidR="00B07932" w:rsidRPr="008858B4" w:rsidRDefault="004E672B" w:rsidP="00F836F4">
      <w:pPr>
        <w:pStyle w:val="ListParagraph"/>
        <w:numPr>
          <w:ilvl w:val="0"/>
          <w:numId w:val="22"/>
        </w:numPr>
        <w:ind w:left="2160"/>
      </w:pPr>
      <w:r w:rsidRPr="008858B4">
        <w:t xml:space="preserve">It is </w:t>
      </w:r>
      <w:r w:rsidRPr="00120F39">
        <w:rPr>
          <w:b/>
        </w:rPr>
        <w:t>not</w:t>
      </w:r>
      <w:r w:rsidRPr="008858B4">
        <w:t xml:space="preserve"> a corporation that has any unpaid </w:t>
      </w:r>
      <w:r w:rsidR="001F169D">
        <w:t>f</w:t>
      </w:r>
      <w:r w:rsidR="001F169D" w:rsidRPr="008858B4">
        <w:t xml:space="preserve">ederal </w:t>
      </w:r>
      <w:r w:rsidRPr="008858B4">
        <w:t>tax liability that has been assessed, for which all judicial and administrative remedies have been exhausted or have lapsed, and that is not being paid in a timely manner pursuant to an agreement with the authority responsible for collecting the tax liability.</w:t>
      </w:r>
    </w:p>
    <w:p w14:paraId="3233FD3F" w14:textId="77777777" w:rsidR="00B07932" w:rsidRPr="008858B4" w:rsidRDefault="00B07932" w:rsidP="00D7486C">
      <w:pPr>
        <w:ind w:left="2160" w:hanging="360"/>
      </w:pPr>
    </w:p>
    <w:p w14:paraId="0F87396C" w14:textId="77777777" w:rsidR="00B07932" w:rsidRPr="008858B4" w:rsidRDefault="004E672B" w:rsidP="00A53BBC">
      <w:pPr>
        <w:ind w:left="2160"/>
      </w:pPr>
      <w:r w:rsidRPr="008858B4">
        <w:t>For purposes of these representations the following definitions apply:</w:t>
      </w:r>
    </w:p>
    <w:p w14:paraId="51B2AE6A" w14:textId="77777777" w:rsidR="00B07932" w:rsidRPr="008858B4" w:rsidRDefault="00B07932" w:rsidP="00D7486C">
      <w:pPr>
        <w:ind w:left="2160" w:hanging="360"/>
      </w:pPr>
    </w:p>
    <w:p w14:paraId="4ED9EB9A" w14:textId="77777777" w:rsidR="00B07932" w:rsidRPr="008858B4" w:rsidRDefault="004E672B" w:rsidP="00A53BBC">
      <w:pPr>
        <w:ind w:left="2160"/>
      </w:pPr>
      <w:r w:rsidRPr="008858B4">
        <w:t>A Corporation includes any entity that has filed articles of incorporation in any of the 50 states, the District of Columbia, or the various territories of the United States [but not foreign corporations]. It includes both for-profit and non-profit organizations.</w:t>
      </w:r>
    </w:p>
    <w:p w14:paraId="19305DA5" w14:textId="77777777" w:rsidR="00B07932" w:rsidRPr="008858B4" w:rsidRDefault="00B07932" w:rsidP="008858B4"/>
    <w:p w14:paraId="6F854F97" w14:textId="77777777" w:rsidR="00B07932" w:rsidRPr="005E2B4E" w:rsidRDefault="004E672B" w:rsidP="00F836F4">
      <w:pPr>
        <w:pStyle w:val="FOAHeading4"/>
        <w:numPr>
          <w:ilvl w:val="0"/>
          <w:numId w:val="39"/>
        </w:numPr>
        <w:ind w:left="1800"/>
      </w:pPr>
      <w:r w:rsidRPr="005E2B4E">
        <w:t xml:space="preserve">Nondisclosure and Confidentiality Agreements Representations </w:t>
      </w:r>
    </w:p>
    <w:p w14:paraId="684B4D16" w14:textId="77777777" w:rsidR="00B07932" w:rsidRPr="00A53BBC" w:rsidRDefault="004E672B" w:rsidP="00A53BBC">
      <w:pPr>
        <w:pStyle w:val="ListParagraph"/>
        <w:ind w:left="1800"/>
        <w:rPr>
          <w:szCs w:val="24"/>
        </w:rPr>
      </w:pPr>
      <w:r w:rsidRPr="00120F39">
        <w:t>In</w:t>
      </w:r>
      <w:r w:rsidRPr="009061D6">
        <w:t xml:space="preserve"> </w:t>
      </w:r>
      <w:proofErr w:type="gramStart"/>
      <w:r w:rsidRPr="009061D6">
        <w:t>submitting an application</w:t>
      </w:r>
      <w:proofErr w:type="gramEnd"/>
      <w:r w:rsidRPr="009061D6">
        <w:t xml:space="preserve"> in response to this FOA the applicant represents that:</w:t>
      </w:r>
    </w:p>
    <w:p w14:paraId="2BD9414D" w14:textId="77777777" w:rsidR="00B07932" w:rsidRPr="008858B4" w:rsidRDefault="00B07932" w:rsidP="00D7486C">
      <w:pPr>
        <w:kinsoku w:val="0"/>
        <w:overflowPunct w:val="0"/>
        <w:autoSpaceDE w:val="0"/>
        <w:autoSpaceDN w:val="0"/>
        <w:adjustRightInd w:val="0"/>
        <w:ind w:left="2160" w:hanging="360"/>
        <w:rPr>
          <w:szCs w:val="24"/>
        </w:rPr>
      </w:pPr>
    </w:p>
    <w:p w14:paraId="48AAE790" w14:textId="77777777" w:rsidR="00B07932" w:rsidRDefault="004E672B" w:rsidP="00F836F4">
      <w:pPr>
        <w:pStyle w:val="ListParagraph"/>
        <w:numPr>
          <w:ilvl w:val="0"/>
          <w:numId w:val="23"/>
        </w:numPr>
        <w:kinsoku w:val="0"/>
        <w:overflowPunct w:val="0"/>
        <w:autoSpaceDE w:val="0"/>
        <w:autoSpaceDN w:val="0"/>
        <w:adjustRightInd w:val="0"/>
        <w:spacing w:before="32" w:after="200"/>
        <w:ind w:left="2160"/>
        <w:rPr>
          <w:spacing w:val="-1"/>
        </w:rPr>
      </w:pPr>
      <w:r w:rsidRPr="00120F39">
        <w:rPr>
          <w:spacing w:val="-2"/>
        </w:rPr>
        <w:t>It</w:t>
      </w:r>
      <w:r w:rsidRPr="00AF2304">
        <w:rPr>
          <w:spacing w:val="1"/>
          <w:szCs w:val="24"/>
        </w:rPr>
        <w:t xml:space="preserve"> </w:t>
      </w:r>
      <w:r w:rsidRPr="00120F39">
        <w:rPr>
          <w:b/>
        </w:rPr>
        <w:t xml:space="preserve">does </w:t>
      </w:r>
      <w:r w:rsidRPr="009061D6">
        <w:rPr>
          <w:b/>
          <w:spacing w:val="-1"/>
        </w:rPr>
        <w:t>not</w:t>
      </w:r>
      <w:r w:rsidRPr="009061D6">
        <w:rPr>
          <w:b/>
        </w:rPr>
        <w:t xml:space="preserve"> and</w:t>
      </w:r>
      <w:r w:rsidRPr="009061D6">
        <w:rPr>
          <w:b/>
          <w:spacing w:val="-3"/>
        </w:rPr>
        <w:t xml:space="preserve"> </w:t>
      </w:r>
      <w:r w:rsidRPr="009061D6">
        <w:rPr>
          <w:b/>
          <w:spacing w:val="-1"/>
        </w:rPr>
        <w:t>will</w:t>
      </w:r>
      <w:r w:rsidRPr="009061D6">
        <w:rPr>
          <w:b/>
          <w:spacing w:val="2"/>
        </w:rPr>
        <w:t xml:space="preserve"> </w:t>
      </w:r>
      <w:r w:rsidRPr="009061D6">
        <w:rPr>
          <w:b/>
        </w:rPr>
        <w:t>not</w:t>
      </w:r>
      <w:r w:rsidRPr="009061D6">
        <w:rPr>
          <w:b/>
          <w:spacing w:val="-2"/>
        </w:rPr>
        <w:t xml:space="preserve"> </w:t>
      </w:r>
      <w:r w:rsidRPr="009061D6">
        <w:rPr>
          <w:spacing w:val="-1"/>
        </w:rPr>
        <w:t>require</w:t>
      </w:r>
      <w:r w:rsidRPr="009061D6">
        <w:t xml:space="preserve"> </w:t>
      </w:r>
      <w:r w:rsidRPr="009061D6">
        <w:rPr>
          <w:spacing w:val="-1"/>
        </w:rPr>
        <w:t>its</w:t>
      </w:r>
      <w:r w:rsidRPr="009061D6">
        <w:t xml:space="preserve"> </w:t>
      </w:r>
      <w:r w:rsidRPr="009061D6">
        <w:rPr>
          <w:spacing w:val="-1"/>
        </w:rPr>
        <w:t>employees</w:t>
      </w:r>
      <w:r w:rsidRPr="009061D6">
        <w:t xml:space="preserve"> </w:t>
      </w:r>
      <w:r w:rsidRPr="009061D6">
        <w:rPr>
          <w:spacing w:val="-1"/>
        </w:rPr>
        <w:t>or</w:t>
      </w:r>
      <w:r w:rsidRPr="009061D6">
        <w:t xml:space="preserve"> </w:t>
      </w:r>
      <w:r w:rsidRPr="009061D6">
        <w:rPr>
          <w:spacing w:val="-1"/>
        </w:rPr>
        <w:t>contractors</w:t>
      </w:r>
      <w:r w:rsidRPr="00AF2304">
        <w:rPr>
          <w:spacing w:val="-2"/>
          <w:szCs w:val="24"/>
        </w:rPr>
        <w:t xml:space="preserve"> </w:t>
      </w:r>
      <w:r w:rsidRPr="00120F39">
        <w:t xml:space="preserve">to </w:t>
      </w:r>
      <w:r w:rsidRPr="009061D6">
        <w:rPr>
          <w:spacing w:val="-2"/>
        </w:rPr>
        <w:t>sign</w:t>
      </w:r>
      <w:r w:rsidRPr="009061D6">
        <w:t xml:space="preserve"> </w:t>
      </w:r>
      <w:r w:rsidRPr="009061D6">
        <w:rPr>
          <w:spacing w:val="-1"/>
        </w:rPr>
        <w:t>internal</w:t>
      </w:r>
      <w:r w:rsidRPr="00AF2304">
        <w:rPr>
          <w:spacing w:val="37"/>
          <w:szCs w:val="24"/>
        </w:rPr>
        <w:t xml:space="preserve"> </w:t>
      </w:r>
      <w:r w:rsidRPr="00120F39">
        <w:rPr>
          <w:spacing w:val="-1"/>
        </w:rPr>
        <w:t>nondisclosure</w:t>
      </w:r>
      <w:r w:rsidRPr="009061D6">
        <w:t xml:space="preserve"> or</w:t>
      </w:r>
      <w:r w:rsidRPr="009061D6">
        <w:rPr>
          <w:spacing w:val="-1"/>
        </w:rPr>
        <w:t xml:space="preserve"> confidentiality</w:t>
      </w:r>
      <w:r w:rsidRPr="00AF2304">
        <w:rPr>
          <w:spacing w:val="-3"/>
          <w:szCs w:val="24"/>
        </w:rPr>
        <w:t xml:space="preserve"> </w:t>
      </w:r>
      <w:r w:rsidRPr="00120F39">
        <w:rPr>
          <w:spacing w:val="-1"/>
        </w:rPr>
        <w:t>agreements</w:t>
      </w:r>
      <w:r w:rsidRPr="009061D6">
        <w:t xml:space="preserve"> or</w:t>
      </w:r>
      <w:r w:rsidRPr="009061D6">
        <w:rPr>
          <w:spacing w:val="-1"/>
        </w:rPr>
        <w:t xml:space="preserve"> statements</w:t>
      </w:r>
      <w:r w:rsidRPr="009061D6">
        <w:t xml:space="preserve"> </w:t>
      </w:r>
      <w:r w:rsidRPr="009061D6">
        <w:rPr>
          <w:spacing w:val="-1"/>
        </w:rPr>
        <w:t>prohibiting</w:t>
      </w:r>
      <w:r w:rsidRPr="00AF2304">
        <w:rPr>
          <w:spacing w:val="-3"/>
          <w:szCs w:val="24"/>
        </w:rPr>
        <w:t xml:space="preserve"> </w:t>
      </w:r>
      <w:r w:rsidRPr="00120F39">
        <w:t xml:space="preserve">or </w:t>
      </w:r>
      <w:r w:rsidRPr="009061D6">
        <w:rPr>
          <w:spacing w:val="-1"/>
        </w:rPr>
        <w:t>otherwise</w:t>
      </w:r>
      <w:r w:rsidRPr="00AF2304">
        <w:rPr>
          <w:spacing w:val="53"/>
          <w:szCs w:val="24"/>
        </w:rPr>
        <w:t xml:space="preserve"> </w:t>
      </w:r>
      <w:r w:rsidRPr="00120F39">
        <w:rPr>
          <w:spacing w:val="-1"/>
        </w:rPr>
        <w:t>restricting</w:t>
      </w:r>
      <w:r w:rsidRPr="00AF2304">
        <w:rPr>
          <w:spacing w:val="-2"/>
          <w:szCs w:val="24"/>
        </w:rPr>
        <w:t xml:space="preserve"> </w:t>
      </w:r>
      <w:r w:rsidRPr="00120F39">
        <w:rPr>
          <w:spacing w:val="-1"/>
        </w:rPr>
        <w:t>its</w:t>
      </w:r>
      <w:r w:rsidRPr="009061D6">
        <w:t xml:space="preserve"> </w:t>
      </w:r>
      <w:r w:rsidRPr="009061D6">
        <w:rPr>
          <w:spacing w:val="-1"/>
        </w:rPr>
        <w:t>employees</w:t>
      </w:r>
      <w:r w:rsidRPr="009061D6">
        <w:t xml:space="preserve"> </w:t>
      </w:r>
      <w:r w:rsidRPr="009061D6">
        <w:rPr>
          <w:spacing w:val="-1"/>
        </w:rPr>
        <w:t>or</w:t>
      </w:r>
      <w:r w:rsidRPr="00AF2304">
        <w:rPr>
          <w:spacing w:val="-2"/>
          <w:szCs w:val="24"/>
        </w:rPr>
        <w:t xml:space="preserve"> </w:t>
      </w:r>
      <w:r w:rsidRPr="00120F39">
        <w:rPr>
          <w:spacing w:val="-1"/>
        </w:rPr>
        <w:t>contactors</w:t>
      </w:r>
      <w:r w:rsidRPr="00AF2304">
        <w:rPr>
          <w:spacing w:val="-2"/>
          <w:szCs w:val="24"/>
        </w:rPr>
        <w:t xml:space="preserve"> </w:t>
      </w:r>
      <w:r w:rsidRPr="00120F39">
        <w:t>from</w:t>
      </w:r>
      <w:r w:rsidRPr="00AF2304">
        <w:rPr>
          <w:spacing w:val="-4"/>
          <w:szCs w:val="24"/>
        </w:rPr>
        <w:t xml:space="preserve"> </w:t>
      </w:r>
      <w:r w:rsidRPr="00120F39">
        <w:rPr>
          <w:spacing w:val="-1"/>
        </w:rPr>
        <w:t>lawfully</w:t>
      </w:r>
      <w:r w:rsidRPr="00AF2304">
        <w:rPr>
          <w:spacing w:val="-3"/>
          <w:szCs w:val="24"/>
        </w:rPr>
        <w:t xml:space="preserve"> </w:t>
      </w:r>
      <w:r w:rsidRPr="00120F39">
        <w:rPr>
          <w:spacing w:val="-1"/>
        </w:rPr>
        <w:t>reporting</w:t>
      </w:r>
      <w:r w:rsidRPr="009061D6">
        <w:t xml:space="preserve"> </w:t>
      </w:r>
      <w:r w:rsidRPr="009061D6">
        <w:rPr>
          <w:spacing w:val="-1"/>
        </w:rPr>
        <w:t>waste,</w:t>
      </w:r>
      <w:r w:rsidRPr="009061D6">
        <w:t xml:space="preserve"> </w:t>
      </w:r>
      <w:r w:rsidRPr="009061D6">
        <w:rPr>
          <w:spacing w:val="-1"/>
        </w:rPr>
        <w:t>fraud,</w:t>
      </w:r>
      <w:r w:rsidRPr="00AF2304">
        <w:rPr>
          <w:spacing w:val="-2"/>
          <w:szCs w:val="24"/>
        </w:rPr>
        <w:t xml:space="preserve"> </w:t>
      </w:r>
      <w:r w:rsidRPr="00120F39">
        <w:t xml:space="preserve">or </w:t>
      </w:r>
      <w:r w:rsidRPr="009061D6">
        <w:rPr>
          <w:spacing w:val="-1"/>
        </w:rPr>
        <w:t>abuse</w:t>
      </w:r>
      <w:r w:rsidRPr="009061D6">
        <w:t xml:space="preserve"> to</w:t>
      </w:r>
      <w:r w:rsidRPr="00AF2304">
        <w:rPr>
          <w:spacing w:val="-3"/>
          <w:szCs w:val="24"/>
        </w:rPr>
        <w:t xml:space="preserve"> </w:t>
      </w:r>
      <w:r w:rsidRPr="00120F39">
        <w:t>a</w:t>
      </w:r>
      <w:r w:rsidRPr="00AF2304">
        <w:rPr>
          <w:spacing w:val="59"/>
          <w:szCs w:val="24"/>
        </w:rPr>
        <w:t xml:space="preserve"> </w:t>
      </w:r>
      <w:r w:rsidRPr="00120F39">
        <w:rPr>
          <w:spacing w:val="-1"/>
        </w:rPr>
        <w:t>designated</w:t>
      </w:r>
      <w:r w:rsidRPr="00AF2304">
        <w:rPr>
          <w:spacing w:val="-2"/>
          <w:szCs w:val="24"/>
        </w:rPr>
        <w:t xml:space="preserve"> </w:t>
      </w:r>
      <w:r w:rsidRPr="00120F39">
        <w:rPr>
          <w:spacing w:val="-1"/>
        </w:rPr>
        <w:t>investigative</w:t>
      </w:r>
      <w:r w:rsidRPr="009061D6">
        <w:t xml:space="preserve"> or law </w:t>
      </w:r>
      <w:r w:rsidRPr="009061D6">
        <w:rPr>
          <w:spacing w:val="-1"/>
        </w:rPr>
        <w:t>enforcement</w:t>
      </w:r>
      <w:r w:rsidRPr="00AF2304">
        <w:rPr>
          <w:spacing w:val="1"/>
          <w:szCs w:val="24"/>
        </w:rPr>
        <w:t xml:space="preserve"> </w:t>
      </w:r>
      <w:r w:rsidRPr="00120F39">
        <w:rPr>
          <w:spacing w:val="-1"/>
        </w:rPr>
        <w:t>representative</w:t>
      </w:r>
      <w:r w:rsidRPr="009061D6">
        <w:t xml:space="preserve"> of</w:t>
      </w:r>
      <w:r w:rsidRPr="00AF2304">
        <w:rPr>
          <w:spacing w:val="-2"/>
          <w:szCs w:val="24"/>
        </w:rPr>
        <w:t xml:space="preserve"> </w:t>
      </w:r>
      <w:r w:rsidRPr="00120F39">
        <w:t xml:space="preserve">a </w:t>
      </w:r>
      <w:r w:rsidR="001F169D">
        <w:rPr>
          <w:spacing w:val="-1"/>
        </w:rPr>
        <w:t>f</w:t>
      </w:r>
      <w:r w:rsidR="001F169D" w:rsidRPr="009061D6">
        <w:rPr>
          <w:spacing w:val="-1"/>
        </w:rPr>
        <w:t>ederal</w:t>
      </w:r>
      <w:r w:rsidR="001F169D" w:rsidRPr="00AF2304">
        <w:rPr>
          <w:spacing w:val="1"/>
          <w:szCs w:val="24"/>
        </w:rPr>
        <w:t xml:space="preserve"> </w:t>
      </w:r>
      <w:r w:rsidRPr="00120F39">
        <w:rPr>
          <w:spacing w:val="-1"/>
        </w:rPr>
        <w:t>department</w:t>
      </w:r>
      <w:r w:rsidRPr="00AF2304">
        <w:rPr>
          <w:spacing w:val="1"/>
          <w:szCs w:val="24"/>
        </w:rPr>
        <w:t xml:space="preserve"> </w:t>
      </w:r>
      <w:r w:rsidRPr="00120F39">
        <w:t>or</w:t>
      </w:r>
      <w:r w:rsidRPr="00AF2304">
        <w:rPr>
          <w:spacing w:val="37"/>
          <w:szCs w:val="24"/>
        </w:rPr>
        <w:t xml:space="preserve"> </w:t>
      </w:r>
      <w:r w:rsidRPr="00120F39">
        <w:rPr>
          <w:spacing w:val="-1"/>
        </w:rPr>
        <w:t>agency</w:t>
      </w:r>
      <w:r w:rsidRPr="00AF2304">
        <w:rPr>
          <w:spacing w:val="-3"/>
          <w:szCs w:val="24"/>
        </w:rPr>
        <w:t xml:space="preserve"> </w:t>
      </w:r>
      <w:r w:rsidRPr="00120F39">
        <w:rPr>
          <w:spacing w:val="-1"/>
        </w:rPr>
        <w:t>authorized</w:t>
      </w:r>
      <w:r w:rsidRPr="009061D6">
        <w:t xml:space="preserve"> to</w:t>
      </w:r>
      <w:r w:rsidRPr="00AF2304">
        <w:rPr>
          <w:spacing w:val="-3"/>
          <w:szCs w:val="24"/>
        </w:rPr>
        <w:t xml:space="preserve"> </w:t>
      </w:r>
      <w:r w:rsidRPr="00120F39">
        <w:rPr>
          <w:spacing w:val="-1"/>
        </w:rPr>
        <w:t>receive</w:t>
      </w:r>
      <w:r w:rsidRPr="009061D6">
        <w:t xml:space="preserve"> such</w:t>
      </w:r>
      <w:r w:rsidRPr="00AF2304">
        <w:rPr>
          <w:spacing w:val="-2"/>
          <w:szCs w:val="24"/>
        </w:rPr>
        <w:t xml:space="preserve"> </w:t>
      </w:r>
      <w:r w:rsidRPr="00120F39">
        <w:rPr>
          <w:spacing w:val="-1"/>
        </w:rPr>
        <w:t>information.</w:t>
      </w:r>
    </w:p>
    <w:p w14:paraId="5F8248D1" w14:textId="77777777" w:rsidR="00E106A8" w:rsidRDefault="00E106A8" w:rsidP="00D7486C">
      <w:pPr>
        <w:pStyle w:val="ListParagraph"/>
        <w:kinsoku w:val="0"/>
        <w:overflowPunct w:val="0"/>
        <w:autoSpaceDE w:val="0"/>
        <w:autoSpaceDN w:val="0"/>
        <w:adjustRightInd w:val="0"/>
        <w:spacing w:before="32" w:after="200" w:line="276" w:lineRule="auto"/>
        <w:ind w:left="2160" w:hanging="360"/>
        <w:rPr>
          <w:spacing w:val="-1"/>
          <w:szCs w:val="24"/>
        </w:rPr>
      </w:pPr>
    </w:p>
    <w:p w14:paraId="24305B09" w14:textId="77777777" w:rsidR="00B07932" w:rsidRPr="00C323A6" w:rsidRDefault="004E672B" w:rsidP="00F836F4">
      <w:pPr>
        <w:pStyle w:val="ListParagraph"/>
        <w:numPr>
          <w:ilvl w:val="0"/>
          <w:numId w:val="23"/>
        </w:numPr>
        <w:kinsoku w:val="0"/>
        <w:overflowPunct w:val="0"/>
        <w:autoSpaceDE w:val="0"/>
        <w:autoSpaceDN w:val="0"/>
        <w:adjustRightInd w:val="0"/>
        <w:spacing w:before="32" w:after="200"/>
        <w:ind w:left="2160"/>
        <w:rPr>
          <w:spacing w:val="-1"/>
        </w:rPr>
      </w:pPr>
      <w:r w:rsidRPr="00120F39">
        <w:rPr>
          <w:spacing w:val="-2"/>
        </w:rPr>
        <w:t>It</w:t>
      </w:r>
      <w:r w:rsidRPr="00AF2304">
        <w:rPr>
          <w:spacing w:val="1"/>
          <w:szCs w:val="24"/>
        </w:rPr>
        <w:t xml:space="preserve"> </w:t>
      </w:r>
      <w:r w:rsidRPr="00120F39">
        <w:rPr>
          <w:b/>
        </w:rPr>
        <w:t xml:space="preserve">does </w:t>
      </w:r>
      <w:r w:rsidRPr="009061D6">
        <w:rPr>
          <w:b/>
          <w:spacing w:val="-1"/>
        </w:rPr>
        <w:t>not</w:t>
      </w:r>
      <w:r w:rsidRPr="009061D6">
        <w:rPr>
          <w:b/>
        </w:rPr>
        <w:t xml:space="preserve"> and</w:t>
      </w:r>
      <w:r w:rsidRPr="009061D6">
        <w:rPr>
          <w:b/>
          <w:spacing w:val="-3"/>
        </w:rPr>
        <w:t xml:space="preserve"> </w:t>
      </w:r>
      <w:r w:rsidRPr="009061D6">
        <w:rPr>
          <w:b/>
          <w:spacing w:val="-1"/>
        </w:rPr>
        <w:t>will</w:t>
      </w:r>
      <w:r w:rsidRPr="009061D6">
        <w:rPr>
          <w:b/>
          <w:spacing w:val="1"/>
        </w:rPr>
        <w:t xml:space="preserve"> </w:t>
      </w:r>
      <w:r w:rsidRPr="009061D6">
        <w:rPr>
          <w:b/>
        </w:rPr>
        <w:t>not</w:t>
      </w:r>
      <w:r w:rsidRPr="009061D6">
        <w:rPr>
          <w:b/>
          <w:spacing w:val="-1"/>
        </w:rPr>
        <w:t xml:space="preserve"> </w:t>
      </w:r>
      <w:r w:rsidRPr="009061D6">
        <w:t>use any</w:t>
      </w:r>
      <w:r w:rsidRPr="00AF2304">
        <w:rPr>
          <w:spacing w:val="-2"/>
          <w:szCs w:val="24"/>
        </w:rPr>
        <w:t xml:space="preserve"> </w:t>
      </w:r>
      <w:r w:rsidR="001F169D">
        <w:rPr>
          <w:spacing w:val="-1"/>
        </w:rPr>
        <w:t>f</w:t>
      </w:r>
      <w:r w:rsidR="001F169D" w:rsidRPr="00120F39">
        <w:rPr>
          <w:spacing w:val="-1"/>
        </w:rPr>
        <w:t>ederal</w:t>
      </w:r>
      <w:r w:rsidR="001F169D" w:rsidRPr="00AF2304">
        <w:rPr>
          <w:spacing w:val="1"/>
          <w:szCs w:val="24"/>
        </w:rPr>
        <w:t xml:space="preserve"> </w:t>
      </w:r>
      <w:r w:rsidRPr="00120F39">
        <w:rPr>
          <w:spacing w:val="-1"/>
        </w:rPr>
        <w:t>funds</w:t>
      </w:r>
      <w:r w:rsidRPr="00AF2304">
        <w:rPr>
          <w:spacing w:val="-2"/>
          <w:szCs w:val="24"/>
        </w:rPr>
        <w:t xml:space="preserve"> </w:t>
      </w:r>
      <w:r w:rsidRPr="00120F39">
        <w:t>to</w:t>
      </w:r>
      <w:r w:rsidRPr="00AF2304">
        <w:rPr>
          <w:spacing w:val="-3"/>
          <w:szCs w:val="24"/>
        </w:rPr>
        <w:t xml:space="preserve"> </w:t>
      </w:r>
      <w:r w:rsidRPr="00120F39">
        <w:rPr>
          <w:spacing w:val="-1"/>
        </w:rPr>
        <w:t>implement</w:t>
      </w:r>
      <w:r w:rsidRPr="00AF2304">
        <w:rPr>
          <w:spacing w:val="1"/>
          <w:szCs w:val="24"/>
        </w:rPr>
        <w:t xml:space="preserve"> </w:t>
      </w:r>
      <w:r w:rsidRPr="00120F39">
        <w:t>or</w:t>
      </w:r>
      <w:r w:rsidRPr="00AF2304">
        <w:rPr>
          <w:spacing w:val="-2"/>
          <w:szCs w:val="24"/>
        </w:rPr>
        <w:t xml:space="preserve"> </w:t>
      </w:r>
      <w:r w:rsidRPr="00120F39">
        <w:rPr>
          <w:spacing w:val="-1"/>
        </w:rPr>
        <w:t>enforce</w:t>
      </w:r>
      <w:r w:rsidRPr="009061D6">
        <w:t xml:space="preserve"> any</w:t>
      </w:r>
      <w:r w:rsidRPr="00AF2304">
        <w:rPr>
          <w:spacing w:val="27"/>
          <w:szCs w:val="24"/>
        </w:rPr>
        <w:t xml:space="preserve"> </w:t>
      </w:r>
      <w:r w:rsidRPr="00120F39">
        <w:rPr>
          <w:spacing w:val="-1"/>
        </w:rPr>
        <w:t>nondisclosure</w:t>
      </w:r>
      <w:r w:rsidRPr="009061D6">
        <w:t xml:space="preserve"> </w:t>
      </w:r>
      <w:r w:rsidRPr="009061D6">
        <w:rPr>
          <w:spacing w:val="-1"/>
        </w:rPr>
        <w:t>and/or</w:t>
      </w:r>
      <w:r w:rsidRPr="009061D6">
        <w:t xml:space="preserve"> </w:t>
      </w:r>
      <w:r w:rsidRPr="009061D6">
        <w:rPr>
          <w:spacing w:val="-1"/>
        </w:rPr>
        <w:t>confidentiality policy,</w:t>
      </w:r>
      <w:r w:rsidRPr="009061D6">
        <w:t xml:space="preserve"> </w:t>
      </w:r>
      <w:r w:rsidRPr="009061D6">
        <w:rPr>
          <w:spacing w:val="-2"/>
        </w:rPr>
        <w:t>form,</w:t>
      </w:r>
      <w:r w:rsidRPr="009061D6">
        <w:t xml:space="preserve"> or </w:t>
      </w:r>
      <w:r w:rsidRPr="009061D6">
        <w:rPr>
          <w:spacing w:val="-1"/>
        </w:rPr>
        <w:t>agreement</w:t>
      </w:r>
      <w:r w:rsidRPr="00AF2304">
        <w:rPr>
          <w:spacing w:val="1"/>
          <w:szCs w:val="24"/>
        </w:rPr>
        <w:t xml:space="preserve"> </w:t>
      </w:r>
      <w:r w:rsidRPr="00120F39">
        <w:rPr>
          <w:spacing w:val="-1"/>
        </w:rPr>
        <w:t>it</w:t>
      </w:r>
      <w:r w:rsidRPr="00AF2304">
        <w:rPr>
          <w:spacing w:val="1"/>
          <w:szCs w:val="24"/>
        </w:rPr>
        <w:t xml:space="preserve"> </w:t>
      </w:r>
      <w:r w:rsidRPr="00120F39">
        <w:rPr>
          <w:spacing w:val="-1"/>
        </w:rPr>
        <w:t>uses</w:t>
      </w:r>
      <w:r w:rsidRPr="009061D6">
        <w:t xml:space="preserve"> </w:t>
      </w:r>
      <w:r w:rsidRPr="009061D6">
        <w:rPr>
          <w:spacing w:val="-1"/>
        </w:rPr>
        <w:t>unless</w:t>
      </w:r>
      <w:r w:rsidRPr="00AF2304">
        <w:rPr>
          <w:spacing w:val="-2"/>
          <w:szCs w:val="24"/>
        </w:rPr>
        <w:t xml:space="preserve"> </w:t>
      </w:r>
      <w:r w:rsidRPr="00120F39">
        <w:t>it</w:t>
      </w:r>
      <w:r w:rsidRPr="009061D6">
        <w:rPr>
          <w:spacing w:val="-1"/>
        </w:rPr>
        <w:t xml:space="preserve"> contains</w:t>
      </w:r>
      <w:r w:rsidRPr="00AF2304">
        <w:rPr>
          <w:spacing w:val="57"/>
          <w:szCs w:val="24"/>
        </w:rPr>
        <w:t xml:space="preserve"> </w:t>
      </w:r>
      <w:r w:rsidRPr="00120F39">
        <w:t>the</w:t>
      </w:r>
      <w:r w:rsidRPr="00AF2304">
        <w:rPr>
          <w:spacing w:val="-2"/>
          <w:szCs w:val="24"/>
        </w:rPr>
        <w:t xml:space="preserve"> </w:t>
      </w:r>
      <w:r w:rsidRPr="00120F39">
        <w:rPr>
          <w:spacing w:val="-1"/>
        </w:rPr>
        <w:t>following</w:t>
      </w:r>
      <w:r w:rsidRPr="00AF2304">
        <w:rPr>
          <w:spacing w:val="-3"/>
          <w:szCs w:val="24"/>
        </w:rPr>
        <w:t xml:space="preserve"> </w:t>
      </w:r>
      <w:r w:rsidRPr="00120F39">
        <w:rPr>
          <w:spacing w:val="-1"/>
        </w:rPr>
        <w:t>provisions:</w:t>
      </w:r>
    </w:p>
    <w:p w14:paraId="281000E1" w14:textId="77777777" w:rsidR="00070D39" w:rsidRDefault="00070D39" w:rsidP="00C960C9">
      <w:pPr>
        <w:pStyle w:val="ListParagraph"/>
        <w:rPr>
          <w:i/>
          <w:spacing w:val="-1"/>
        </w:rPr>
      </w:pPr>
    </w:p>
    <w:p w14:paraId="6E212B54" w14:textId="77777777" w:rsidR="00B07932" w:rsidRPr="008858B4" w:rsidRDefault="004E672B" w:rsidP="00F836F4">
      <w:pPr>
        <w:numPr>
          <w:ilvl w:val="0"/>
          <w:numId w:val="21"/>
        </w:numPr>
        <w:tabs>
          <w:tab w:val="left" w:pos="765"/>
        </w:tabs>
        <w:kinsoku w:val="0"/>
        <w:overflowPunct w:val="0"/>
        <w:autoSpaceDE w:val="0"/>
        <w:autoSpaceDN w:val="0"/>
        <w:adjustRightInd w:val="0"/>
        <w:spacing w:after="200"/>
        <w:ind w:left="2520"/>
      </w:pPr>
      <w:r w:rsidRPr="00120F39">
        <w:rPr>
          <w:i/>
          <w:spacing w:val="-1"/>
        </w:rPr>
        <w:t>‘‘These</w:t>
      </w:r>
      <w:r w:rsidRPr="009061D6">
        <w:rPr>
          <w:i/>
        </w:rPr>
        <w:t xml:space="preserve"> </w:t>
      </w:r>
      <w:r w:rsidRPr="009061D6">
        <w:rPr>
          <w:i/>
          <w:spacing w:val="-1"/>
        </w:rPr>
        <w:t>provisions</w:t>
      </w:r>
      <w:r w:rsidRPr="009061D6">
        <w:rPr>
          <w:i/>
        </w:rPr>
        <w:t xml:space="preserve"> </w:t>
      </w:r>
      <w:r w:rsidRPr="009061D6">
        <w:rPr>
          <w:i/>
          <w:spacing w:val="-1"/>
        </w:rPr>
        <w:t>are</w:t>
      </w:r>
      <w:r w:rsidRPr="009061D6">
        <w:rPr>
          <w:i/>
        </w:rPr>
        <w:t xml:space="preserve"> </w:t>
      </w:r>
      <w:r w:rsidRPr="009061D6">
        <w:rPr>
          <w:i/>
          <w:spacing w:val="-1"/>
        </w:rPr>
        <w:t>consistent</w:t>
      </w:r>
      <w:r w:rsidRPr="009061D6">
        <w:rPr>
          <w:i/>
          <w:spacing w:val="1"/>
        </w:rPr>
        <w:t xml:space="preserve"> </w:t>
      </w:r>
      <w:r w:rsidRPr="009061D6">
        <w:rPr>
          <w:i/>
          <w:spacing w:val="-2"/>
        </w:rPr>
        <w:t>with</w:t>
      </w:r>
      <w:r w:rsidRPr="009061D6">
        <w:rPr>
          <w:i/>
        </w:rPr>
        <w:t xml:space="preserve"> and </w:t>
      </w:r>
      <w:r w:rsidRPr="009061D6">
        <w:rPr>
          <w:i/>
          <w:spacing w:val="-2"/>
        </w:rPr>
        <w:t>do</w:t>
      </w:r>
      <w:r w:rsidRPr="009061D6">
        <w:rPr>
          <w:i/>
        </w:rPr>
        <w:t xml:space="preserve"> not</w:t>
      </w:r>
      <w:r w:rsidRPr="009061D6">
        <w:rPr>
          <w:i/>
          <w:spacing w:val="-2"/>
        </w:rPr>
        <w:t xml:space="preserve"> </w:t>
      </w:r>
      <w:r w:rsidRPr="009061D6">
        <w:rPr>
          <w:i/>
          <w:spacing w:val="-1"/>
        </w:rPr>
        <w:t>supersede,</w:t>
      </w:r>
      <w:r w:rsidRPr="009061D6">
        <w:rPr>
          <w:i/>
          <w:spacing w:val="-2"/>
        </w:rPr>
        <w:t xml:space="preserve"> </w:t>
      </w:r>
      <w:r w:rsidRPr="009061D6">
        <w:rPr>
          <w:i/>
          <w:spacing w:val="-1"/>
        </w:rPr>
        <w:t>conflict</w:t>
      </w:r>
      <w:r w:rsidRPr="009061D6">
        <w:rPr>
          <w:i/>
          <w:spacing w:val="1"/>
        </w:rPr>
        <w:t xml:space="preserve"> </w:t>
      </w:r>
      <w:r w:rsidRPr="009061D6">
        <w:rPr>
          <w:i/>
          <w:spacing w:val="-2"/>
        </w:rPr>
        <w:t>with,</w:t>
      </w:r>
      <w:r w:rsidRPr="009061D6">
        <w:rPr>
          <w:i/>
        </w:rPr>
        <w:t xml:space="preserve"> or</w:t>
      </w:r>
      <w:r w:rsidRPr="009061D6">
        <w:rPr>
          <w:i/>
          <w:spacing w:val="61"/>
        </w:rPr>
        <w:t xml:space="preserve"> </w:t>
      </w:r>
      <w:r w:rsidRPr="009061D6">
        <w:rPr>
          <w:i/>
          <w:spacing w:val="-1"/>
        </w:rPr>
        <w:t>otherwise</w:t>
      </w:r>
      <w:r w:rsidRPr="009061D6">
        <w:rPr>
          <w:i/>
        </w:rPr>
        <w:t xml:space="preserve"> </w:t>
      </w:r>
      <w:r w:rsidRPr="009061D6">
        <w:rPr>
          <w:i/>
          <w:spacing w:val="-1"/>
        </w:rPr>
        <w:t>alter</w:t>
      </w:r>
      <w:r w:rsidRPr="009061D6">
        <w:rPr>
          <w:i/>
          <w:spacing w:val="-2"/>
        </w:rPr>
        <w:t xml:space="preserve"> </w:t>
      </w:r>
      <w:r w:rsidRPr="009061D6">
        <w:rPr>
          <w:i/>
          <w:spacing w:val="-1"/>
        </w:rPr>
        <w:t>the</w:t>
      </w:r>
      <w:r w:rsidRPr="009061D6">
        <w:rPr>
          <w:i/>
        </w:rPr>
        <w:t xml:space="preserve"> </w:t>
      </w:r>
      <w:r w:rsidRPr="009061D6">
        <w:rPr>
          <w:i/>
          <w:spacing w:val="-1"/>
        </w:rPr>
        <w:t>employee</w:t>
      </w:r>
      <w:r w:rsidRPr="009061D6">
        <w:rPr>
          <w:i/>
        </w:rPr>
        <w:t xml:space="preserve"> </w:t>
      </w:r>
      <w:r w:rsidRPr="009061D6">
        <w:rPr>
          <w:i/>
          <w:spacing w:val="-1"/>
        </w:rPr>
        <w:t>obligations,</w:t>
      </w:r>
      <w:r w:rsidRPr="009061D6">
        <w:rPr>
          <w:i/>
        </w:rPr>
        <w:t xml:space="preserve"> </w:t>
      </w:r>
      <w:r w:rsidRPr="009061D6">
        <w:rPr>
          <w:i/>
          <w:spacing w:val="-1"/>
        </w:rPr>
        <w:t>rights,</w:t>
      </w:r>
      <w:r w:rsidRPr="009061D6">
        <w:rPr>
          <w:i/>
        </w:rPr>
        <w:t xml:space="preserve"> </w:t>
      </w:r>
      <w:r w:rsidRPr="009061D6">
        <w:rPr>
          <w:i/>
          <w:spacing w:val="-1"/>
        </w:rPr>
        <w:t>or</w:t>
      </w:r>
      <w:r w:rsidRPr="009061D6">
        <w:rPr>
          <w:i/>
        </w:rPr>
        <w:t xml:space="preserve"> </w:t>
      </w:r>
      <w:r w:rsidRPr="009061D6">
        <w:rPr>
          <w:i/>
          <w:spacing w:val="-1"/>
        </w:rPr>
        <w:t>liabilities</w:t>
      </w:r>
      <w:r w:rsidRPr="009061D6">
        <w:rPr>
          <w:i/>
          <w:spacing w:val="-2"/>
        </w:rPr>
        <w:t xml:space="preserve"> </w:t>
      </w:r>
      <w:r w:rsidRPr="009061D6">
        <w:rPr>
          <w:i/>
          <w:spacing w:val="-1"/>
        </w:rPr>
        <w:t>created</w:t>
      </w:r>
      <w:r w:rsidRPr="00AF2304">
        <w:rPr>
          <w:i/>
        </w:rPr>
        <w:t xml:space="preserve"> by</w:t>
      </w:r>
      <w:r w:rsidRPr="00AF2304">
        <w:rPr>
          <w:i/>
          <w:spacing w:val="-2"/>
        </w:rPr>
        <w:t xml:space="preserve"> </w:t>
      </w:r>
      <w:r w:rsidRPr="00AF2304">
        <w:rPr>
          <w:i/>
          <w:spacing w:val="-1"/>
        </w:rPr>
        <w:t>existing</w:t>
      </w:r>
      <w:r w:rsidRPr="00AF2304">
        <w:rPr>
          <w:i/>
          <w:spacing w:val="51"/>
        </w:rPr>
        <w:t xml:space="preserve"> </w:t>
      </w:r>
      <w:r w:rsidRPr="00AF2304">
        <w:rPr>
          <w:i/>
          <w:spacing w:val="-1"/>
        </w:rPr>
        <w:t>statute</w:t>
      </w:r>
      <w:r w:rsidRPr="00AF2304">
        <w:rPr>
          <w:i/>
        </w:rPr>
        <w:t xml:space="preserve"> or </w:t>
      </w:r>
      <w:r w:rsidRPr="00AF2304">
        <w:rPr>
          <w:i/>
          <w:spacing w:val="-1"/>
        </w:rPr>
        <w:t>Executive</w:t>
      </w:r>
      <w:r w:rsidRPr="00AF2304">
        <w:rPr>
          <w:i/>
        </w:rPr>
        <w:t xml:space="preserve"> </w:t>
      </w:r>
      <w:r w:rsidRPr="00AF2304">
        <w:rPr>
          <w:i/>
          <w:spacing w:val="-1"/>
        </w:rPr>
        <w:t>order</w:t>
      </w:r>
      <w:r w:rsidRPr="00AF2304">
        <w:rPr>
          <w:i/>
          <w:spacing w:val="-2"/>
        </w:rPr>
        <w:t xml:space="preserve"> </w:t>
      </w:r>
      <w:r w:rsidRPr="00AF2304">
        <w:rPr>
          <w:i/>
          <w:spacing w:val="-1"/>
        </w:rPr>
        <w:t>relating</w:t>
      </w:r>
      <w:r w:rsidRPr="00AF2304">
        <w:rPr>
          <w:i/>
          <w:spacing w:val="-3"/>
        </w:rPr>
        <w:t xml:space="preserve"> </w:t>
      </w:r>
      <w:r w:rsidRPr="00AF2304">
        <w:rPr>
          <w:i/>
        </w:rPr>
        <w:t>to</w:t>
      </w:r>
      <w:r w:rsidRPr="00AF2304">
        <w:rPr>
          <w:i/>
          <w:spacing w:val="3"/>
        </w:rPr>
        <w:t xml:space="preserve"> </w:t>
      </w:r>
      <w:r w:rsidRPr="00AF2304">
        <w:rPr>
          <w:i/>
          <w:spacing w:val="-1"/>
        </w:rPr>
        <w:t>(1)</w:t>
      </w:r>
      <w:r w:rsidRPr="00AF2304">
        <w:rPr>
          <w:i/>
          <w:spacing w:val="-2"/>
        </w:rPr>
        <w:t xml:space="preserve"> </w:t>
      </w:r>
      <w:r w:rsidRPr="00AF2304">
        <w:rPr>
          <w:i/>
          <w:spacing w:val="-1"/>
        </w:rPr>
        <w:t>classified</w:t>
      </w:r>
      <w:r w:rsidRPr="00AF2304">
        <w:rPr>
          <w:i/>
          <w:spacing w:val="-2"/>
        </w:rPr>
        <w:t xml:space="preserve"> </w:t>
      </w:r>
      <w:r w:rsidRPr="00AF2304">
        <w:rPr>
          <w:i/>
          <w:spacing w:val="-1"/>
        </w:rPr>
        <w:t>information,</w:t>
      </w:r>
      <w:r w:rsidRPr="00AF2304">
        <w:rPr>
          <w:i/>
        </w:rPr>
        <w:t xml:space="preserve"> </w:t>
      </w:r>
      <w:r w:rsidRPr="00AF2304">
        <w:rPr>
          <w:i/>
          <w:spacing w:val="-1"/>
        </w:rPr>
        <w:t>(2)</w:t>
      </w:r>
      <w:r w:rsidRPr="00AF2304">
        <w:rPr>
          <w:i/>
          <w:spacing w:val="-2"/>
        </w:rPr>
        <w:t xml:space="preserve"> </w:t>
      </w:r>
      <w:r w:rsidRPr="00AF2304">
        <w:rPr>
          <w:i/>
          <w:spacing w:val="-1"/>
        </w:rPr>
        <w:t>communications</w:t>
      </w:r>
      <w:r w:rsidRPr="00AF2304">
        <w:rPr>
          <w:i/>
          <w:spacing w:val="57"/>
        </w:rPr>
        <w:t xml:space="preserve"> </w:t>
      </w:r>
      <w:r w:rsidRPr="00AF2304">
        <w:rPr>
          <w:i/>
        </w:rPr>
        <w:t xml:space="preserve">to </w:t>
      </w:r>
      <w:r w:rsidRPr="00AF2304">
        <w:rPr>
          <w:i/>
          <w:spacing w:val="-1"/>
        </w:rPr>
        <w:t>Congress,</w:t>
      </w:r>
      <w:r w:rsidRPr="00AF2304">
        <w:rPr>
          <w:i/>
          <w:spacing w:val="-2"/>
        </w:rPr>
        <w:t xml:space="preserve"> </w:t>
      </w:r>
      <w:r w:rsidRPr="00AF2304">
        <w:rPr>
          <w:i/>
          <w:spacing w:val="-1"/>
        </w:rPr>
        <w:t>(3)</w:t>
      </w:r>
      <w:r w:rsidRPr="00AF2304">
        <w:rPr>
          <w:i/>
          <w:spacing w:val="-2"/>
        </w:rPr>
        <w:t xml:space="preserve"> </w:t>
      </w:r>
      <w:r w:rsidRPr="00AF2304">
        <w:rPr>
          <w:i/>
        </w:rPr>
        <w:t xml:space="preserve">the </w:t>
      </w:r>
      <w:r w:rsidRPr="00AF2304">
        <w:rPr>
          <w:i/>
          <w:spacing w:val="-1"/>
        </w:rPr>
        <w:t>reporting</w:t>
      </w:r>
      <w:r w:rsidRPr="00AF2304">
        <w:rPr>
          <w:i/>
        </w:rPr>
        <w:t xml:space="preserve"> to </w:t>
      </w:r>
      <w:r w:rsidRPr="00AF2304">
        <w:rPr>
          <w:i/>
          <w:spacing w:val="-2"/>
        </w:rPr>
        <w:t>an</w:t>
      </w:r>
      <w:r w:rsidRPr="00AF2304">
        <w:rPr>
          <w:i/>
        </w:rPr>
        <w:t xml:space="preserve"> </w:t>
      </w:r>
      <w:r w:rsidRPr="00AF2304">
        <w:rPr>
          <w:i/>
          <w:spacing w:val="-1"/>
        </w:rPr>
        <w:t>Inspector</w:t>
      </w:r>
      <w:r w:rsidRPr="00AF2304">
        <w:rPr>
          <w:i/>
        </w:rPr>
        <w:t xml:space="preserve"> </w:t>
      </w:r>
      <w:r w:rsidRPr="00AF2304">
        <w:rPr>
          <w:i/>
          <w:spacing w:val="-1"/>
        </w:rPr>
        <w:t>General</w:t>
      </w:r>
      <w:r w:rsidRPr="00AF2304">
        <w:rPr>
          <w:i/>
          <w:spacing w:val="-2"/>
        </w:rPr>
        <w:t xml:space="preserve"> </w:t>
      </w:r>
      <w:r w:rsidRPr="00AF2304">
        <w:rPr>
          <w:i/>
        </w:rPr>
        <w:t>of</w:t>
      </w:r>
      <w:r w:rsidRPr="00AF2304">
        <w:rPr>
          <w:i/>
          <w:spacing w:val="1"/>
        </w:rPr>
        <w:t xml:space="preserve"> </w:t>
      </w:r>
      <w:r w:rsidRPr="00AF2304">
        <w:rPr>
          <w:i/>
        </w:rPr>
        <w:t xml:space="preserve">a </w:t>
      </w:r>
      <w:r w:rsidRPr="00AF2304">
        <w:rPr>
          <w:i/>
          <w:spacing w:val="-1"/>
        </w:rPr>
        <w:t>violation</w:t>
      </w:r>
      <w:r w:rsidRPr="00AF2304">
        <w:rPr>
          <w:i/>
        </w:rPr>
        <w:t xml:space="preserve"> </w:t>
      </w:r>
      <w:r w:rsidRPr="00AF2304">
        <w:rPr>
          <w:i/>
          <w:spacing w:val="-2"/>
        </w:rPr>
        <w:t>of</w:t>
      </w:r>
      <w:r w:rsidRPr="00AF2304">
        <w:rPr>
          <w:i/>
          <w:spacing w:val="1"/>
        </w:rPr>
        <w:t xml:space="preserve"> </w:t>
      </w:r>
      <w:r w:rsidRPr="00AF2304">
        <w:rPr>
          <w:i/>
          <w:spacing w:val="-1"/>
        </w:rPr>
        <w:t>any</w:t>
      </w:r>
      <w:r w:rsidRPr="00AF2304">
        <w:rPr>
          <w:i/>
        </w:rPr>
        <w:t xml:space="preserve"> law,</w:t>
      </w:r>
      <w:r w:rsidRPr="00AF2304">
        <w:rPr>
          <w:i/>
          <w:spacing w:val="-3"/>
        </w:rPr>
        <w:t xml:space="preserve"> </w:t>
      </w:r>
      <w:r w:rsidRPr="00AF2304">
        <w:rPr>
          <w:i/>
          <w:spacing w:val="-1"/>
        </w:rPr>
        <w:t>rule,</w:t>
      </w:r>
      <w:r w:rsidRPr="00AF2304">
        <w:rPr>
          <w:i/>
          <w:spacing w:val="47"/>
        </w:rPr>
        <w:t xml:space="preserve"> </w:t>
      </w:r>
      <w:r w:rsidRPr="00AF2304">
        <w:rPr>
          <w:i/>
        </w:rPr>
        <w:t xml:space="preserve">or </w:t>
      </w:r>
      <w:r w:rsidRPr="00AF2304">
        <w:rPr>
          <w:i/>
          <w:spacing w:val="-1"/>
        </w:rPr>
        <w:t>regulation,</w:t>
      </w:r>
      <w:r w:rsidRPr="00AF2304">
        <w:rPr>
          <w:i/>
        </w:rPr>
        <w:t xml:space="preserve"> or </w:t>
      </w:r>
      <w:r w:rsidRPr="00AF2304">
        <w:rPr>
          <w:i/>
          <w:spacing w:val="-1"/>
        </w:rPr>
        <w:t>mismanagement,</w:t>
      </w:r>
      <w:r w:rsidRPr="00AF2304">
        <w:rPr>
          <w:i/>
        </w:rPr>
        <w:t xml:space="preserve"> a</w:t>
      </w:r>
      <w:r w:rsidRPr="00AF2304">
        <w:rPr>
          <w:i/>
          <w:spacing w:val="-3"/>
        </w:rPr>
        <w:t xml:space="preserve"> </w:t>
      </w:r>
      <w:r w:rsidRPr="00AF2304">
        <w:rPr>
          <w:i/>
          <w:spacing w:val="-1"/>
        </w:rPr>
        <w:t>gross</w:t>
      </w:r>
      <w:r w:rsidRPr="00AF2304">
        <w:rPr>
          <w:i/>
        </w:rPr>
        <w:t xml:space="preserve"> </w:t>
      </w:r>
      <w:r w:rsidRPr="00AF2304">
        <w:rPr>
          <w:i/>
          <w:spacing w:val="-1"/>
        </w:rPr>
        <w:t>waste</w:t>
      </w:r>
      <w:r w:rsidRPr="00AF2304">
        <w:rPr>
          <w:i/>
        </w:rPr>
        <w:t xml:space="preserve"> </w:t>
      </w:r>
      <w:r w:rsidRPr="00AF2304">
        <w:rPr>
          <w:i/>
          <w:spacing w:val="-1"/>
        </w:rPr>
        <w:t>of</w:t>
      </w:r>
      <w:r w:rsidRPr="00AF2304">
        <w:rPr>
          <w:i/>
          <w:spacing w:val="1"/>
        </w:rPr>
        <w:t xml:space="preserve"> </w:t>
      </w:r>
      <w:r w:rsidRPr="00AF2304">
        <w:rPr>
          <w:i/>
          <w:spacing w:val="-1"/>
        </w:rPr>
        <w:t>funds,</w:t>
      </w:r>
      <w:r w:rsidRPr="00AF2304">
        <w:rPr>
          <w:i/>
        </w:rPr>
        <w:t xml:space="preserve"> an </w:t>
      </w:r>
      <w:r w:rsidRPr="00AF2304">
        <w:rPr>
          <w:i/>
          <w:spacing w:val="-1"/>
        </w:rPr>
        <w:t>abuse</w:t>
      </w:r>
      <w:r w:rsidRPr="00AF2304">
        <w:rPr>
          <w:i/>
        </w:rPr>
        <w:t xml:space="preserve"> </w:t>
      </w:r>
      <w:r w:rsidRPr="00AF2304">
        <w:rPr>
          <w:i/>
          <w:spacing w:val="-2"/>
        </w:rPr>
        <w:t>of</w:t>
      </w:r>
      <w:r w:rsidRPr="00AF2304">
        <w:rPr>
          <w:i/>
          <w:spacing w:val="1"/>
        </w:rPr>
        <w:t xml:space="preserve"> </w:t>
      </w:r>
      <w:r w:rsidRPr="00AF2304">
        <w:rPr>
          <w:i/>
          <w:spacing w:val="-1"/>
        </w:rPr>
        <w:t>authority,</w:t>
      </w:r>
      <w:r w:rsidRPr="00AF2304">
        <w:rPr>
          <w:i/>
        </w:rPr>
        <w:t xml:space="preserve"> </w:t>
      </w:r>
      <w:r w:rsidRPr="00AF2304">
        <w:rPr>
          <w:i/>
          <w:spacing w:val="-1"/>
        </w:rPr>
        <w:t>or</w:t>
      </w:r>
      <w:r w:rsidRPr="00AF2304">
        <w:rPr>
          <w:i/>
        </w:rPr>
        <w:t xml:space="preserve"> a</w:t>
      </w:r>
      <w:r w:rsidRPr="00AF2304">
        <w:rPr>
          <w:i/>
          <w:spacing w:val="49"/>
        </w:rPr>
        <w:t xml:space="preserve"> </w:t>
      </w:r>
      <w:r w:rsidRPr="00AF2304">
        <w:rPr>
          <w:i/>
          <w:spacing w:val="-1"/>
        </w:rPr>
        <w:t>substantial</w:t>
      </w:r>
      <w:r w:rsidRPr="00AF2304">
        <w:rPr>
          <w:i/>
          <w:spacing w:val="1"/>
        </w:rPr>
        <w:t xml:space="preserve"> </w:t>
      </w:r>
      <w:r w:rsidRPr="00AF2304">
        <w:rPr>
          <w:i/>
        </w:rPr>
        <w:t>and</w:t>
      </w:r>
      <w:r w:rsidRPr="00AF2304">
        <w:rPr>
          <w:i/>
          <w:spacing w:val="-3"/>
        </w:rPr>
        <w:t xml:space="preserve"> </w:t>
      </w:r>
      <w:r w:rsidRPr="00AF2304">
        <w:rPr>
          <w:i/>
          <w:spacing w:val="-1"/>
        </w:rPr>
        <w:t>specific</w:t>
      </w:r>
      <w:r w:rsidRPr="00AF2304">
        <w:rPr>
          <w:i/>
        </w:rPr>
        <w:t xml:space="preserve"> </w:t>
      </w:r>
      <w:r w:rsidRPr="00AF2304">
        <w:rPr>
          <w:i/>
          <w:spacing w:val="-1"/>
        </w:rPr>
        <w:t>danger</w:t>
      </w:r>
      <w:r w:rsidRPr="00AF2304">
        <w:rPr>
          <w:i/>
          <w:spacing w:val="-2"/>
        </w:rPr>
        <w:t xml:space="preserve"> </w:t>
      </w:r>
      <w:r w:rsidRPr="00AF2304">
        <w:rPr>
          <w:i/>
        </w:rPr>
        <w:t xml:space="preserve">to </w:t>
      </w:r>
      <w:r w:rsidRPr="00AF2304">
        <w:rPr>
          <w:i/>
          <w:spacing w:val="-1"/>
        </w:rPr>
        <w:t>public</w:t>
      </w:r>
      <w:r w:rsidRPr="00AF2304">
        <w:rPr>
          <w:i/>
        </w:rPr>
        <w:t xml:space="preserve"> </w:t>
      </w:r>
      <w:r w:rsidRPr="00AF2304">
        <w:rPr>
          <w:i/>
          <w:spacing w:val="-1"/>
        </w:rPr>
        <w:t>health</w:t>
      </w:r>
      <w:r w:rsidRPr="00AF2304">
        <w:rPr>
          <w:i/>
        </w:rPr>
        <w:t xml:space="preserve"> or</w:t>
      </w:r>
      <w:r w:rsidRPr="00AF2304">
        <w:rPr>
          <w:i/>
          <w:spacing w:val="-2"/>
        </w:rPr>
        <w:t xml:space="preserve"> </w:t>
      </w:r>
      <w:r w:rsidRPr="00AF2304">
        <w:rPr>
          <w:i/>
        </w:rPr>
        <w:t xml:space="preserve">safety, </w:t>
      </w:r>
      <w:r w:rsidRPr="00AF2304">
        <w:rPr>
          <w:i/>
          <w:spacing w:val="-1"/>
        </w:rPr>
        <w:t>or</w:t>
      </w:r>
      <w:r w:rsidRPr="00AF2304">
        <w:rPr>
          <w:i/>
        </w:rPr>
        <w:t xml:space="preserve"> </w:t>
      </w:r>
      <w:r w:rsidRPr="00AF2304">
        <w:rPr>
          <w:i/>
          <w:spacing w:val="-1"/>
        </w:rPr>
        <w:t>(4)</w:t>
      </w:r>
      <w:r w:rsidRPr="00AF2304">
        <w:rPr>
          <w:i/>
          <w:spacing w:val="-2"/>
        </w:rPr>
        <w:t xml:space="preserve"> </w:t>
      </w:r>
      <w:r w:rsidRPr="00AF2304">
        <w:rPr>
          <w:i/>
        </w:rPr>
        <w:t xml:space="preserve">any </w:t>
      </w:r>
      <w:r w:rsidRPr="00AF2304">
        <w:rPr>
          <w:i/>
          <w:spacing w:val="-1"/>
        </w:rPr>
        <w:t>other</w:t>
      </w:r>
      <w:r w:rsidRPr="00AF2304">
        <w:rPr>
          <w:i/>
          <w:spacing w:val="33"/>
        </w:rPr>
        <w:t xml:space="preserve"> </w:t>
      </w:r>
      <w:r w:rsidRPr="00AF2304">
        <w:rPr>
          <w:i/>
          <w:spacing w:val="-1"/>
        </w:rPr>
        <w:t>whistleblower</w:t>
      </w:r>
      <w:r w:rsidRPr="00AF2304">
        <w:rPr>
          <w:i/>
        </w:rPr>
        <w:t xml:space="preserve"> </w:t>
      </w:r>
      <w:r w:rsidRPr="00AF2304">
        <w:rPr>
          <w:i/>
          <w:spacing w:val="-1"/>
        </w:rPr>
        <w:t>protection.</w:t>
      </w:r>
      <w:r w:rsidRPr="00AF2304">
        <w:rPr>
          <w:i/>
        </w:rPr>
        <w:t xml:space="preserve"> </w:t>
      </w:r>
      <w:r w:rsidRPr="00AF2304">
        <w:rPr>
          <w:i/>
          <w:spacing w:val="-1"/>
        </w:rPr>
        <w:t>The</w:t>
      </w:r>
      <w:r w:rsidRPr="00AF2304">
        <w:rPr>
          <w:i/>
        </w:rPr>
        <w:t xml:space="preserve"> </w:t>
      </w:r>
      <w:r w:rsidRPr="00AF2304">
        <w:rPr>
          <w:i/>
          <w:spacing w:val="-1"/>
        </w:rPr>
        <w:t>definitions,</w:t>
      </w:r>
      <w:r w:rsidRPr="00AF2304">
        <w:rPr>
          <w:i/>
        </w:rPr>
        <w:t xml:space="preserve"> </w:t>
      </w:r>
      <w:r w:rsidRPr="00AF2304">
        <w:rPr>
          <w:i/>
          <w:spacing w:val="-1"/>
        </w:rPr>
        <w:t>requirements,</w:t>
      </w:r>
      <w:r w:rsidRPr="00AF2304">
        <w:rPr>
          <w:i/>
        </w:rPr>
        <w:t xml:space="preserve"> </w:t>
      </w:r>
      <w:r w:rsidRPr="00AF2304">
        <w:rPr>
          <w:i/>
          <w:spacing w:val="-1"/>
        </w:rPr>
        <w:t>obligations,</w:t>
      </w:r>
      <w:r w:rsidRPr="00AF2304">
        <w:rPr>
          <w:i/>
        </w:rPr>
        <w:t xml:space="preserve"> </w:t>
      </w:r>
      <w:r w:rsidRPr="00AF2304">
        <w:rPr>
          <w:i/>
          <w:spacing w:val="-1"/>
        </w:rPr>
        <w:t>rights,</w:t>
      </w:r>
      <w:r w:rsidRPr="00AF2304">
        <w:rPr>
          <w:i/>
          <w:spacing w:val="47"/>
        </w:rPr>
        <w:t xml:space="preserve"> </w:t>
      </w:r>
      <w:r w:rsidRPr="00AF2304">
        <w:rPr>
          <w:i/>
          <w:spacing w:val="-1"/>
        </w:rPr>
        <w:t>sanctions,</w:t>
      </w:r>
      <w:r w:rsidRPr="00AF2304">
        <w:rPr>
          <w:i/>
        </w:rPr>
        <w:t xml:space="preserve"> and</w:t>
      </w:r>
      <w:r w:rsidRPr="00AF2304">
        <w:rPr>
          <w:i/>
          <w:spacing w:val="-2"/>
        </w:rPr>
        <w:t xml:space="preserve"> </w:t>
      </w:r>
      <w:r w:rsidRPr="00AF2304">
        <w:rPr>
          <w:i/>
          <w:spacing w:val="-1"/>
        </w:rPr>
        <w:t>liabilities</w:t>
      </w:r>
      <w:r w:rsidRPr="00AF2304">
        <w:rPr>
          <w:i/>
        </w:rPr>
        <w:t xml:space="preserve"> </w:t>
      </w:r>
      <w:r w:rsidRPr="00AF2304">
        <w:rPr>
          <w:i/>
          <w:spacing w:val="-1"/>
        </w:rPr>
        <w:t>created</w:t>
      </w:r>
      <w:r w:rsidRPr="00AF2304">
        <w:rPr>
          <w:i/>
          <w:spacing w:val="-2"/>
        </w:rPr>
        <w:t xml:space="preserve"> </w:t>
      </w:r>
      <w:r w:rsidRPr="00AF2304">
        <w:rPr>
          <w:i/>
        </w:rPr>
        <w:t xml:space="preserve">by </w:t>
      </w:r>
      <w:r w:rsidRPr="00AF2304">
        <w:rPr>
          <w:i/>
          <w:spacing w:val="-1"/>
        </w:rPr>
        <w:t>controlling</w:t>
      </w:r>
      <w:r w:rsidRPr="00AF2304">
        <w:rPr>
          <w:i/>
        </w:rPr>
        <w:t xml:space="preserve"> </w:t>
      </w:r>
      <w:r w:rsidRPr="00AF2304">
        <w:rPr>
          <w:i/>
          <w:spacing w:val="-1"/>
        </w:rPr>
        <w:t>Executive</w:t>
      </w:r>
      <w:r w:rsidRPr="00AF2304">
        <w:rPr>
          <w:i/>
        </w:rPr>
        <w:t xml:space="preserve"> </w:t>
      </w:r>
      <w:r w:rsidRPr="00AF2304">
        <w:rPr>
          <w:i/>
          <w:spacing w:val="-1"/>
        </w:rPr>
        <w:t>orders</w:t>
      </w:r>
      <w:r w:rsidRPr="00AF2304">
        <w:rPr>
          <w:i/>
          <w:spacing w:val="1"/>
        </w:rPr>
        <w:t xml:space="preserve"> </w:t>
      </w:r>
      <w:r w:rsidRPr="00AF2304">
        <w:rPr>
          <w:i/>
        </w:rPr>
        <w:t>and</w:t>
      </w:r>
      <w:r w:rsidRPr="00AF2304">
        <w:rPr>
          <w:i/>
          <w:spacing w:val="-3"/>
        </w:rPr>
        <w:t xml:space="preserve"> </w:t>
      </w:r>
      <w:r w:rsidRPr="00AF2304">
        <w:rPr>
          <w:i/>
          <w:spacing w:val="-1"/>
        </w:rPr>
        <w:t>statutory</w:t>
      </w:r>
      <w:r w:rsidRPr="00AF2304">
        <w:rPr>
          <w:i/>
          <w:spacing w:val="49"/>
        </w:rPr>
        <w:t xml:space="preserve"> </w:t>
      </w:r>
      <w:r w:rsidRPr="00AF2304">
        <w:rPr>
          <w:i/>
          <w:spacing w:val="-1"/>
        </w:rPr>
        <w:t>provisions</w:t>
      </w:r>
      <w:r w:rsidRPr="00AF2304">
        <w:rPr>
          <w:i/>
        </w:rPr>
        <w:t xml:space="preserve"> </w:t>
      </w:r>
      <w:r w:rsidRPr="00AF2304">
        <w:rPr>
          <w:i/>
          <w:spacing w:val="-1"/>
        </w:rPr>
        <w:t>are</w:t>
      </w:r>
      <w:r w:rsidRPr="00AF2304">
        <w:rPr>
          <w:i/>
        </w:rPr>
        <w:t xml:space="preserve"> </w:t>
      </w:r>
      <w:r w:rsidRPr="00AF2304">
        <w:rPr>
          <w:i/>
          <w:spacing w:val="-1"/>
        </w:rPr>
        <w:t>incorporated</w:t>
      </w:r>
      <w:r w:rsidRPr="00AF2304">
        <w:rPr>
          <w:i/>
        </w:rPr>
        <w:t xml:space="preserve"> </w:t>
      </w:r>
      <w:r w:rsidRPr="00AF2304">
        <w:rPr>
          <w:i/>
          <w:spacing w:val="-1"/>
        </w:rPr>
        <w:t>into</w:t>
      </w:r>
      <w:r w:rsidRPr="00AF2304">
        <w:rPr>
          <w:i/>
        </w:rPr>
        <w:t xml:space="preserve"> </w:t>
      </w:r>
      <w:r w:rsidRPr="00AF2304">
        <w:rPr>
          <w:i/>
          <w:spacing w:val="-1"/>
        </w:rPr>
        <w:t>this</w:t>
      </w:r>
      <w:r w:rsidRPr="00AF2304">
        <w:rPr>
          <w:i/>
          <w:spacing w:val="-2"/>
        </w:rPr>
        <w:t xml:space="preserve"> </w:t>
      </w:r>
      <w:r w:rsidRPr="00AF2304">
        <w:rPr>
          <w:i/>
          <w:spacing w:val="-1"/>
        </w:rPr>
        <w:t>agreement</w:t>
      </w:r>
      <w:r w:rsidRPr="00AF2304">
        <w:rPr>
          <w:i/>
          <w:spacing w:val="-2"/>
        </w:rPr>
        <w:t xml:space="preserve"> </w:t>
      </w:r>
      <w:r w:rsidRPr="00AF2304">
        <w:rPr>
          <w:i/>
        </w:rPr>
        <w:t xml:space="preserve">and </w:t>
      </w:r>
      <w:r w:rsidRPr="00AF2304">
        <w:rPr>
          <w:i/>
          <w:spacing w:val="-1"/>
        </w:rPr>
        <w:t>are</w:t>
      </w:r>
      <w:r w:rsidRPr="00AF2304">
        <w:rPr>
          <w:i/>
          <w:spacing w:val="3"/>
        </w:rPr>
        <w:t xml:space="preserve"> </w:t>
      </w:r>
      <w:r w:rsidRPr="00AF2304">
        <w:rPr>
          <w:i/>
          <w:spacing w:val="-1"/>
        </w:rPr>
        <w:t>controlling.’’</w:t>
      </w:r>
    </w:p>
    <w:p w14:paraId="0988252A" w14:textId="08673757" w:rsidR="00B07932" w:rsidRPr="008858B4" w:rsidRDefault="004E672B" w:rsidP="00F836F4">
      <w:pPr>
        <w:numPr>
          <w:ilvl w:val="0"/>
          <w:numId w:val="21"/>
        </w:numPr>
        <w:tabs>
          <w:tab w:val="left" w:pos="765"/>
        </w:tabs>
        <w:kinsoku w:val="0"/>
        <w:overflowPunct w:val="0"/>
        <w:autoSpaceDE w:val="0"/>
        <w:autoSpaceDN w:val="0"/>
        <w:adjustRightInd w:val="0"/>
        <w:spacing w:after="200"/>
        <w:ind w:left="2520" w:right="994"/>
        <w:rPr>
          <w:spacing w:val="-1"/>
        </w:rPr>
      </w:pPr>
      <w:r w:rsidRPr="00120F39">
        <w:t>The</w:t>
      </w:r>
      <w:r w:rsidRPr="00AF2304">
        <w:rPr>
          <w:spacing w:val="-2"/>
          <w:szCs w:val="24"/>
        </w:rPr>
        <w:t xml:space="preserve"> </w:t>
      </w:r>
      <w:r w:rsidRPr="00120F39">
        <w:rPr>
          <w:spacing w:val="-1"/>
        </w:rPr>
        <w:t>limitation</w:t>
      </w:r>
      <w:r w:rsidRPr="009061D6">
        <w:t xml:space="preserve"> </w:t>
      </w:r>
      <w:r w:rsidRPr="009061D6">
        <w:rPr>
          <w:spacing w:val="-1"/>
        </w:rPr>
        <w:t>above</w:t>
      </w:r>
      <w:r w:rsidRPr="009061D6">
        <w:t xml:space="preserve"> </w:t>
      </w:r>
      <w:r w:rsidRPr="009061D6">
        <w:rPr>
          <w:spacing w:val="-1"/>
        </w:rPr>
        <w:t>shall</w:t>
      </w:r>
      <w:r w:rsidRPr="00AF2304">
        <w:rPr>
          <w:spacing w:val="-2"/>
          <w:szCs w:val="24"/>
        </w:rPr>
        <w:t xml:space="preserve"> </w:t>
      </w:r>
      <w:r w:rsidRPr="00120F39">
        <w:t>not</w:t>
      </w:r>
      <w:r w:rsidRPr="00AF2304">
        <w:rPr>
          <w:spacing w:val="1"/>
          <w:szCs w:val="24"/>
        </w:rPr>
        <w:t xml:space="preserve"> </w:t>
      </w:r>
      <w:r w:rsidRPr="00120F39">
        <w:rPr>
          <w:spacing w:val="-1"/>
        </w:rPr>
        <w:t>contravene</w:t>
      </w:r>
      <w:r w:rsidRPr="009061D6">
        <w:t xml:space="preserve"> </w:t>
      </w:r>
      <w:r w:rsidRPr="009061D6">
        <w:rPr>
          <w:spacing w:val="-1"/>
        </w:rPr>
        <w:t>requirements</w:t>
      </w:r>
      <w:r w:rsidRPr="009061D6">
        <w:t xml:space="preserve"> </w:t>
      </w:r>
      <w:r w:rsidRPr="009061D6">
        <w:rPr>
          <w:spacing w:val="-1"/>
        </w:rPr>
        <w:t>applicable</w:t>
      </w:r>
      <w:r w:rsidRPr="009061D6">
        <w:t xml:space="preserve"> </w:t>
      </w:r>
      <w:r w:rsidRPr="009061D6">
        <w:rPr>
          <w:spacing w:val="-1"/>
        </w:rPr>
        <w:t>to</w:t>
      </w:r>
      <w:r w:rsidRPr="009061D6">
        <w:t xml:space="preserve"> </w:t>
      </w:r>
      <w:r w:rsidRPr="009061D6">
        <w:rPr>
          <w:spacing w:val="-1"/>
        </w:rPr>
        <w:t>Standard</w:t>
      </w:r>
      <w:r w:rsidRPr="009061D6">
        <w:t xml:space="preserve"> </w:t>
      </w:r>
      <w:r w:rsidRPr="009061D6">
        <w:rPr>
          <w:spacing w:val="-1"/>
        </w:rPr>
        <w:t>Form</w:t>
      </w:r>
      <w:r w:rsidRPr="00AF2304">
        <w:rPr>
          <w:spacing w:val="41"/>
          <w:szCs w:val="24"/>
        </w:rPr>
        <w:t xml:space="preserve"> </w:t>
      </w:r>
      <w:r w:rsidRPr="00120F39">
        <w:t>312</w:t>
      </w:r>
      <w:r w:rsidR="009701C7">
        <w:t xml:space="preserve"> Classified Information Nondisclosure Agreement (</w:t>
      </w:r>
      <w:hyperlink r:id="rId72" w:history="1">
        <w:r w:rsidR="009701C7">
          <w:rPr>
            <w:rStyle w:val="Hyperlink"/>
          </w:rPr>
          <w:t>https://fas.org/sgp/othergov/sf312.pdf</w:t>
        </w:r>
      </w:hyperlink>
      <w:r w:rsidR="009701C7">
        <w:rPr>
          <w:color w:val="1F497D"/>
        </w:rPr>
        <w:t>)</w:t>
      </w:r>
      <w:r w:rsidRPr="00120F39">
        <w:t>, Form</w:t>
      </w:r>
      <w:r w:rsidRPr="00AF2304">
        <w:rPr>
          <w:spacing w:val="-4"/>
          <w:szCs w:val="24"/>
        </w:rPr>
        <w:t xml:space="preserve"> </w:t>
      </w:r>
      <w:r w:rsidRPr="00120F39">
        <w:t>4414</w:t>
      </w:r>
      <w:r w:rsidR="009701C7">
        <w:t xml:space="preserve"> Sensitive Compartmented Information Disclosure Agreement (</w:t>
      </w:r>
      <w:hyperlink r:id="rId73" w:history="1">
        <w:r w:rsidR="00070D39" w:rsidRPr="007D4215">
          <w:rPr>
            <w:rStyle w:val="Hyperlink"/>
          </w:rPr>
          <w:t>https://fas</w:t>
        </w:r>
      </w:hyperlink>
      <w:r w:rsidR="009701C7">
        <w:t>.org/sgp/othergov/intel/sf4414.pdf)</w:t>
      </w:r>
      <w:r w:rsidRPr="00120F39">
        <w:t xml:space="preserve">, </w:t>
      </w:r>
      <w:r w:rsidRPr="009061D6">
        <w:rPr>
          <w:spacing w:val="-2"/>
        </w:rPr>
        <w:t>or</w:t>
      </w:r>
      <w:r w:rsidRPr="009061D6">
        <w:t xml:space="preserve"> any</w:t>
      </w:r>
      <w:r w:rsidRPr="00AF2304">
        <w:rPr>
          <w:spacing w:val="-2"/>
          <w:szCs w:val="24"/>
        </w:rPr>
        <w:t xml:space="preserve"> </w:t>
      </w:r>
      <w:r w:rsidRPr="00120F39">
        <w:rPr>
          <w:spacing w:val="-1"/>
        </w:rPr>
        <w:t>other</w:t>
      </w:r>
      <w:r w:rsidRPr="00AF2304">
        <w:rPr>
          <w:spacing w:val="1"/>
          <w:szCs w:val="24"/>
        </w:rPr>
        <w:t xml:space="preserve"> </w:t>
      </w:r>
      <w:r w:rsidRPr="00120F39">
        <w:rPr>
          <w:spacing w:val="-1"/>
        </w:rPr>
        <w:t>form</w:t>
      </w:r>
      <w:r w:rsidRPr="00AF2304">
        <w:rPr>
          <w:spacing w:val="-4"/>
          <w:szCs w:val="24"/>
        </w:rPr>
        <w:t xml:space="preserve"> </w:t>
      </w:r>
      <w:r w:rsidRPr="00120F39">
        <w:rPr>
          <w:spacing w:val="-1"/>
        </w:rPr>
        <w:t>issued</w:t>
      </w:r>
      <w:r w:rsidRPr="009061D6">
        <w:t xml:space="preserve"> by</w:t>
      </w:r>
      <w:r w:rsidRPr="00AF2304">
        <w:rPr>
          <w:spacing w:val="-3"/>
          <w:szCs w:val="24"/>
        </w:rPr>
        <w:t xml:space="preserve"> </w:t>
      </w:r>
      <w:r w:rsidRPr="00120F39">
        <w:t xml:space="preserve">a </w:t>
      </w:r>
      <w:r w:rsidR="001F169D">
        <w:rPr>
          <w:spacing w:val="-1"/>
        </w:rPr>
        <w:t>f</w:t>
      </w:r>
      <w:r w:rsidR="001F169D" w:rsidRPr="009061D6">
        <w:rPr>
          <w:spacing w:val="-1"/>
        </w:rPr>
        <w:t>ederal</w:t>
      </w:r>
      <w:r w:rsidR="001F169D" w:rsidRPr="00AF2304">
        <w:rPr>
          <w:spacing w:val="-2"/>
          <w:szCs w:val="24"/>
        </w:rPr>
        <w:t xml:space="preserve"> </w:t>
      </w:r>
      <w:r w:rsidRPr="00120F39">
        <w:rPr>
          <w:spacing w:val="-1"/>
        </w:rPr>
        <w:t>department</w:t>
      </w:r>
      <w:r w:rsidRPr="00AF2304">
        <w:rPr>
          <w:spacing w:val="1"/>
          <w:szCs w:val="24"/>
        </w:rPr>
        <w:t xml:space="preserve"> </w:t>
      </w:r>
      <w:r w:rsidRPr="00120F39">
        <w:t>or</w:t>
      </w:r>
      <w:r w:rsidRPr="00AF2304">
        <w:rPr>
          <w:spacing w:val="-2"/>
          <w:szCs w:val="24"/>
        </w:rPr>
        <w:t xml:space="preserve"> </w:t>
      </w:r>
      <w:r w:rsidRPr="00120F39">
        <w:rPr>
          <w:spacing w:val="-1"/>
        </w:rPr>
        <w:t>agency</w:t>
      </w:r>
      <w:r w:rsidRPr="00AF2304">
        <w:rPr>
          <w:spacing w:val="39"/>
          <w:szCs w:val="24"/>
        </w:rPr>
        <w:t xml:space="preserve"> </w:t>
      </w:r>
      <w:r w:rsidRPr="00120F39">
        <w:rPr>
          <w:spacing w:val="-1"/>
        </w:rPr>
        <w:t>governing</w:t>
      </w:r>
      <w:r w:rsidRPr="00AF2304">
        <w:rPr>
          <w:spacing w:val="-3"/>
          <w:szCs w:val="24"/>
        </w:rPr>
        <w:t xml:space="preserve"> </w:t>
      </w:r>
      <w:r w:rsidRPr="00120F39">
        <w:t>the</w:t>
      </w:r>
      <w:r w:rsidRPr="00AF2304">
        <w:rPr>
          <w:spacing w:val="-2"/>
          <w:szCs w:val="24"/>
        </w:rPr>
        <w:t xml:space="preserve"> </w:t>
      </w:r>
      <w:r w:rsidRPr="00120F39">
        <w:rPr>
          <w:spacing w:val="-1"/>
        </w:rPr>
        <w:t>nondisclosure</w:t>
      </w:r>
      <w:r w:rsidRPr="009061D6">
        <w:t xml:space="preserve"> of</w:t>
      </w:r>
      <w:r w:rsidRPr="00AF2304">
        <w:rPr>
          <w:spacing w:val="1"/>
          <w:szCs w:val="24"/>
        </w:rPr>
        <w:t xml:space="preserve"> </w:t>
      </w:r>
      <w:r w:rsidRPr="00120F39">
        <w:rPr>
          <w:spacing w:val="-1"/>
        </w:rPr>
        <w:t>classified</w:t>
      </w:r>
      <w:r w:rsidRPr="00AF2304">
        <w:rPr>
          <w:spacing w:val="-2"/>
          <w:szCs w:val="24"/>
        </w:rPr>
        <w:t xml:space="preserve"> </w:t>
      </w:r>
      <w:r w:rsidRPr="00120F39">
        <w:rPr>
          <w:spacing w:val="-1"/>
        </w:rPr>
        <w:t>information.</w:t>
      </w:r>
    </w:p>
    <w:p w14:paraId="4706623F" w14:textId="00178A31" w:rsidR="00B07932" w:rsidRPr="008858B4" w:rsidRDefault="004E672B" w:rsidP="00F836F4">
      <w:pPr>
        <w:pStyle w:val="ListParagraph"/>
        <w:numPr>
          <w:ilvl w:val="0"/>
          <w:numId w:val="21"/>
        </w:numPr>
        <w:ind w:left="2520"/>
      </w:pPr>
      <w:r w:rsidRPr="008858B4">
        <w:t>Notwithstanding</w:t>
      </w:r>
      <w:r w:rsidRPr="008858B4">
        <w:rPr>
          <w:spacing w:val="-3"/>
        </w:rPr>
        <w:t xml:space="preserve"> the </w:t>
      </w:r>
      <w:r w:rsidRPr="008858B4">
        <w:t>provision listed in paragraph</w:t>
      </w:r>
      <w:r w:rsidRPr="00AF2304">
        <w:rPr>
          <w:spacing w:val="-2"/>
        </w:rPr>
        <w:t xml:space="preserve"> </w:t>
      </w:r>
      <w:r w:rsidRPr="008858B4">
        <w:t>(a), a</w:t>
      </w:r>
      <w:r w:rsidRPr="00AF2304">
        <w:rPr>
          <w:spacing w:val="-2"/>
        </w:rPr>
        <w:t xml:space="preserve"> </w:t>
      </w:r>
      <w:r w:rsidRPr="008858B4">
        <w:t>nondisclosure or confidentiality</w:t>
      </w:r>
      <w:r w:rsidRPr="00AF2304">
        <w:rPr>
          <w:spacing w:val="-3"/>
        </w:rPr>
        <w:t xml:space="preserve"> </w:t>
      </w:r>
      <w:r w:rsidRPr="008858B4">
        <w:t>policy</w:t>
      </w:r>
      <w:r w:rsidRPr="00AF2304">
        <w:rPr>
          <w:spacing w:val="71"/>
        </w:rPr>
        <w:t xml:space="preserve"> </w:t>
      </w:r>
      <w:r w:rsidRPr="008858B4">
        <w:t>form</w:t>
      </w:r>
      <w:r w:rsidRPr="00AF2304">
        <w:rPr>
          <w:spacing w:val="-4"/>
        </w:rPr>
        <w:t xml:space="preserve"> </w:t>
      </w:r>
      <w:r w:rsidRPr="008858B4">
        <w:t>or agreement</w:t>
      </w:r>
      <w:r w:rsidRPr="00AF2304">
        <w:rPr>
          <w:spacing w:val="1"/>
        </w:rPr>
        <w:t xml:space="preserve"> </w:t>
      </w:r>
      <w:r w:rsidRPr="008858B4">
        <w:t>that is</w:t>
      </w:r>
      <w:r w:rsidRPr="00AF2304">
        <w:rPr>
          <w:spacing w:val="-2"/>
        </w:rPr>
        <w:t xml:space="preserve"> </w:t>
      </w:r>
      <w:r w:rsidRPr="008858B4">
        <w:t>to</w:t>
      </w:r>
      <w:r w:rsidRPr="00AF2304">
        <w:rPr>
          <w:spacing w:val="-3"/>
        </w:rPr>
        <w:t xml:space="preserve"> </w:t>
      </w:r>
      <w:r w:rsidRPr="008858B4">
        <w:t>be executed by</w:t>
      </w:r>
      <w:r w:rsidRPr="00AF2304">
        <w:rPr>
          <w:spacing w:val="-2"/>
        </w:rPr>
        <w:t xml:space="preserve"> </w:t>
      </w:r>
      <w:r w:rsidRPr="008858B4">
        <w:t>a person</w:t>
      </w:r>
      <w:r w:rsidRPr="00AF2304">
        <w:rPr>
          <w:spacing w:val="-2"/>
        </w:rPr>
        <w:t xml:space="preserve"> </w:t>
      </w:r>
      <w:r w:rsidRPr="008858B4">
        <w:t>connected with</w:t>
      </w:r>
      <w:r w:rsidRPr="00AF2304">
        <w:rPr>
          <w:spacing w:val="-3"/>
        </w:rPr>
        <w:t xml:space="preserve"> </w:t>
      </w:r>
      <w:r w:rsidRPr="008858B4">
        <w:t>the</w:t>
      </w:r>
      <w:r w:rsidRPr="00AF2304">
        <w:rPr>
          <w:spacing w:val="-2"/>
        </w:rPr>
        <w:t xml:space="preserve"> </w:t>
      </w:r>
      <w:r w:rsidRPr="008858B4">
        <w:t>conduct</w:t>
      </w:r>
      <w:r w:rsidRPr="00AF2304">
        <w:rPr>
          <w:spacing w:val="1"/>
        </w:rPr>
        <w:t xml:space="preserve"> </w:t>
      </w:r>
      <w:r w:rsidRPr="008858B4">
        <w:rPr>
          <w:spacing w:val="-2"/>
        </w:rPr>
        <w:t xml:space="preserve">of </w:t>
      </w:r>
      <w:r w:rsidRPr="008858B4">
        <w:t>an</w:t>
      </w:r>
      <w:r w:rsidRPr="00AF2304">
        <w:rPr>
          <w:spacing w:val="53"/>
        </w:rPr>
        <w:t xml:space="preserve"> </w:t>
      </w:r>
      <w:r w:rsidRPr="008858B4">
        <w:t>intelligence</w:t>
      </w:r>
      <w:r w:rsidRPr="00AF2304">
        <w:rPr>
          <w:spacing w:val="-2"/>
        </w:rPr>
        <w:t xml:space="preserve"> </w:t>
      </w:r>
      <w:r w:rsidRPr="008858B4">
        <w:t>or</w:t>
      </w:r>
      <w:r w:rsidRPr="00AF2304">
        <w:rPr>
          <w:spacing w:val="-2"/>
        </w:rPr>
        <w:t xml:space="preserve"> </w:t>
      </w:r>
      <w:r w:rsidRPr="008858B4">
        <w:t xml:space="preserve">intelligence-related </w:t>
      </w:r>
      <w:r w:rsidRPr="008858B4">
        <w:rPr>
          <w:spacing w:val="-2"/>
        </w:rPr>
        <w:t>activity,</w:t>
      </w:r>
      <w:r w:rsidRPr="008858B4">
        <w:t xml:space="preserve"> other than</w:t>
      </w:r>
      <w:r w:rsidRPr="00AF2304">
        <w:rPr>
          <w:spacing w:val="-2"/>
        </w:rPr>
        <w:t xml:space="preserve"> </w:t>
      </w:r>
      <w:r w:rsidRPr="008858B4">
        <w:t>an employee or officer of</w:t>
      </w:r>
      <w:r w:rsidRPr="00AF2304">
        <w:rPr>
          <w:spacing w:val="-2"/>
        </w:rPr>
        <w:t xml:space="preserve"> </w:t>
      </w:r>
      <w:r w:rsidRPr="008858B4">
        <w:t>the United</w:t>
      </w:r>
      <w:r w:rsidR="00D03CBD">
        <w:t xml:space="preserve"> </w:t>
      </w:r>
      <w:r w:rsidR="0012225B">
        <w:t>States g</w:t>
      </w:r>
      <w:r w:rsidRPr="008858B4">
        <w:t xml:space="preserve">overnment, </w:t>
      </w:r>
      <w:r w:rsidRPr="008858B4">
        <w:rPr>
          <w:spacing w:val="-2"/>
        </w:rPr>
        <w:t xml:space="preserve">may </w:t>
      </w:r>
      <w:r w:rsidRPr="008858B4">
        <w:t>contain provisions appropriate to</w:t>
      </w:r>
      <w:r w:rsidRPr="00AF2304">
        <w:rPr>
          <w:spacing w:val="-3"/>
        </w:rPr>
        <w:t xml:space="preserve"> </w:t>
      </w:r>
      <w:r w:rsidRPr="008858B4">
        <w:t xml:space="preserve">the </w:t>
      </w:r>
      <w:proofErr w:type="gramStart"/>
      <w:r w:rsidRPr="008858B4">
        <w:t>particular</w:t>
      </w:r>
      <w:r w:rsidRPr="00AF2304">
        <w:rPr>
          <w:spacing w:val="1"/>
        </w:rPr>
        <w:t xml:space="preserve"> </w:t>
      </w:r>
      <w:r w:rsidRPr="008858B4">
        <w:t>activity</w:t>
      </w:r>
      <w:proofErr w:type="gramEnd"/>
      <w:r w:rsidRPr="00AF2304">
        <w:rPr>
          <w:spacing w:val="-3"/>
        </w:rPr>
        <w:t xml:space="preserve"> </w:t>
      </w:r>
      <w:r w:rsidRPr="008858B4">
        <w:t>for which</w:t>
      </w:r>
      <w:r w:rsidRPr="00AF2304">
        <w:rPr>
          <w:spacing w:val="53"/>
        </w:rPr>
        <w:t xml:space="preserve"> </w:t>
      </w:r>
      <w:r w:rsidRPr="008858B4">
        <w:t>such document</w:t>
      </w:r>
      <w:r w:rsidRPr="00AF2304">
        <w:rPr>
          <w:spacing w:val="1"/>
        </w:rPr>
        <w:t xml:space="preserve"> </w:t>
      </w:r>
      <w:r w:rsidRPr="008858B4">
        <w:t>is</w:t>
      </w:r>
      <w:r w:rsidRPr="00AF2304">
        <w:rPr>
          <w:spacing w:val="-2"/>
        </w:rPr>
        <w:t xml:space="preserve"> </w:t>
      </w:r>
      <w:r w:rsidRPr="008858B4">
        <w:t xml:space="preserve">to </w:t>
      </w:r>
      <w:r w:rsidRPr="008858B4">
        <w:rPr>
          <w:spacing w:val="-2"/>
        </w:rPr>
        <w:t>be</w:t>
      </w:r>
      <w:r w:rsidRPr="008858B4">
        <w:t xml:space="preserve"> used. Such</w:t>
      </w:r>
      <w:r w:rsidRPr="00AF2304">
        <w:rPr>
          <w:spacing w:val="-3"/>
        </w:rPr>
        <w:t xml:space="preserve"> </w:t>
      </w:r>
      <w:r w:rsidRPr="008858B4">
        <w:t>form</w:t>
      </w:r>
      <w:r w:rsidRPr="00AF2304">
        <w:rPr>
          <w:spacing w:val="-4"/>
        </w:rPr>
        <w:t xml:space="preserve"> </w:t>
      </w:r>
      <w:r w:rsidRPr="008858B4">
        <w:t>or agreement</w:t>
      </w:r>
      <w:r w:rsidRPr="00AF2304">
        <w:rPr>
          <w:spacing w:val="-2"/>
        </w:rPr>
        <w:t xml:space="preserve"> </w:t>
      </w:r>
      <w:r w:rsidRPr="008858B4">
        <w:t>shall, at</w:t>
      </w:r>
      <w:r w:rsidRPr="00AF2304">
        <w:rPr>
          <w:spacing w:val="1"/>
        </w:rPr>
        <w:t xml:space="preserve"> </w:t>
      </w:r>
      <w:r w:rsidRPr="008858B4">
        <w:t xml:space="preserve">a </w:t>
      </w:r>
      <w:r w:rsidRPr="008858B4">
        <w:rPr>
          <w:spacing w:val="-2"/>
        </w:rPr>
        <w:t>minimum,</w:t>
      </w:r>
      <w:r w:rsidRPr="008858B4">
        <w:t xml:space="preserve"> require that</w:t>
      </w:r>
      <w:r w:rsidRPr="00AF2304">
        <w:rPr>
          <w:spacing w:val="-2"/>
        </w:rPr>
        <w:t xml:space="preserve"> </w:t>
      </w:r>
      <w:r w:rsidRPr="008858B4">
        <w:t>the</w:t>
      </w:r>
      <w:r w:rsidRPr="00AF2304">
        <w:rPr>
          <w:spacing w:val="47"/>
        </w:rPr>
        <w:t xml:space="preserve"> </w:t>
      </w:r>
      <w:r w:rsidRPr="008858B4">
        <w:t>person will</w:t>
      </w:r>
      <w:r w:rsidRPr="00AF2304">
        <w:rPr>
          <w:spacing w:val="1"/>
        </w:rPr>
        <w:t xml:space="preserve"> </w:t>
      </w:r>
      <w:r w:rsidRPr="008858B4">
        <w:t>not</w:t>
      </w:r>
      <w:r w:rsidRPr="00AF2304">
        <w:rPr>
          <w:spacing w:val="1"/>
        </w:rPr>
        <w:t xml:space="preserve"> </w:t>
      </w:r>
      <w:r w:rsidRPr="008858B4">
        <w:t>disclose any</w:t>
      </w:r>
      <w:r w:rsidRPr="00AF2304">
        <w:rPr>
          <w:spacing w:val="-3"/>
        </w:rPr>
        <w:t xml:space="preserve"> </w:t>
      </w:r>
      <w:r w:rsidRPr="008858B4">
        <w:t>classified</w:t>
      </w:r>
      <w:r w:rsidRPr="00AF2304">
        <w:rPr>
          <w:spacing w:val="-2"/>
        </w:rPr>
        <w:t xml:space="preserve"> </w:t>
      </w:r>
      <w:r w:rsidRPr="008858B4">
        <w:t>information</w:t>
      </w:r>
      <w:r w:rsidRPr="00AF2304">
        <w:rPr>
          <w:spacing w:val="-3"/>
        </w:rPr>
        <w:t xml:space="preserve"> </w:t>
      </w:r>
      <w:r w:rsidRPr="008858B4">
        <w:t xml:space="preserve">received </w:t>
      </w:r>
      <w:proofErr w:type="gramStart"/>
      <w:r w:rsidRPr="008858B4">
        <w:t>in</w:t>
      </w:r>
      <w:r w:rsidRPr="00AF2304">
        <w:rPr>
          <w:spacing w:val="-3"/>
        </w:rPr>
        <w:t xml:space="preserve"> </w:t>
      </w:r>
      <w:r w:rsidRPr="008858B4">
        <w:t>the</w:t>
      </w:r>
      <w:r w:rsidRPr="00AF2304">
        <w:rPr>
          <w:spacing w:val="-2"/>
        </w:rPr>
        <w:t xml:space="preserve"> </w:t>
      </w:r>
      <w:r w:rsidRPr="008858B4">
        <w:t xml:space="preserve">course </w:t>
      </w:r>
      <w:r w:rsidRPr="008858B4">
        <w:rPr>
          <w:spacing w:val="-2"/>
        </w:rPr>
        <w:t>of</w:t>
      </w:r>
      <w:proofErr w:type="gramEnd"/>
      <w:r w:rsidRPr="008858B4">
        <w:t xml:space="preserve"> such</w:t>
      </w:r>
      <w:r w:rsidRPr="00AF2304">
        <w:rPr>
          <w:spacing w:val="-2"/>
        </w:rPr>
        <w:t xml:space="preserve"> </w:t>
      </w:r>
      <w:r w:rsidRPr="008858B4">
        <w:t>activity</w:t>
      </w:r>
      <w:r w:rsidRPr="00AF2304">
        <w:rPr>
          <w:spacing w:val="69"/>
        </w:rPr>
        <w:t xml:space="preserve"> </w:t>
      </w:r>
      <w:r w:rsidRPr="008858B4">
        <w:t>unless specifically</w:t>
      </w:r>
      <w:r w:rsidRPr="00AF2304">
        <w:rPr>
          <w:spacing w:val="-3"/>
        </w:rPr>
        <w:t xml:space="preserve"> </w:t>
      </w:r>
      <w:r w:rsidRPr="008858B4">
        <w:t xml:space="preserve">authorized to </w:t>
      </w:r>
      <w:r w:rsidRPr="008858B4">
        <w:rPr>
          <w:spacing w:val="-2"/>
        </w:rPr>
        <w:t>do</w:t>
      </w:r>
      <w:r w:rsidRPr="008858B4">
        <w:t xml:space="preserve"> so by</w:t>
      </w:r>
      <w:r w:rsidRPr="00AF2304">
        <w:rPr>
          <w:spacing w:val="-2"/>
        </w:rPr>
        <w:t xml:space="preserve"> </w:t>
      </w:r>
      <w:r w:rsidRPr="008858B4">
        <w:t>the United States</w:t>
      </w:r>
      <w:r w:rsidRPr="00AF2304">
        <w:rPr>
          <w:spacing w:val="-2"/>
        </w:rPr>
        <w:t xml:space="preserve"> </w:t>
      </w:r>
      <w:r w:rsidR="0012225B">
        <w:t>g</w:t>
      </w:r>
      <w:r w:rsidRPr="008858B4">
        <w:t>overnment. Such nondisclosure</w:t>
      </w:r>
      <w:r w:rsidRPr="00AF2304">
        <w:rPr>
          <w:spacing w:val="53"/>
        </w:rPr>
        <w:t xml:space="preserve"> </w:t>
      </w:r>
      <w:r w:rsidRPr="008858B4">
        <w:t>or confidentiality</w:t>
      </w:r>
      <w:r w:rsidRPr="00AF2304">
        <w:rPr>
          <w:spacing w:val="-3"/>
        </w:rPr>
        <w:t xml:space="preserve"> </w:t>
      </w:r>
      <w:r w:rsidRPr="008858B4">
        <w:t>forms shall</w:t>
      </w:r>
      <w:r w:rsidRPr="00AF2304">
        <w:rPr>
          <w:spacing w:val="1"/>
        </w:rPr>
        <w:t xml:space="preserve"> </w:t>
      </w:r>
      <w:r w:rsidRPr="008858B4">
        <w:t>also</w:t>
      </w:r>
      <w:r w:rsidRPr="008858B4">
        <w:rPr>
          <w:spacing w:val="-2"/>
        </w:rPr>
        <w:t xml:space="preserve"> make</w:t>
      </w:r>
      <w:r w:rsidRPr="008858B4">
        <w:t xml:space="preserve"> it</w:t>
      </w:r>
      <w:r w:rsidRPr="00AF2304">
        <w:rPr>
          <w:spacing w:val="1"/>
        </w:rPr>
        <w:t xml:space="preserve"> </w:t>
      </w:r>
      <w:r w:rsidRPr="008858B4">
        <w:t>clear</w:t>
      </w:r>
      <w:r w:rsidRPr="00AF2304">
        <w:rPr>
          <w:spacing w:val="-2"/>
        </w:rPr>
        <w:t xml:space="preserve"> </w:t>
      </w:r>
      <w:r w:rsidRPr="008858B4">
        <w:t>that</w:t>
      </w:r>
      <w:r w:rsidRPr="00AF2304">
        <w:rPr>
          <w:spacing w:val="1"/>
        </w:rPr>
        <w:t xml:space="preserve"> </w:t>
      </w:r>
      <w:r w:rsidRPr="008858B4">
        <w:t>they</w:t>
      </w:r>
      <w:r w:rsidRPr="00AF2304">
        <w:rPr>
          <w:spacing w:val="-3"/>
        </w:rPr>
        <w:t xml:space="preserve"> </w:t>
      </w:r>
      <w:r w:rsidRPr="008858B4">
        <w:t>do not</w:t>
      </w:r>
      <w:r w:rsidRPr="00AF2304">
        <w:rPr>
          <w:spacing w:val="1"/>
        </w:rPr>
        <w:t xml:space="preserve"> </w:t>
      </w:r>
      <w:r w:rsidRPr="008858B4">
        <w:t>bar disclosures</w:t>
      </w:r>
      <w:r w:rsidRPr="00AF2304">
        <w:rPr>
          <w:spacing w:val="-2"/>
        </w:rPr>
        <w:t xml:space="preserve"> </w:t>
      </w:r>
      <w:r w:rsidRPr="008858B4">
        <w:t>to</w:t>
      </w:r>
      <w:r w:rsidRPr="00AF2304">
        <w:rPr>
          <w:spacing w:val="-3"/>
        </w:rPr>
        <w:t xml:space="preserve"> </w:t>
      </w:r>
      <w:r w:rsidRPr="008858B4">
        <w:t>Congress, or</w:t>
      </w:r>
      <w:r w:rsidRPr="00AF2304">
        <w:rPr>
          <w:spacing w:val="63"/>
        </w:rPr>
        <w:t xml:space="preserve"> </w:t>
      </w:r>
      <w:r w:rsidRPr="008858B4">
        <w:t>to an</w:t>
      </w:r>
      <w:r w:rsidRPr="00AF2304">
        <w:rPr>
          <w:spacing w:val="-2"/>
        </w:rPr>
        <w:t xml:space="preserve"> </w:t>
      </w:r>
      <w:r w:rsidRPr="008858B4">
        <w:t>authorized official</w:t>
      </w:r>
      <w:r w:rsidRPr="00AF2304">
        <w:rPr>
          <w:spacing w:val="1"/>
        </w:rPr>
        <w:t xml:space="preserve"> </w:t>
      </w:r>
      <w:r w:rsidRPr="008858B4">
        <w:rPr>
          <w:spacing w:val="-2"/>
        </w:rPr>
        <w:t xml:space="preserve">of </w:t>
      </w:r>
      <w:r w:rsidRPr="008858B4">
        <w:t>an executive agency</w:t>
      </w:r>
      <w:r w:rsidRPr="00AF2304">
        <w:rPr>
          <w:spacing w:val="-3"/>
        </w:rPr>
        <w:t xml:space="preserve"> </w:t>
      </w:r>
      <w:r w:rsidRPr="008858B4">
        <w:t>or</w:t>
      </w:r>
      <w:r w:rsidRPr="00AF2304">
        <w:rPr>
          <w:spacing w:val="4"/>
        </w:rPr>
        <w:t xml:space="preserve"> </w:t>
      </w:r>
      <w:r w:rsidRPr="008858B4">
        <w:t>the</w:t>
      </w:r>
      <w:r w:rsidRPr="00AF2304">
        <w:rPr>
          <w:spacing w:val="-2"/>
        </w:rPr>
        <w:t xml:space="preserve"> </w:t>
      </w:r>
      <w:r w:rsidRPr="008858B4">
        <w:t>Department</w:t>
      </w:r>
      <w:r w:rsidRPr="00AF2304">
        <w:rPr>
          <w:spacing w:val="1"/>
        </w:rPr>
        <w:t xml:space="preserve"> </w:t>
      </w:r>
      <w:r w:rsidRPr="008858B4">
        <w:t>of</w:t>
      </w:r>
      <w:r w:rsidRPr="00AF2304">
        <w:rPr>
          <w:spacing w:val="-2"/>
        </w:rPr>
        <w:t xml:space="preserve"> </w:t>
      </w:r>
      <w:r w:rsidRPr="008858B4">
        <w:t>Justice, that</w:t>
      </w:r>
      <w:r w:rsidRPr="00AF2304">
        <w:rPr>
          <w:spacing w:val="-2"/>
        </w:rPr>
        <w:t xml:space="preserve"> </w:t>
      </w:r>
      <w:r w:rsidRPr="008858B4">
        <w:t>are essential to reporting</w:t>
      </w:r>
      <w:r w:rsidRPr="00AF2304">
        <w:rPr>
          <w:spacing w:val="-3"/>
        </w:rPr>
        <w:t xml:space="preserve"> </w:t>
      </w:r>
      <w:r w:rsidRPr="008858B4">
        <w:t>a substantial</w:t>
      </w:r>
      <w:r w:rsidRPr="00AF2304">
        <w:rPr>
          <w:spacing w:val="1"/>
        </w:rPr>
        <w:t xml:space="preserve"> </w:t>
      </w:r>
      <w:r w:rsidRPr="008858B4">
        <w:t>violation</w:t>
      </w:r>
      <w:r w:rsidRPr="00AF2304">
        <w:rPr>
          <w:spacing w:val="-3"/>
        </w:rPr>
        <w:t xml:space="preserve"> </w:t>
      </w:r>
      <w:r w:rsidRPr="008858B4">
        <w:t>of</w:t>
      </w:r>
      <w:r w:rsidRPr="00AF2304">
        <w:rPr>
          <w:spacing w:val="-2"/>
        </w:rPr>
        <w:t xml:space="preserve"> </w:t>
      </w:r>
      <w:r w:rsidRPr="008858B4">
        <w:t>law.</w:t>
      </w:r>
    </w:p>
    <w:p w14:paraId="5AF3E83F" w14:textId="77777777" w:rsidR="00D7486C" w:rsidRPr="008858B4" w:rsidRDefault="00D7486C" w:rsidP="008858B4">
      <w:pPr>
        <w:pStyle w:val="ListParagraph"/>
        <w:ind w:left="764"/>
      </w:pPr>
    </w:p>
    <w:p w14:paraId="5A219F2A" w14:textId="72C65E6C" w:rsidR="00B07932" w:rsidRPr="00872882" w:rsidRDefault="004E672B" w:rsidP="00F836F4">
      <w:pPr>
        <w:pStyle w:val="FOAHeading3"/>
        <w:numPr>
          <w:ilvl w:val="0"/>
          <w:numId w:val="38"/>
        </w:numPr>
        <w:ind w:left="1440"/>
        <w:outlineLvl w:val="2"/>
      </w:pPr>
      <w:bookmarkStart w:id="542" w:name="_Toc519602428"/>
      <w:bookmarkStart w:id="543" w:name="_Toc109921757"/>
      <w:r w:rsidRPr="00C72CE2">
        <w:t>Statement of Federal Stewardship</w:t>
      </w:r>
      <w:bookmarkEnd w:id="542"/>
      <w:bookmarkEnd w:id="543"/>
    </w:p>
    <w:p w14:paraId="56E3E5C6" w14:textId="17FFE5FE" w:rsidR="00B07932" w:rsidRPr="00AF2304" w:rsidRDefault="004E672B" w:rsidP="00A53BBC">
      <w:pPr>
        <w:pStyle w:val="FOATemplateBody"/>
        <w:ind w:left="1440"/>
        <w:rPr>
          <w:rFonts w:asciiTheme="minorHAnsi" w:hAnsiTheme="minorHAnsi"/>
        </w:rPr>
      </w:pPr>
      <w:bookmarkStart w:id="544" w:name="_Toc378068050"/>
      <w:r w:rsidRPr="00AF2304">
        <w:rPr>
          <w:rFonts w:asciiTheme="minorHAnsi" w:hAnsiTheme="minorHAnsi"/>
        </w:rPr>
        <w:t xml:space="preserve">EERE will exercise normal </w:t>
      </w:r>
      <w:r w:rsidR="001F169D">
        <w:rPr>
          <w:rFonts w:asciiTheme="minorHAnsi" w:hAnsiTheme="minorHAnsi"/>
        </w:rPr>
        <w:t>f</w:t>
      </w:r>
      <w:r w:rsidR="001F169D" w:rsidRPr="00AF2304">
        <w:rPr>
          <w:rFonts w:asciiTheme="minorHAnsi" w:hAnsiTheme="minorHAnsi"/>
        </w:rPr>
        <w:t xml:space="preserve">ederal </w:t>
      </w:r>
      <w:r w:rsidRPr="00AF2304">
        <w:rPr>
          <w:rFonts w:asciiTheme="minorHAnsi" w:hAnsiTheme="minorHAnsi"/>
        </w:rPr>
        <w:t xml:space="preserve">stewardship in overseeing the project activities performed under EERE </w:t>
      </w:r>
      <w:r w:rsidR="00942A1A">
        <w:rPr>
          <w:rFonts w:asciiTheme="minorHAnsi" w:hAnsiTheme="minorHAnsi"/>
        </w:rPr>
        <w:t>a</w:t>
      </w:r>
      <w:r w:rsidR="00942A1A" w:rsidRPr="00AF2304">
        <w:rPr>
          <w:rFonts w:asciiTheme="minorHAnsi" w:hAnsiTheme="minorHAnsi"/>
        </w:rPr>
        <w:t>wards</w:t>
      </w:r>
      <w:r w:rsidRPr="00AF2304">
        <w:rPr>
          <w:rFonts w:asciiTheme="minorHAnsi" w:hAnsiTheme="minorHAnsi"/>
        </w:rPr>
        <w:t>. Stewardship Activities include, but are not limited to, conducting site visits; reviewing performance and financial reports</w:t>
      </w:r>
      <w:r w:rsidR="009701C7">
        <w:rPr>
          <w:rFonts w:asciiTheme="minorHAnsi" w:hAnsiTheme="minorHAnsi"/>
        </w:rPr>
        <w:t>;</w:t>
      </w:r>
      <w:r w:rsidRPr="00AF2304">
        <w:rPr>
          <w:rFonts w:asciiTheme="minorHAnsi" w:hAnsiTheme="minorHAnsi"/>
        </w:rPr>
        <w:t xml:space="preserve"> </w:t>
      </w:r>
      <w:proofErr w:type="gramStart"/>
      <w:r w:rsidRPr="00AF2304">
        <w:rPr>
          <w:rFonts w:asciiTheme="minorHAnsi" w:hAnsiTheme="minorHAnsi"/>
        </w:rPr>
        <w:t>providing assistance</w:t>
      </w:r>
      <w:proofErr w:type="gramEnd"/>
      <w:r w:rsidRPr="00AF2304">
        <w:rPr>
          <w:rFonts w:asciiTheme="minorHAnsi" w:hAnsiTheme="minorHAnsi"/>
        </w:rPr>
        <w:t xml:space="preserve"> and/or temporary intervention in </w:t>
      </w:r>
      <w:r w:rsidR="009701C7">
        <w:rPr>
          <w:rFonts w:asciiTheme="minorHAnsi" w:hAnsiTheme="minorHAnsi"/>
        </w:rPr>
        <w:t>un</w:t>
      </w:r>
      <w:r w:rsidRPr="00AF2304">
        <w:rPr>
          <w:rFonts w:asciiTheme="minorHAnsi" w:hAnsiTheme="minorHAnsi"/>
        </w:rPr>
        <w:t>usual circumstances to correct deficiencies that develop during the project; assuring compliance with terms and conditions; and reviewing technical performance after project completion to ensure that the project objectives have been accomplished.</w:t>
      </w:r>
      <w:bookmarkEnd w:id="544"/>
    </w:p>
    <w:p w14:paraId="7FF2BCC2" w14:textId="77777777" w:rsidR="00B07932" w:rsidRPr="00B5344E" w:rsidRDefault="00B07932" w:rsidP="00A53BBC"/>
    <w:p w14:paraId="1E406AE5" w14:textId="764C8A65" w:rsidR="00B07932" w:rsidRPr="00872882" w:rsidRDefault="004E672B" w:rsidP="00F836F4">
      <w:pPr>
        <w:pStyle w:val="FOAHeading3"/>
        <w:numPr>
          <w:ilvl w:val="0"/>
          <w:numId w:val="38"/>
        </w:numPr>
        <w:ind w:left="1440"/>
        <w:outlineLvl w:val="2"/>
      </w:pPr>
      <w:bookmarkStart w:id="545" w:name="_Toc519602429"/>
      <w:bookmarkStart w:id="546" w:name="_Toc109921758"/>
      <w:r w:rsidRPr="00C72CE2">
        <w:t>Statement of Substantial Involvement</w:t>
      </w:r>
      <w:bookmarkEnd w:id="545"/>
      <w:bookmarkEnd w:id="546"/>
    </w:p>
    <w:p w14:paraId="5EF4E9D4" w14:textId="5AE2B777" w:rsidR="00B07932" w:rsidRPr="008858B4" w:rsidRDefault="004E672B" w:rsidP="00A53BBC">
      <w:pPr>
        <w:ind w:left="1440"/>
        <w:rPr>
          <w:szCs w:val="24"/>
        </w:rPr>
      </w:pPr>
      <w:r w:rsidRPr="00120F39">
        <w:t>EERE has substantial involvement in work perform</w:t>
      </w:r>
      <w:r w:rsidRPr="009061D6">
        <w:t xml:space="preserve">ed under </w:t>
      </w:r>
      <w:r w:rsidR="00942A1A">
        <w:t>a</w:t>
      </w:r>
      <w:r w:rsidR="00942A1A" w:rsidRPr="009061D6">
        <w:t xml:space="preserve">wards </w:t>
      </w:r>
      <w:r w:rsidRPr="009061D6">
        <w:t xml:space="preserve">made </w:t>
      </w:r>
      <w:proofErr w:type="gramStart"/>
      <w:r w:rsidRPr="009061D6">
        <w:t>as a result of</w:t>
      </w:r>
      <w:proofErr w:type="gramEnd"/>
      <w:r w:rsidRPr="009061D6">
        <w:t xml:space="preserve"> this FOA.</w:t>
      </w:r>
      <w:r w:rsidR="001A3502">
        <w:t xml:space="preserve"> </w:t>
      </w:r>
      <w:r w:rsidRPr="009061D6">
        <w:t xml:space="preserve">EERE does not limit its involvement to the administrative requirements of the </w:t>
      </w:r>
      <w:r w:rsidR="00942A1A">
        <w:t>a</w:t>
      </w:r>
      <w:r w:rsidR="00942A1A" w:rsidRPr="009061D6">
        <w:t>ward</w:t>
      </w:r>
      <w:r w:rsidRPr="009061D6">
        <w:t xml:space="preserve">. Instead, EERE has substantial involvement in the direction and redirection of the technical aspects of the </w:t>
      </w:r>
      <w:proofErr w:type="gramStart"/>
      <w:r w:rsidRPr="009061D6">
        <w:t>project as a whole</w:t>
      </w:r>
      <w:proofErr w:type="gramEnd"/>
      <w:r w:rsidRPr="009061D6">
        <w:t>. Substantial involvement includes, but is not limited to, the following:</w:t>
      </w:r>
    </w:p>
    <w:p w14:paraId="74BB5E4D" w14:textId="77777777" w:rsidR="00B07932" w:rsidRDefault="00B07932" w:rsidP="005817D3">
      <w:pPr>
        <w:ind w:left="1440"/>
        <w:rPr>
          <w:szCs w:val="24"/>
        </w:rPr>
      </w:pPr>
    </w:p>
    <w:p w14:paraId="531DAC94" w14:textId="1B8B263F" w:rsidR="00B07932" w:rsidRDefault="004E672B" w:rsidP="00F836F4">
      <w:pPr>
        <w:pStyle w:val="ListParagraph"/>
        <w:numPr>
          <w:ilvl w:val="0"/>
          <w:numId w:val="16"/>
        </w:numPr>
        <w:autoSpaceDN w:val="0"/>
        <w:spacing w:after="240"/>
        <w:ind w:left="1800"/>
        <w:contextualSpacing w:val="0"/>
      </w:pPr>
      <w:r w:rsidRPr="00120F39">
        <w:t xml:space="preserve">EERE shares responsibility with the recipient for the management, control, direction, and performance of the </w:t>
      </w:r>
      <w:r w:rsidR="00B27482">
        <w:t>p</w:t>
      </w:r>
      <w:r w:rsidR="00B27482" w:rsidRPr="00120F39">
        <w:t>roject</w:t>
      </w:r>
      <w:r w:rsidRPr="00120F39">
        <w:t>.</w:t>
      </w:r>
    </w:p>
    <w:p w14:paraId="28971E54" w14:textId="5EA62159" w:rsidR="00B07932" w:rsidRDefault="004E672B" w:rsidP="00F836F4">
      <w:pPr>
        <w:pStyle w:val="ListParagraph"/>
        <w:numPr>
          <w:ilvl w:val="0"/>
          <w:numId w:val="16"/>
        </w:numPr>
        <w:autoSpaceDN w:val="0"/>
        <w:spacing w:after="240"/>
        <w:ind w:left="1800"/>
        <w:contextualSpacing w:val="0"/>
      </w:pPr>
      <w:r w:rsidRPr="00120F39">
        <w:t>EERE may int</w:t>
      </w:r>
      <w:r w:rsidRPr="009061D6">
        <w:t xml:space="preserve">ervene in the conduct or performance of work under this </w:t>
      </w:r>
      <w:r w:rsidR="00942A1A">
        <w:t>a</w:t>
      </w:r>
      <w:r w:rsidR="00942A1A" w:rsidRPr="009061D6">
        <w:t xml:space="preserve">ward </w:t>
      </w:r>
      <w:r w:rsidRPr="009061D6">
        <w:t>for programmatic reasons.</w:t>
      </w:r>
      <w:r w:rsidR="001A3502">
        <w:t xml:space="preserve"> </w:t>
      </w:r>
      <w:r w:rsidRPr="009061D6">
        <w:t>Intervention includes the interruption or modification of the conduct or performance of project activities.</w:t>
      </w:r>
    </w:p>
    <w:p w14:paraId="06B72CEE" w14:textId="2B19ADDF" w:rsidR="00B07932" w:rsidRDefault="004E672B" w:rsidP="00F836F4">
      <w:pPr>
        <w:pStyle w:val="ListParagraph"/>
        <w:numPr>
          <w:ilvl w:val="0"/>
          <w:numId w:val="16"/>
        </w:numPr>
        <w:autoSpaceDN w:val="0"/>
        <w:spacing w:after="240"/>
        <w:ind w:left="1800"/>
        <w:contextualSpacing w:val="0"/>
      </w:pPr>
      <w:r w:rsidRPr="00120F39">
        <w:t xml:space="preserve">EERE may redirect or discontinue funding the </w:t>
      </w:r>
      <w:r w:rsidR="00B27482">
        <w:t>p</w:t>
      </w:r>
      <w:r w:rsidR="00B27482" w:rsidRPr="00120F39">
        <w:t xml:space="preserve">roject </w:t>
      </w:r>
      <w:r w:rsidRPr="00120F39">
        <w:t>based</w:t>
      </w:r>
      <w:r w:rsidRPr="009061D6">
        <w:t xml:space="preserve"> on the outcome of EERE’s evaluation of the </w:t>
      </w:r>
      <w:r w:rsidR="00B27482">
        <w:t>p</w:t>
      </w:r>
      <w:r w:rsidR="00B27482" w:rsidRPr="009061D6">
        <w:t xml:space="preserve">roject </w:t>
      </w:r>
      <w:r w:rsidRPr="009061D6">
        <w:t>at the Go/No</w:t>
      </w:r>
      <w:r w:rsidR="001C1BE4" w:rsidRPr="009061D6">
        <w:t>-</w:t>
      </w:r>
      <w:r w:rsidRPr="009061D6">
        <w:t xml:space="preserve">Go decision point(s). </w:t>
      </w:r>
    </w:p>
    <w:p w14:paraId="7C0DAD20" w14:textId="2A918CC0" w:rsidR="00B07932" w:rsidRPr="008858B4" w:rsidRDefault="004E672B" w:rsidP="00F836F4">
      <w:pPr>
        <w:pStyle w:val="ListParagraph"/>
        <w:numPr>
          <w:ilvl w:val="0"/>
          <w:numId w:val="16"/>
        </w:numPr>
        <w:autoSpaceDN w:val="0"/>
        <w:spacing w:after="240"/>
        <w:ind w:left="1800"/>
        <w:contextualSpacing w:val="0"/>
      </w:pPr>
      <w:r w:rsidRPr="00120F39">
        <w:t>EERE participates in major project decision-making processes.</w:t>
      </w:r>
    </w:p>
    <w:p w14:paraId="0D98A18C" w14:textId="638248E2" w:rsidR="00B07932" w:rsidRPr="00872882" w:rsidRDefault="004E672B" w:rsidP="00F836F4">
      <w:pPr>
        <w:pStyle w:val="FOAHeading3"/>
        <w:numPr>
          <w:ilvl w:val="0"/>
          <w:numId w:val="38"/>
        </w:numPr>
        <w:ind w:left="1440"/>
        <w:outlineLvl w:val="2"/>
      </w:pPr>
      <w:bookmarkStart w:id="547" w:name="_Toc519602431"/>
      <w:bookmarkStart w:id="548" w:name="_Toc109921759"/>
      <w:r w:rsidRPr="00C72CE2">
        <w:t>Subject Invention Utilization Reporting</w:t>
      </w:r>
      <w:bookmarkEnd w:id="547"/>
      <w:bookmarkEnd w:id="548"/>
    </w:p>
    <w:p w14:paraId="337A3959" w14:textId="3EFD4CAB" w:rsidR="00B07932" w:rsidRPr="008858B4" w:rsidRDefault="004E672B" w:rsidP="00A53BBC">
      <w:pPr>
        <w:ind w:left="1440"/>
      </w:pPr>
      <w:proofErr w:type="gramStart"/>
      <w:r w:rsidRPr="008858B4">
        <w:t>In order to</w:t>
      </w:r>
      <w:proofErr w:type="gramEnd"/>
      <w:r w:rsidRPr="008858B4">
        <w:t xml:space="preserve"> ensure that </w:t>
      </w:r>
      <w:r w:rsidR="00647D5B">
        <w:t>p</w:t>
      </w:r>
      <w:r w:rsidR="00647D5B" w:rsidRPr="008858B4">
        <w:t xml:space="preserve">rime </w:t>
      </w:r>
      <w:r w:rsidR="00647D5B">
        <w:t>r</w:t>
      </w:r>
      <w:r w:rsidR="00647D5B" w:rsidRPr="008858B4">
        <w:t xml:space="preserve">ecipients </w:t>
      </w:r>
      <w:r w:rsidRPr="008858B4">
        <w:t xml:space="preserve">and </w:t>
      </w:r>
      <w:r w:rsidR="00496B2A">
        <w:t>s</w:t>
      </w:r>
      <w:r w:rsidR="00496B2A" w:rsidRPr="008858B4">
        <w:t xml:space="preserve">ubrecipients </w:t>
      </w:r>
      <w:r w:rsidRPr="008858B4">
        <w:t xml:space="preserve">holding title to subject inventions are taking the appropriate steps to commercialize subject inventions, EERE may require that each </w:t>
      </w:r>
      <w:r w:rsidR="00647D5B">
        <w:t>p</w:t>
      </w:r>
      <w:r w:rsidR="00647D5B" w:rsidRPr="008858B4">
        <w:t xml:space="preserve">rime </w:t>
      </w:r>
      <w:r w:rsidR="00647D5B">
        <w:t>r</w:t>
      </w:r>
      <w:r w:rsidR="00647D5B" w:rsidRPr="008858B4">
        <w:t xml:space="preserve">ecipient </w:t>
      </w:r>
      <w:r w:rsidRPr="008858B4">
        <w:t>holding title to a subject invention submit annual reports for</w:t>
      </w:r>
      <w:r w:rsidR="006641C5">
        <w:t xml:space="preserve"> ten (</w:t>
      </w:r>
      <w:r w:rsidRPr="008858B4">
        <w:t>10</w:t>
      </w:r>
      <w:r w:rsidR="006641C5">
        <w:t>)</w:t>
      </w:r>
      <w:r w:rsidRPr="008858B4">
        <w:t xml:space="preserve"> years from the date the subject invention was disclosed to EERE on the utilization of the subject invention and efforts made by </w:t>
      </w:r>
      <w:r w:rsidR="00647D5B">
        <w:t>p</w:t>
      </w:r>
      <w:r w:rsidR="00647D5B" w:rsidRPr="008858B4">
        <w:t xml:space="preserve">rime </w:t>
      </w:r>
      <w:r w:rsidR="00647D5B">
        <w:t>r</w:t>
      </w:r>
      <w:r w:rsidR="00647D5B" w:rsidRPr="008858B4">
        <w:t xml:space="preserve">ecipient </w:t>
      </w:r>
      <w:r w:rsidRPr="008858B4">
        <w:t xml:space="preserve">or their licensees or assignees to stimulate such utilization. The reports must include information regarding the status of development, date of first commercial sale or use, gross royalties received by the </w:t>
      </w:r>
      <w:r w:rsidR="00647D5B">
        <w:t>p</w:t>
      </w:r>
      <w:r w:rsidR="00647D5B" w:rsidRPr="008858B4">
        <w:t xml:space="preserve">rime </w:t>
      </w:r>
      <w:r w:rsidR="00647D5B">
        <w:t>r</w:t>
      </w:r>
      <w:r w:rsidR="00647D5B" w:rsidRPr="008858B4">
        <w:t>ecipient</w:t>
      </w:r>
      <w:r w:rsidRPr="008858B4">
        <w:t>, and such other data and information as EERE may specify.</w:t>
      </w:r>
      <w:r w:rsidR="001A3502">
        <w:rPr>
          <w:color w:val="000000" w:themeColor="text1"/>
        </w:rPr>
        <w:t xml:space="preserve"> </w:t>
      </w:r>
    </w:p>
    <w:p w14:paraId="72F6DBBA" w14:textId="77777777" w:rsidR="00B07932" w:rsidRPr="008858B4" w:rsidRDefault="00B07932" w:rsidP="008858B4"/>
    <w:p w14:paraId="03586AF5" w14:textId="6C3A9B12" w:rsidR="002504D2" w:rsidRPr="00872882" w:rsidRDefault="004E672B" w:rsidP="00F836F4">
      <w:pPr>
        <w:pStyle w:val="FOAHeading3"/>
        <w:numPr>
          <w:ilvl w:val="0"/>
          <w:numId w:val="38"/>
        </w:numPr>
        <w:ind w:left="1440"/>
        <w:outlineLvl w:val="2"/>
      </w:pPr>
      <w:bookmarkStart w:id="549" w:name="_Toc442878457"/>
      <w:bookmarkStart w:id="550" w:name="_Toc519602432"/>
      <w:bookmarkStart w:id="551" w:name="_Toc109921760"/>
      <w:r w:rsidRPr="00C72CE2">
        <w:t>Intellectual Property Provisions</w:t>
      </w:r>
      <w:bookmarkEnd w:id="549"/>
      <w:bookmarkEnd w:id="550"/>
      <w:bookmarkEnd w:id="551"/>
    </w:p>
    <w:p w14:paraId="720BDA32" w14:textId="77777777" w:rsidR="00B5344E" w:rsidRDefault="004E672B" w:rsidP="00A53BBC">
      <w:pPr>
        <w:ind w:left="1440"/>
      </w:pPr>
      <w:r w:rsidRPr="008858B4">
        <w:t xml:space="preserve">The standard DOE financial assistance intellectual property provisions applicable to the various types of recipients are located at </w:t>
      </w:r>
      <w:hyperlink r:id="rId74" w:history="1">
        <w:r w:rsidR="001C1BE4">
          <w:rPr>
            <w:rStyle w:val="Hyperlink"/>
          </w:rPr>
          <w:t>http://energy.gov/gc/standard-intellectual-property-ip-provisions-financial-assistance-awards</w:t>
        </w:r>
      </w:hyperlink>
      <w:r>
        <w:t xml:space="preserve">. </w:t>
      </w:r>
    </w:p>
    <w:p w14:paraId="4BBE9BE9" w14:textId="77777777" w:rsidR="002504D2" w:rsidRPr="008858B4" w:rsidRDefault="002504D2" w:rsidP="00A53BBC">
      <w:pPr>
        <w:ind w:left="1620"/>
      </w:pPr>
    </w:p>
    <w:p w14:paraId="6A701B46" w14:textId="4DFC597A" w:rsidR="002504D2" w:rsidRPr="00872882" w:rsidRDefault="004E672B" w:rsidP="00F836F4">
      <w:pPr>
        <w:pStyle w:val="FOAHeading3"/>
        <w:numPr>
          <w:ilvl w:val="0"/>
          <w:numId w:val="38"/>
        </w:numPr>
        <w:ind w:left="1440"/>
        <w:outlineLvl w:val="2"/>
      </w:pPr>
      <w:bookmarkStart w:id="552" w:name="_Toc517799267"/>
      <w:bookmarkStart w:id="553" w:name="_Toc519602433"/>
      <w:bookmarkStart w:id="554" w:name="_Toc519602599"/>
      <w:bookmarkStart w:id="555" w:name="_Toc520382708"/>
      <w:bookmarkStart w:id="556" w:name="_Toc520455709"/>
      <w:bookmarkStart w:id="557" w:name="_Toc520455879"/>
      <w:bookmarkStart w:id="558" w:name="_Toc442878458"/>
      <w:bookmarkStart w:id="559" w:name="_Toc519602434"/>
      <w:bookmarkStart w:id="560" w:name="_Toc109921761"/>
      <w:bookmarkEnd w:id="552"/>
      <w:bookmarkEnd w:id="553"/>
      <w:bookmarkEnd w:id="554"/>
      <w:bookmarkEnd w:id="555"/>
      <w:bookmarkEnd w:id="556"/>
      <w:bookmarkEnd w:id="557"/>
      <w:r w:rsidRPr="00C72CE2">
        <w:t>Reporting</w:t>
      </w:r>
      <w:bookmarkEnd w:id="558"/>
      <w:bookmarkEnd w:id="559"/>
      <w:bookmarkEnd w:id="560"/>
    </w:p>
    <w:p w14:paraId="69D34044" w14:textId="6984BC14" w:rsidR="00B5344E" w:rsidRDefault="000840BC" w:rsidP="00A53BBC">
      <w:pPr>
        <w:ind w:left="1440"/>
      </w:pPr>
      <w:r>
        <w:t>Potential r</w:t>
      </w:r>
      <w:r w:rsidR="004E672B" w:rsidRPr="008858B4">
        <w:t>eporting requirements are identified on the Federal Assistance Reporting</w:t>
      </w:r>
      <w:r w:rsidR="001F19A6">
        <w:t xml:space="preserve"> </w:t>
      </w:r>
      <w:r w:rsidR="004E672B" w:rsidRPr="008858B4">
        <w:t xml:space="preserve">Checklist, attached to the award agreement. </w:t>
      </w:r>
      <w:r w:rsidR="00135ADC" w:rsidRPr="008858B4">
        <w:t>Th</w:t>
      </w:r>
      <w:r w:rsidR="00135ADC">
        <w:t>is helpful</w:t>
      </w:r>
      <w:r w:rsidR="00135ADC" w:rsidRPr="008858B4">
        <w:t xml:space="preserve"> </w:t>
      </w:r>
      <w:r w:rsidR="00B27482">
        <w:t xml:space="preserve">EERE </w:t>
      </w:r>
      <w:r w:rsidR="004E672B" w:rsidRPr="008858B4">
        <w:t xml:space="preserve">checklist can be accessed at </w:t>
      </w:r>
      <w:hyperlink r:id="rId75" w:history="1">
        <w:r w:rsidR="004E672B" w:rsidRPr="00C430D4">
          <w:rPr>
            <w:rStyle w:val="Hyperlink"/>
          </w:rPr>
          <w:t>https://www.energy.gov/eere/funding/eere-funding-application-and-management-forms</w:t>
        </w:r>
      </w:hyperlink>
      <w:r w:rsidR="004E672B">
        <w:t xml:space="preserve">. </w:t>
      </w:r>
      <w:r w:rsidR="00135ADC">
        <w:t>See Attachment 2 Federal Assistance Reporting Checklist, after clicking on “Model Cooperative Agreement</w:t>
      </w:r>
      <w:r w:rsidR="00070D39">
        <w:t>”</w:t>
      </w:r>
      <w:r w:rsidR="00B27482">
        <w:t xml:space="preserve"> under the Award Package section</w:t>
      </w:r>
      <w:r w:rsidR="00AF304F">
        <w:t>.</w:t>
      </w:r>
      <w:r>
        <w:t xml:space="preserve"> The reporting requirements are subject to change.</w:t>
      </w:r>
    </w:p>
    <w:p w14:paraId="55812A0D" w14:textId="77777777" w:rsidR="000840BC" w:rsidRDefault="000840BC" w:rsidP="006E3B7E">
      <w:pPr>
        <w:pStyle w:val="FOATemplateBody"/>
        <w:ind w:left="1440"/>
      </w:pPr>
    </w:p>
    <w:p w14:paraId="5737244A" w14:textId="7260597D" w:rsidR="000840BC" w:rsidRDefault="000840BC" w:rsidP="00DB1DE6">
      <w:pPr>
        <w:pStyle w:val="BodyText"/>
        <w:ind w:left="1440"/>
      </w:pPr>
      <w:r>
        <w:t>Projects under this FOA will be funded, in whole or in part, with funds appropriated</w:t>
      </w:r>
      <w:r>
        <w:rPr>
          <w:spacing w:val="-4"/>
        </w:rPr>
        <w:t xml:space="preserve"> </w:t>
      </w:r>
      <w:r>
        <w:t>by</w:t>
      </w:r>
      <w:r>
        <w:rPr>
          <w:spacing w:val="-3"/>
        </w:rPr>
        <w:t xml:space="preserve"> </w:t>
      </w:r>
      <w:r>
        <w:t>the</w:t>
      </w:r>
      <w:r>
        <w:rPr>
          <w:spacing w:val="-3"/>
        </w:rPr>
        <w:t xml:space="preserve"> </w:t>
      </w:r>
      <w:r>
        <w:t>BIL.</w:t>
      </w:r>
      <w:r>
        <w:rPr>
          <w:spacing w:val="40"/>
        </w:rPr>
        <w:t xml:space="preserve"> </w:t>
      </w:r>
      <w:r>
        <w:t>Be</w:t>
      </w:r>
      <w:r>
        <w:rPr>
          <w:spacing w:val="-3"/>
        </w:rPr>
        <w:t xml:space="preserve"> </w:t>
      </w:r>
      <w:r>
        <w:t>advised</w:t>
      </w:r>
      <w:r>
        <w:rPr>
          <w:spacing w:val="-4"/>
        </w:rPr>
        <w:t xml:space="preserve"> </w:t>
      </w:r>
      <w:r>
        <w:t>that</w:t>
      </w:r>
      <w:r>
        <w:rPr>
          <w:spacing w:val="-4"/>
        </w:rPr>
        <w:t xml:space="preserve"> </w:t>
      </w:r>
      <w:r>
        <w:t>additional</w:t>
      </w:r>
      <w:r>
        <w:rPr>
          <w:spacing w:val="-4"/>
        </w:rPr>
        <w:t xml:space="preserve"> </w:t>
      </w:r>
      <w:r>
        <w:t>reporting</w:t>
      </w:r>
      <w:r>
        <w:rPr>
          <w:spacing w:val="-4"/>
        </w:rPr>
        <w:t xml:space="preserve"> </w:t>
      </w:r>
      <w:r>
        <w:t>requirements</w:t>
      </w:r>
      <w:r>
        <w:rPr>
          <w:spacing w:val="-4"/>
        </w:rPr>
        <w:t xml:space="preserve"> </w:t>
      </w:r>
      <w:r>
        <w:t>may apply to projects funded by the BIL.</w:t>
      </w:r>
      <w:r>
        <w:rPr>
          <w:spacing w:val="40"/>
        </w:rPr>
        <w:t xml:space="preserve"> </w:t>
      </w:r>
      <w:r>
        <w:t>As part of tracking progress toward key departmental goals – ensuring justice and equity, creating</w:t>
      </w:r>
      <w:r w:rsidR="00BD2F95">
        <w:t xml:space="preserve"> quality</w:t>
      </w:r>
      <w:r>
        <w:t xml:space="preserve"> jobs, boosting domestic manufacturing, reducing greenhouse gas emissions, and advancing a pathway to private sector – DOE may require specific data collection. Examples of data that may be collected include:</w:t>
      </w:r>
    </w:p>
    <w:p w14:paraId="61A83542" w14:textId="77777777" w:rsidR="00946DEA" w:rsidRDefault="0050777F" w:rsidP="00F836F4">
      <w:pPr>
        <w:pStyle w:val="ListParagraph"/>
        <w:widowControl w:val="0"/>
        <w:numPr>
          <w:ilvl w:val="0"/>
          <w:numId w:val="99"/>
        </w:numPr>
        <w:autoSpaceDE w:val="0"/>
        <w:autoSpaceDN w:val="0"/>
        <w:ind w:left="1800"/>
        <w:contextualSpacing w:val="0"/>
      </w:pPr>
      <w:r>
        <w:t xml:space="preserve">Community Benefits </w:t>
      </w:r>
      <w:r w:rsidR="00946DEA">
        <w:t>data, including:</w:t>
      </w:r>
    </w:p>
    <w:p w14:paraId="7978167A" w14:textId="7976E7D1" w:rsidR="000840BC" w:rsidRDefault="000840BC" w:rsidP="00F836F4">
      <w:pPr>
        <w:pStyle w:val="ListParagraph"/>
        <w:widowControl w:val="0"/>
        <w:numPr>
          <w:ilvl w:val="1"/>
          <w:numId w:val="99"/>
        </w:numPr>
        <w:autoSpaceDE w:val="0"/>
        <w:autoSpaceDN w:val="0"/>
        <w:contextualSpacing w:val="0"/>
      </w:pPr>
      <w:r>
        <w:t>Minority Business Enterprises, Minority Owned Businesses, Woman Owned</w:t>
      </w:r>
      <w:r>
        <w:rPr>
          <w:spacing w:val="-5"/>
        </w:rPr>
        <w:t xml:space="preserve"> </w:t>
      </w:r>
      <w:r>
        <w:t>Businesses</w:t>
      </w:r>
      <w:r>
        <w:rPr>
          <w:spacing w:val="-5"/>
        </w:rPr>
        <w:t xml:space="preserve"> </w:t>
      </w:r>
      <w:r>
        <w:t>and</w:t>
      </w:r>
      <w:r>
        <w:rPr>
          <w:spacing w:val="-5"/>
        </w:rPr>
        <w:t xml:space="preserve"> </w:t>
      </w:r>
      <w:r>
        <w:t>Veteran</w:t>
      </w:r>
      <w:r>
        <w:rPr>
          <w:spacing w:val="-5"/>
        </w:rPr>
        <w:t xml:space="preserve"> </w:t>
      </w:r>
      <w:r>
        <w:t>Owned</w:t>
      </w:r>
      <w:r>
        <w:rPr>
          <w:spacing w:val="-5"/>
        </w:rPr>
        <w:t xml:space="preserve"> </w:t>
      </w:r>
      <w:r>
        <w:t>Businesses</w:t>
      </w:r>
      <w:r>
        <w:rPr>
          <w:spacing w:val="-5"/>
        </w:rPr>
        <w:t xml:space="preserve"> </w:t>
      </w:r>
      <w:r>
        <w:t>acting</w:t>
      </w:r>
      <w:r>
        <w:rPr>
          <w:spacing w:val="-5"/>
        </w:rPr>
        <w:t xml:space="preserve"> </w:t>
      </w:r>
      <w:r>
        <w:t>as</w:t>
      </w:r>
      <w:r>
        <w:rPr>
          <w:spacing w:val="-4"/>
        </w:rPr>
        <w:t xml:space="preserve"> </w:t>
      </w:r>
      <w:r>
        <w:t>vendors</w:t>
      </w:r>
      <w:r>
        <w:rPr>
          <w:spacing w:val="-5"/>
        </w:rPr>
        <w:t xml:space="preserve"> </w:t>
      </w:r>
      <w:r>
        <w:t xml:space="preserve">and sub-contractors for bids on supplies, </w:t>
      </w:r>
      <w:proofErr w:type="gramStart"/>
      <w:r>
        <w:t>services</w:t>
      </w:r>
      <w:proofErr w:type="gramEnd"/>
      <w:r>
        <w:t xml:space="preserve"> and equipment.</w:t>
      </w:r>
    </w:p>
    <w:p w14:paraId="0F03403B" w14:textId="285FFC33" w:rsidR="000840BC" w:rsidRPr="00DB1DE6" w:rsidRDefault="000840BC" w:rsidP="00F836F4">
      <w:pPr>
        <w:pStyle w:val="ListParagraph"/>
        <w:widowControl w:val="0"/>
        <w:numPr>
          <w:ilvl w:val="1"/>
          <w:numId w:val="99"/>
        </w:numPr>
        <w:autoSpaceDE w:val="0"/>
        <w:autoSpaceDN w:val="0"/>
        <w:spacing w:before="1"/>
        <w:contextualSpacing w:val="0"/>
      </w:pPr>
      <w:r>
        <w:t>Value,</w:t>
      </w:r>
      <w:r>
        <w:rPr>
          <w:spacing w:val="-4"/>
        </w:rPr>
        <w:t xml:space="preserve"> </w:t>
      </w:r>
      <w:r>
        <w:t>number,</w:t>
      </w:r>
      <w:r>
        <w:rPr>
          <w:spacing w:val="-3"/>
        </w:rPr>
        <w:t xml:space="preserve"> </w:t>
      </w:r>
      <w:r>
        <w:t>and</w:t>
      </w:r>
      <w:r>
        <w:rPr>
          <w:spacing w:val="-3"/>
        </w:rPr>
        <w:t xml:space="preserve"> </w:t>
      </w:r>
      <w:r>
        <w:t>type</w:t>
      </w:r>
      <w:r>
        <w:rPr>
          <w:spacing w:val="-2"/>
        </w:rPr>
        <w:t xml:space="preserve"> </w:t>
      </w:r>
      <w:r>
        <w:t>of</w:t>
      </w:r>
      <w:r>
        <w:rPr>
          <w:spacing w:val="-3"/>
        </w:rPr>
        <w:t xml:space="preserve"> </w:t>
      </w:r>
      <w:r>
        <w:t>partnerships</w:t>
      </w:r>
      <w:r>
        <w:rPr>
          <w:spacing w:val="-3"/>
        </w:rPr>
        <w:t xml:space="preserve"> </w:t>
      </w:r>
      <w:r>
        <w:t>with</w:t>
      </w:r>
      <w:r>
        <w:rPr>
          <w:spacing w:val="-2"/>
        </w:rPr>
        <w:t xml:space="preserve"> </w:t>
      </w:r>
      <w:r>
        <w:rPr>
          <w:spacing w:val="-4"/>
        </w:rPr>
        <w:t>MSIs</w:t>
      </w:r>
    </w:p>
    <w:p w14:paraId="47CA9E2F" w14:textId="66055A6E" w:rsidR="000840BC" w:rsidRPr="00073676" w:rsidRDefault="00070D39" w:rsidP="00F836F4">
      <w:pPr>
        <w:pStyle w:val="ListParagraph"/>
        <w:widowControl w:val="0"/>
        <w:numPr>
          <w:ilvl w:val="1"/>
          <w:numId w:val="99"/>
        </w:numPr>
        <w:autoSpaceDE w:val="0"/>
        <w:autoSpaceDN w:val="0"/>
        <w:contextualSpacing w:val="0"/>
      </w:pPr>
      <w:r>
        <w:t xml:space="preserve">Workforce and Community Agreement, including </w:t>
      </w:r>
      <w:r w:rsidR="000840BC">
        <w:t>Community</w:t>
      </w:r>
      <w:r w:rsidR="000840BC">
        <w:rPr>
          <w:spacing w:val="-7"/>
        </w:rPr>
        <w:t xml:space="preserve"> </w:t>
      </w:r>
      <w:r w:rsidR="000840BC">
        <w:t>Benefits</w:t>
      </w:r>
      <w:r w:rsidR="000840BC">
        <w:rPr>
          <w:spacing w:val="-7"/>
        </w:rPr>
        <w:t xml:space="preserve"> </w:t>
      </w:r>
      <w:r w:rsidR="000840BC">
        <w:t>Agreement</w:t>
      </w:r>
      <w:r>
        <w:t>, Community Workforce Agreement,</w:t>
      </w:r>
      <w:r w:rsidR="000840BC">
        <w:rPr>
          <w:spacing w:val="-7"/>
        </w:rPr>
        <w:t xml:space="preserve"> </w:t>
      </w:r>
      <w:r w:rsidR="000840BC">
        <w:t>or</w:t>
      </w:r>
      <w:r w:rsidR="000840BC">
        <w:rPr>
          <w:spacing w:val="-6"/>
        </w:rPr>
        <w:t xml:space="preserve"> </w:t>
      </w:r>
      <w:r w:rsidR="000840BC">
        <w:t>Good</w:t>
      </w:r>
      <w:r w:rsidR="000840BC">
        <w:rPr>
          <w:spacing w:val="-7"/>
        </w:rPr>
        <w:t xml:space="preserve"> </w:t>
      </w:r>
      <w:r w:rsidR="000840BC">
        <w:t>Neighbor</w:t>
      </w:r>
      <w:r w:rsidR="000840BC">
        <w:rPr>
          <w:spacing w:val="-6"/>
        </w:rPr>
        <w:t xml:space="preserve"> </w:t>
      </w:r>
      <w:r w:rsidR="000840BC">
        <w:t xml:space="preserve">Agreements </w:t>
      </w:r>
      <w:r w:rsidR="000840BC">
        <w:rPr>
          <w:spacing w:val="-2"/>
        </w:rPr>
        <w:t>negotiated</w:t>
      </w:r>
    </w:p>
    <w:p w14:paraId="766B0CF8" w14:textId="33C7EDCE" w:rsidR="001733B5" w:rsidRDefault="001733B5" w:rsidP="00F836F4">
      <w:pPr>
        <w:pStyle w:val="ListParagraph"/>
        <w:widowControl w:val="0"/>
        <w:numPr>
          <w:ilvl w:val="1"/>
          <w:numId w:val="99"/>
        </w:numPr>
        <w:autoSpaceDE w:val="0"/>
        <w:autoSpaceDN w:val="0"/>
        <w:contextualSpacing w:val="0"/>
      </w:pPr>
      <w:r>
        <w:t xml:space="preserve">Level </w:t>
      </w:r>
      <w:r w:rsidR="002B0337">
        <w:t xml:space="preserve">and type </w:t>
      </w:r>
      <w:r>
        <w:t>of stakeholder engagement</w:t>
      </w:r>
    </w:p>
    <w:p w14:paraId="055AEFEC" w14:textId="7131FF75" w:rsidR="000840BC" w:rsidRPr="00DB1DE6" w:rsidRDefault="000840BC" w:rsidP="00F836F4">
      <w:pPr>
        <w:pStyle w:val="ListParagraph"/>
        <w:widowControl w:val="0"/>
        <w:numPr>
          <w:ilvl w:val="0"/>
          <w:numId w:val="99"/>
        </w:numPr>
        <w:autoSpaceDE w:val="0"/>
        <w:autoSpaceDN w:val="0"/>
        <w:spacing w:before="1"/>
        <w:ind w:left="1800"/>
        <w:contextualSpacing w:val="0"/>
      </w:pPr>
      <w:r>
        <w:t>Funding</w:t>
      </w:r>
      <w:r>
        <w:rPr>
          <w:spacing w:val="-7"/>
        </w:rPr>
        <w:t xml:space="preserve"> </w:t>
      </w:r>
      <w:r>
        <w:rPr>
          <w:spacing w:val="-2"/>
        </w:rPr>
        <w:t>leveraged</w:t>
      </w:r>
      <w:r w:rsidR="001733B5">
        <w:rPr>
          <w:spacing w:val="-2"/>
        </w:rPr>
        <w:t>, follow-on-funding, intellectual property generation and utilization</w:t>
      </w:r>
    </w:p>
    <w:p w14:paraId="7C136597" w14:textId="5677FFBF" w:rsidR="000840BC" w:rsidRDefault="000840BC" w:rsidP="000840BC">
      <w:pPr>
        <w:widowControl w:val="0"/>
        <w:tabs>
          <w:tab w:val="left" w:pos="2279"/>
          <w:tab w:val="left" w:pos="2280"/>
        </w:tabs>
        <w:autoSpaceDE w:val="0"/>
        <w:autoSpaceDN w:val="0"/>
        <w:spacing w:before="1"/>
      </w:pPr>
    </w:p>
    <w:p w14:paraId="549B14CF" w14:textId="5C7A1B8B" w:rsidR="000840BC" w:rsidRDefault="000840BC" w:rsidP="00DB1DE6">
      <w:pPr>
        <w:widowControl w:val="0"/>
        <w:tabs>
          <w:tab w:val="left" w:pos="2279"/>
          <w:tab w:val="left" w:pos="2280"/>
        </w:tabs>
        <w:autoSpaceDE w:val="0"/>
        <w:autoSpaceDN w:val="0"/>
        <w:spacing w:before="1"/>
        <w:ind w:left="1440"/>
      </w:pPr>
      <w:r>
        <w:t>Data collection may be required at the start of a project, during a project’s performance</w:t>
      </w:r>
      <w:r>
        <w:rPr>
          <w:spacing w:val="-4"/>
        </w:rPr>
        <w:t xml:space="preserve"> </w:t>
      </w:r>
      <w:r>
        <w:t>period,</w:t>
      </w:r>
      <w:r>
        <w:rPr>
          <w:spacing w:val="-5"/>
        </w:rPr>
        <w:t xml:space="preserve"> </w:t>
      </w:r>
      <w:r>
        <w:t>upon</w:t>
      </w:r>
      <w:r>
        <w:rPr>
          <w:spacing w:val="-5"/>
        </w:rPr>
        <w:t xml:space="preserve"> </w:t>
      </w:r>
      <w:r>
        <w:t>completion,</w:t>
      </w:r>
      <w:r>
        <w:rPr>
          <w:spacing w:val="-5"/>
        </w:rPr>
        <w:t xml:space="preserve"> </w:t>
      </w:r>
      <w:r>
        <w:t>and/or</w:t>
      </w:r>
      <w:r>
        <w:rPr>
          <w:spacing w:val="-4"/>
        </w:rPr>
        <w:t xml:space="preserve"> </w:t>
      </w:r>
      <w:r>
        <w:t>annually</w:t>
      </w:r>
      <w:r>
        <w:rPr>
          <w:spacing w:val="-4"/>
        </w:rPr>
        <w:t xml:space="preserve"> </w:t>
      </w:r>
      <w:r>
        <w:t>for</w:t>
      </w:r>
      <w:r>
        <w:rPr>
          <w:spacing w:val="-4"/>
        </w:rPr>
        <w:t xml:space="preserve"> </w:t>
      </w:r>
      <w:r>
        <w:t>a</w:t>
      </w:r>
      <w:r>
        <w:rPr>
          <w:spacing w:val="-6"/>
        </w:rPr>
        <w:t xml:space="preserve"> </w:t>
      </w:r>
      <w:r>
        <w:t>specified</w:t>
      </w:r>
      <w:r>
        <w:rPr>
          <w:spacing w:val="-5"/>
        </w:rPr>
        <w:t xml:space="preserve"> </w:t>
      </w:r>
      <w:r>
        <w:t>period after</w:t>
      </w:r>
      <w:r>
        <w:rPr>
          <w:spacing w:val="-1"/>
        </w:rPr>
        <w:t xml:space="preserve"> </w:t>
      </w:r>
      <w:r>
        <w:t>a</w:t>
      </w:r>
      <w:r>
        <w:rPr>
          <w:spacing w:val="-2"/>
        </w:rPr>
        <w:t xml:space="preserve"> </w:t>
      </w:r>
      <w:r>
        <w:t>completion.</w:t>
      </w:r>
      <w:r>
        <w:rPr>
          <w:spacing w:val="-1"/>
        </w:rPr>
        <w:t xml:space="preserve"> </w:t>
      </w:r>
      <w:r>
        <w:t>The</w:t>
      </w:r>
      <w:r>
        <w:rPr>
          <w:spacing w:val="-3"/>
        </w:rPr>
        <w:t xml:space="preserve"> </w:t>
      </w:r>
      <w:r>
        <w:t>reporting</w:t>
      </w:r>
      <w:r>
        <w:rPr>
          <w:spacing w:val="-2"/>
        </w:rPr>
        <w:t xml:space="preserve"> </w:t>
      </w:r>
      <w:r>
        <w:t>requirements</w:t>
      </w:r>
      <w:r>
        <w:rPr>
          <w:spacing w:val="-3"/>
        </w:rPr>
        <w:t xml:space="preserve"> </w:t>
      </w:r>
      <w:r>
        <w:t>will</w:t>
      </w:r>
      <w:r>
        <w:rPr>
          <w:spacing w:val="-2"/>
        </w:rPr>
        <w:t xml:space="preserve"> </w:t>
      </w:r>
      <w:r>
        <w:t>be</w:t>
      </w:r>
      <w:r>
        <w:rPr>
          <w:spacing w:val="-1"/>
        </w:rPr>
        <w:t xml:space="preserve"> </w:t>
      </w:r>
      <w:r>
        <w:t>specified</w:t>
      </w:r>
      <w:r>
        <w:rPr>
          <w:spacing w:val="-2"/>
        </w:rPr>
        <w:t xml:space="preserve"> </w:t>
      </w:r>
      <w:r>
        <w:t>in</w:t>
      </w:r>
      <w:r>
        <w:rPr>
          <w:spacing w:val="-2"/>
        </w:rPr>
        <w:t xml:space="preserve"> </w:t>
      </w:r>
      <w:r>
        <w:t>the</w:t>
      </w:r>
      <w:r>
        <w:rPr>
          <w:spacing w:val="-1"/>
        </w:rPr>
        <w:t xml:space="preserve"> </w:t>
      </w:r>
      <w:r>
        <w:t>DOE</w:t>
      </w:r>
      <w:r>
        <w:rPr>
          <w:spacing w:val="-1"/>
        </w:rPr>
        <w:t xml:space="preserve"> </w:t>
      </w:r>
      <w:r>
        <w:t>F 4600.2 or other related BIL guidance as they become available</w:t>
      </w:r>
    </w:p>
    <w:p w14:paraId="56AEB3EF" w14:textId="0B7B8F86" w:rsidR="006E3B7E" w:rsidRPr="00DB1DE6" w:rsidRDefault="006E3B7E" w:rsidP="006E3B7E">
      <w:pPr>
        <w:pStyle w:val="FOATemplateBody"/>
        <w:ind w:left="1440"/>
      </w:pPr>
      <w:r w:rsidRPr="00DB1DE6">
        <w:rPr>
          <w:rFonts w:ascii="Times New Roman" w:hAnsi="Times New Roman"/>
          <w:bCs/>
          <w:szCs w:val="24"/>
        </w:rPr>
        <w:t xml:space="preserve">  </w:t>
      </w:r>
    </w:p>
    <w:p w14:paraId="685569DC" w14:textId="77777777" w:rsidR="00B07932" w:rsidRPr="008858B4" w:rsidRDefault="004E672B" w:rsidP="00A53BBC">
      <w:pPr>
        <w:ind w:left="1620"/>
      </w:pPr>
      <w:r>
        <w:t xml:space="preserve"> </w:t>
      </w:r>
    </w:p>
    <w:p w14:paraId="2FCB121C" w14:textId="77777777" w:rsidR="00B07932" w:rsidRPr="00872882" w:rsidRDefault="004E672B" w:rsidP="00F836F4">
      <w:pPr>
        <w:pStyle w:val="FOAHeading3"/>
        <w:numPr>
          <w:ilvl w:val="0"/>
          <w:numId w:val="38"/>
        </w:numPr>
        <w:ind w:left="1440"/>
        <w:outlineLvl w:val="2"/>
      </w:pPr>
      <w:bookmarkStart w:id="561" w:name="_Toc519602435"/>
      <w:bookmarkStart w:id="562" w:name="_Toc109921762"/>
      <w:r w:rsidRPr="00C72CE2">
        <w:t>Go/No-Go Review</w:t>
      </w:r>
      <w:bookmarkEnd w:id="561"/>
      <w:bookmarkEnd w:id="562"/>
      <w:r w:rsidRPr="00C72CE2">
        <w:t xml:space="preserve"> </w:t>
      </w:r>
    </w:p>
    <w:p w14:paraId="1C82994F" w14:textId="16423D71" w:rsidR="00B07932" w:rsidRPr="008858B4" w:rsidRDefault="004E672B" w:rsidP="003E3D5F">
      <w:pPr>
        <w:ind w:left="1440"/>
        <w:rPr>
          <w:szCs w:val="24"/>
        </w:rPr>
      </w:pPr>
      <w:r w:rsidRPr="00120F39">
        <w:t xml:space="preserve">Each project selected under this FOA will be subject to a periodic project evaluation referred to as a Go/No-Go Review. </w:t>
      </w:r>
      <w:r w:rsidR="00C10C72" w:rsidRPr="008858B4">
        <w:t xml:space="preserve">At the </w:t>
      </w:r>
      <w:r w:rsidR="00C10C72">
        <w:t>G</w:t>
      </w:r>
      <w:r w:rsidR="00C10C72" w:rsidRPr="008858B4">
        <w:t>o/</w:t>
      </w:r>
      <w:r w:rsidR="00C10C72">
        <w:t>N</w:t>
      </w:r>
      <w:r w:rsidR="00C10C72" w:rsidRPr="008858B4">
        <w:t>o-</w:t>
      </w:r>
      <w:r w:rsidR="00C10C72">
        <w:t>G</w:t>
      </w:r>
      <w:r w:rsidR="00C10C72" w:rsidRPr="008858B4">
        <w:t xml:space="preserve">o decision points, EERE will evaluate project performance, project schedule adherence, meeting milestone objectives, compliance with reporting requirements, and overall contribution to the </w:t>
      </w:r>
      <w:r w:rsidR="00E82294">
        <w:t xml:space="preserve">EERE </w:t>
      </w:r>
      <w:r w:rsidR="00C10C72" w:rsidRPr="008858B4">
        <w:t xml:space="preserve">program goals and objectives. </w:t>
      </w:r>
      <w:r w:rsidRPr="00120F39">
        <w:t>Federal funding beyond the Go/No</w:t>
      </w:r>
      <w:r w:rsidR="00E6224A" w:rsidRPr="009061D6">
        <w:t>-</w:t>
      </w:r>
      <w:r w:rsidRPr="009061D6">
        <w:t xml:space="preserve">Go decision point (continuation funding) is contingent </w:t>
      </w:r>
      <w:r w:rsidR="00E82294">
        <w:t>up</w:t>
      </w:r>
      <w:r w:rsidRPr="009061D6">
        <w:t xml:space="preserve">on </w:t>
      </w:r>
      <w:r w:rsidR="003E3D5F">
        <w:t>(1</w:t>
      </w:r>
      <w:r w:rsidR="003E3D5F" w:rsidRPr="0065782B">
        <w:t xml:space="preserve">) availability of </w:t>
      </w:r>
      <w:r w:rsidR="001F169D">
        <w:t>f</w:t>
      </w:r>
      <w:r w:rsidR="001F169D" w:rsidRPr="0065782B">
        <w:t xml:space="preserve">ederal </w:t>
      </w:r>
      <w:r w:rsidR="003E3D5F" w:rsidRPr="0065782B">
        <w:t>funds appropriated by Congress for</w:t>
      </w:r>
      <w:r w:rsidR="003E3D5F">
        <w:t xml:space="preserve"> the purpose of this program; (2</w:t>
      </w:r>
      <w:r w:rsidR="003E3D5F" w:rsidRPr="0065782B">
        <w:t xml:space="preserve">) the availability of future-year budget authority; </w:t>
      </w:r>
      <w:r w:rsidR="003E3D5F" w:rsidRPr="00120F39">
        <w:t>(3</w:t>
      </w:r>
      <w:r w:rsidR="003E3D5F" w:rsidRPr="009061D6">
        <w:t xml:space="preserve">) </w:t>
      </w:r>
      <w:r w:rsidR="00E82294">
        <w:t xml:space="preserve">recipient’s </w:t>
      </w:r>
      <w:r w:rsidR="003E3D5F" w:rsidRPr="009061D6">
        <w:t>technical progress</w:t>
      </w:r>
      <w:r w:rsidR="00E82294">
        <w:t xml:space="preserve"> compared to the Milestone Summary Table stated in Attachment 1 of the award</w:t>
      </w:r>
      <w:r w:rsidR="003E3D5F" w:rsidRPr="009061D6">
        <w:t>;</w:t>
      </w:r>
      <w:r w:rsidR="001A3502">
        <w:t xml:space="preserve"> </w:t>
      </w:r>
      <w:r w:rsidR="003E3D5F" w:rsidRPr="009061D6">
        <w:t xml:space="preserve">(4) </w:t>
      </w:r>
      <w:r w:rsidR="00E82294">
        <w:t xml:space="preserve">recipient’s </w:t>
      </w:r>
      <w:r w:rsidR="003E3D5F" w:rsidRPr="009061D6">
        <w:t xml:space="preserve">submittal of required reports; (5) </w:t>
      </w:r>
      <w:r w:rsidR="00E82294">
        <w:t xml:space="preserve">recipient’s </w:t>
      </w:r>
      <w:r w:rsidR="003E3D5F" w:rsidRPr="009061D6">
        <w:t>compliance with t</w:t>
      </w:r>
      <w:r w:rsidR="006A6897" w:rsidRPr="009061D6">
        <w:t>he terms and conditions of the a</w:t>
      </w:r>
      <w:r w:rsidR="003E3D5F" w:rsidRPr="009061D6">
        <w:t>ward;</w:t>
      </w:r>
      <w:r w:rsidR="003E3D5F">
        <w:t xml:space="preserve"> (6) EERE’s Go/No-Go decision; (7</w:t>
      </w:r>
      <w:r w:rsidR="003E3D5F" w:rsidRPr="0065782B">
        <w:t xml:space="preserve">) the </w:t>
      </w:r>
      <w:r w:rsidR="00E82294">
        <w:t xml:space="preserve">recipient’s </w:t>
      </w:r>
      <w:r w:rsidR="003E3D5F" w:rsidRPr="0065782B">
        <w:t xml:space="preserve">submission of a </w:t>
      </w:r>
      <w:r w:rsidR="003E3D5F">
        <w:t>continuation application; and (8</w:t>
      </w:r>
      <w:r w:rsidR="003E3D5F" w:rsidRPr="0065782B">
        <w:t>) written approval of the continuation application by the Contracting Officer.</w:t>
      </w:r>
      <w:r w:rsidR="00604DB0">
        <w:t xml:space="preserve">  </w:t>
      </w:r>
    </w:p>
    <w:p w14:paraId="59403D12" w14:textId="77777777" w:rsidR="00135ADC" w:rsidRDefault="00135ADC" w:rsidP="00A53BBC">
      <w:pPr>
        <w:ind w:left="1440"/>
      </w:pPr>
    </w:p>
    <w:p w14:paraId="1073BF6C" w14:textId="77777777" w:rsidR="00B07932" w:rsidRPr="008858B4" w:rsidRDefault="004E672B" w:rsidP="00A53BBC">
      <w:pPr>
        <w:ind w:left="1440"/>
        <w:rPr>
          <w:szCs w:val="24"/>
        </w:rPr>
      </w:pPr>
      <w:r w:rsidRPr="00120F39">
        <w:t>As a result of the Go/No</w:t>
      </w:r>
      <w:r w:rsidR="00E6224A" w:rsidRPr="009061D6">
        <w:t>-</w:t>
      </w:r>
      <w:r w:rsidRPr="009061D6">
        <w:t>Go Review, DOE may, at its discretion, authorize the following actions:</w:t>
      </w:r>
      <w:r w:rsidR="001A3502">
        <w:t xml:space="preserve"> </w:t>
      </w:r>
      <w:r w:rsidRPr="009061D6">
        <w:t xml:space="preserve">(1) continue to fund the project, contingent upon the availability of funds appropriated by Congress for the purpose of this program and the availability of future-year budget authority; (2) recommend redirection of work under the project; (3) place a hold on </w:t>
      </w:r>
      <w:r w:rsidR="001F169D">
        <w:t>f</w:t>
      </w:r>
      <w:r w:rsidR="001F169D" w:rsidRPr="009061D6">
        <w:t xml:space="preserve">ederal </w:t>
      </w:r>
      <w:r w:rsidRPr="009061D6">
        <w:t xml:space="preserve">funding for the project, pending further supporting data or funding; or (4) discontinue funding the project because of insufficient progress, change in strategic direction, or lack of funding. </w:t>
      </w:r>
    </w:p>
    <w:p w14:paraId="43834A95" w14:textId="77777777" w:rsidR="00B07932" w:rsidRPr="008858B4" w:rsidRDefault="00B07932" w:rsidP="00A53BBC">
      <w:pPr>
        <w:ind w:left="1440"/>
        <w:rPr>
          <w:szCs w:val="24"/>
        </w:rPr>
      </w:pPr>
    </w:p>
    <w:p w14:paraId="1ED10063" w14:textId="77777777" w:rsidR="00B07932" w:rsidRPr="008858B4" w:rsidRDefault="004E672B" w:rsidP="00A53BBC">
      <w:pPr>
        <w:ind w:left="1440"/>
      </w:pPr>
      <w:r w:rsidRPr="008858B4">
        <w:t xml:space="preserve">The Go/No-Go decision is distinct from a non-compliance determination. In the event a recipient fails to comply with the requirements of an award, EERE may take appropriate action, including but not limited to, redirecting, </w:t>
      </w:r>
      <w:proofErr w:type="gramStart"/>
      <w:r w:rsidRPr="008858B4">
        <w:t>suspending</w:t>
      </w:r>
      <w:proofErr w:type="gramEnd"/>
      <w:r w:rsidRPr="008858B4">
        <w:t xml:space="preserve"> or terminating the award. </w:t>
      </w:r>
    </w:p>
    <w:p w14:paraId="530889AA" w14:textId="77777777" w:rsidR="00800A5E" w:rsidRPr="00800A5E" w:rsidRDefault="00800A5E" w:rsidP="00A53BBC"/>
    <w:p w14:paraId="09962557" w14:textId="6C2E0761" w:rsidR="00B07932" w:rsidRPr="00872882" w:rsidRDefault="004E672B" w:rsidP="00F836F4">
      <w:pPr>
        <w:pStyle w:val="FOAHeading3"/>
        <w:numPr>
          <w:ilvl w:val="0"/>
          <w:numId w:val="38"/>
        </w:numPr>
        <w:ind w:left="1440"/>
        <w:outlineLvl w:val="2"/>
      </w:pPr>
      <w:bookmarkStart w:id="563" w:name="_Toc519602436"/>
      <w:bookmarkStart w:id="564" w:name="_Toc109921763"/>
      <w:r w:rsidRPr="00C72CE2">
        <w:t>Conference</w:t>
      </w:r>
      <w:r w:rsidR="001A3502">
        <w:t xml:space="preserve"> </w:t>
      </w:r>
      <w:r w:rsidRPr="0022038E">
        <w:t>Spending</w:t>
      </w:r>
      <w:bookmarkEnd w:id="563"/>
      <w:bookmarkEnd w:id="564"/>
    </w:p>
    <w:p w14:paraId="60232144" w14:textId="2896A8B8" w:rsidR="00252465" w:rsidRDefault="004E672B" w:rsidP="00A53BBC">
      <w:pPr>
        <w:pStyle w:val="FOATemplateBody"/>
        <w:ind w:left="1440"/>
      </w:pPr>
      <w:r w:rsidRPr="00252465">
        <w:t>The recipient shall not expend any funds on a conference not directly and programmatically related to the purpose for which the grant or cooperative agreement was awarded that would defray</w:t>
      </w:r>
      <w:r w:rsidR="00040BEC">
        <w:t xml:space="preserve"> the cost to the United States g</w:t>
      </w:r>
      <w:r w:rsidRPr="00252465">
        <w:t xml:space="preserve">overnment of a conference held by any Executive branch department, agency, board, commission, or office for which the cost to the United States </w:t>
      </w:r>
      <w:r w:rsidR="00040BEC">
        <w:t>g</w:t>
      </w:r>
      <w:r w:rsidRPr="00252465">
        <w:t>overnment would otherwise exceed $20,000, thereby circumventing the required notification by the head of any such Executive Branch department, agency, board, commission, or office to the Inspector General (or senior ethics official for any entity without an Inspector General), of the date, location, and number of employees attending such conference.</w:t>
      </w:r>
    </w:p>
    <w:p w14:paraId="3EC0236A" w14:textId="77777777" w:rsidR="00252465" w:rsidRPr="00B5344E" w:rsidRDefault="00252465" w:rsidP="00A53BBC"/>
    <w:p w14:paraId="6C1B810E" w14:textId="300EEC76" w:rsidR="00252465" w:rsidRPr="00872882" w:rsidRDefault="004E672B" w:rsidP="00F836F4">
      <w:pPr>
        <w:pStyle w:val="FOAHeading3"/>
        <w:numPr>
          <w:ilvl w:val="0"/>
          <w:numId w:val="38"/>
        </w:numPr>
        <w:ind w:left="1440"/>
        <w:outlineLvl w:val="2"/>
      </w:pPr>
      <w:bookmarkStart w:id="565" w:name="_Toc519602437"/>
      <w:bookmarkStart w:id="566" w:name="_Toc109921764"/>
      <w:r>
        <w:t>Uniform Commercial Code (</w:t>
      </w:r>
      <w:r w:rsidRPr="00C72CE2">
        <w:t>UCC</w:t>
      </w:r>
      <w:r>
        <w:t>)</w:t>
      </w:r>
      <w:r w:rsidRPr="00C72CE2">
        <w:t xml:space="preserve"> Financing Statements</w:t>
      </w:r>
      <w:bookmarkEnd w:id="565"/>
      <w:bookmarkEnd w:id="566"/>
    </w:p>
    <w:p w14:paraId="7632F756" w14:textId="77777777" w:rsidR="00800A5E" w:rsidRPr="00AF2304" w:rsidRDefault="004E672B" w:rsidP="00A53BBC">
      <w:pPr>
        <w:pStyle w:val="FOATemplateBody"/>
        <w:ind w:left="1440"/>
        <w:rPr>
          <w:rFonts w:asciiTheme="minorHAnsi" w:hAnsiTheme="minorHAnsi"/>
        </w:rPr>
      </w:pPr>
      <w:r w:rsidRPr="00AF2304">
        <w:rPr>
          <w:rFonts w:asciiTheme="minorHAnsi" w:hAnsiTheme="minorHAnsi"/>
        </w:rPr>
        <w:t xml:space="preserve">Per 2 CFR 910.360 (Real Property and Equipment) when a piece of equipment is purchased by a for-profit recipient or subrecipient with </w:t>
      </w:r>
      <w:r w:rsidR="001F169D">
        <w:rPr>
          <w:rFonts w:asciiTheme="minorHAnsi" w:hAnsiTheme="minorHAnsi"/>
        </w:rPr>
        <w:t>f</w:t>
      </w:r>
      <w:r w:rsidR="001F169D" w:rsidRPr="00AF2304">
        <w:rPr>
          <w:rFonts w:asciiTheme="minorHAnsi" w:hAnsiTheme="minorHAnsi"/>
        </w:rPr>
        <w:t xml:space="preserve">ederal </w:t>
      </w:r>
      <w:r w:rsidR="00A553D7">
        <w:rPr>
          <w:rFonts w:asciiTheme="minorHAnsi" w:hAnsiTheme="minorHAnsi"/>
        </w:rPr>
        <w:t>f</w:t>
      </w:r>
      <w:r w:rsidR="00A553D7" w:rsidRPr="00AF2304">
        <w:rPr>
          <w:rFonts w:asciiTheme="minorHAnsi" w:hAnsiTheme="minorHAnsi"/>
        </w:rPr>
        <w:t>unds</w:t>
      </w:r>
      <w:r w:rsidRPr="00AF2304">
        <w:rPr>
          <w:rFonts w:asciiTheme="minorHAnsi" w:hAnsiTheme="minorHAnsi"/>
        </w:rPr>
        <w:t xml:space="preserve">, and when the </w:t>
      </w:r>
      <w:r w:rsidR="001F169D">
        <w:rPr>
          <w:rFonts w:asciiTheme="minorHAnsi" w:hAnsiTheme="minorHAnsi"/>
        </w:rPr>
        <w:t>f</w:t>
      </w:r>
      <w:r w:rsidR="001F169D" w:rsidRPr="00AF2304">
        <w:rPr>
          <w:rFonts w:asciiTheme="minorHAnsi" w:hAnsiTheme="minorHAnsi"/>
        </w:rPr>
        <w:t xml:space="preserve">ederal </w:t>
      </w:r>
      <w:r w:rsidRPr="00AF2304">
        <w:rPr>
          <w:rFonts w:asciiTheme="minorHAnsi" w:hAnsiTheme="minorHAnsi"/>
        </w:rPr>
        <w:t>share of the financial assistance agreement is more than $1,000,000, the recipient or subrecipient must:</w:t>
      </w:r>
    </w:p>
    <w:p w14:paraId="1C4784D2" w14:textId="77777777" w:rsidR="00800A5E" w:rsidRPr="00186784" w:rsidRDefault="00800A5E" w:rsidP="00A53BBC">
      <w:pPr>
        <w:pStyle w:val="FOATemplateBody"/>
        <w:ind w:left="1440" w:hanging="180"/>
        <w:rPr>
          <w:rFonts w:asciiTheme="minorHAnsi" w:hAnsiTheme="minorHAnsi"/>
        </w:rPr>
      </w:pPr>
    </w:p>
    <w:p w14:paraId="7EBF3963" w14:textId="0EDAAFF5" w:rsidR="00252465" w:rsidRDefault="004E672B" w:rsidP="00A53BBC">
      <w:pPr>
        <w:pStyle w:val="FOATemplateBody"/>
        <w:ind w:left="1440"/>
        <w:rPr>
          <w:rFonts w:asciiTheme="minorHAnsi" w:hAnsiTheme="minorHAnsi"/>
        </w:rPr>
      </w:pPr>
      <w:r w:rsidRPr="00AF2304">
        <w:rPr>
          <w:rFonts w:asciiTheme="minorHAnsi" w:hAnsiTheme="minorHAnsi"/>
        </w:rPr>
        <w:t>Properly record, and consent to the Department's ability to properly record if the recipient fails to do so, UCC financing statement(s) for all equipment</w:t>
      </w:r>
      <w:r w:rsidR="00F07F9C" w:rsidRPr="00AF2304">
        <w:rPr>
          <w:rFonts w:asciiTheme="minorHAnsi" w:hAnsiTheme="minorHAnsi"/>
        </w:rPr>
        <w:t xml:space="preserve"> </w:t>
      </w:r>
      <w:proofErr w:type="gramStart"/>
      <w:r w:rsidR="00F07F9C" w:rsidRPr="00AF2304">
        <w:rPr>
          <w:rFonts w:asciiTheme="minorHAnsi" w:hAnsiTheme="minorHAnsi"/>
        </w:rPr>
        <w:t>in excess of</w:t>
      </w:r>
      <w:proofErr w:type="gramEnd"/>
      <w:r w:rsidR="00F07F9C" w:rsidRPr="00AF2304">
        <w:rPr>
          <w:rFonts w:asciiTheme="minorHAnsi" w:hAnsiTheme="minorHAnsi"/>
        </w:rPr>
        <w:t xml:space="preserve"> $5,000</w:t>
      </w:r>
      <w:r w:rsidRPr="00AF2304">
        <w:rPr>
          <w:rFonts w:asciiTheme="minorHAnsi" w:hAnsiTheme="minorHAnsi"/>
        </w:rPr>
        <w:t xml:space="preserve"> purchased with </w:t>
      </w:r>
      <w:r w:rsidR="00F07F9C" w:rsidRPr="00AF2304">
        <w:rPr>
          <w:rFonts w:asciiTheme="minorHAnsi" w:hAnsiTheme="minorHAnsi"/>
        </w:rPr>
        <w:t>project</w:t>
      </w:r>
      <w:r w:rsidRPr="00AF2304">
        <w:rPr>
          <w:rFonts w:asciiTheme="minorHAnsi" w:hAnsiTheme="minorHAnsi"/>
        </w:rPr>
        <w:t xml:space="preserve"> funds</w:t>
      </w:r>
      <w:r w:rsidR="00F07F9C" w:rsidRPr="00AF2304">
        <w:rPr>
          <w:rFonts w:asciiTheme="minorHAnsi" w:hAnsiTheme="minorHAnsi"/>
        </w:rPr>
        <w:t>.</w:t>
      </w:r>
      <w:r w:rsidR="001A3502">
        <w:rPr>
          <w:rFonts w:asciiTheme="minorHAnsi" w:hAnsiTheme="minorHAnsi"/>
        </w:rPr>
        <w:t xml:space="preserve"> </w:t>
      </w:r>
      <w:r w:rsidRPr="00AF2304">
        <w:rPr>
          <w:rFonts w:asciiTheme="minorHAnsi" w:hAnsiTheme="minorHAnsi"/>
        </w:rPr>
        <w:t xml:space="preserve">These financing statement(s) must be approved in writing by the </w:t>
      </w:r>
      <w:r w:rsidR="00691C8F" w:rsidRPr="00AF2304">
        <w:rPr>
          <w:rFonts w:asciiTheme="minorHAnsi" w:hAnsiTheme="minorHAnsi"/>
        </w:rPr>
        <w:t>C</w:t>
      </w:r>
      <w:r w:rsidRPr="00AF2304">
        <w:rPr>
          <w:rFonts w:asciiTheme="minorHAnsi" w:hAnsiTheme="minorHAnsi"/>
        </w:rPr>
        <w:t xml:space="preserve">ontracting </w:t>
      </w:r>
      <w:r w:rsidR="00691C8F" w:rsidRPr="00AF2304">
        <w:rPr>
          <w:rFonts w:asciiTheme="minorHAnsi" w:hAnsiTheme="minorHAnsi"/>
        </w:rPr>
        <w:t>O</w:t>
      </w:r>
      <w:r w:rsidRPr="00AF2304">
        <w:rPr>
          <w:rFonts w:asciiTheme="minorHAnsi" w:hAnsiTheme="minorHAnsi"/>
        </w:rPr>
        <w:t>fficer prior to the recording, and they shall provide</w:t>
      </w:r>
      <w:r w:rsidR="00F07F9C" w:rsidRPr="00AF2304">
        <w:rPr>
          <w:rFonts w:asciiTheme="minorHAnsi" w:hAnsiTheme="minorHAnsi"/>
        </w:rPr>
        <w:t xml:space="preserve"> notice that the </w:t>
      </w:r>
      <w:r w:rsidR="00D848AF">
        <w:rPr>
          <w:rFonts w:asciiTheme="minorHAnsi" w:hAnsiTheme="minorHAnsi"/>
        </w:rPr>
        <w:t>r</w:t>
      </w:r>
      <w:r w:rsidR="00D848AF" w:rsidRPr="00AF2304">
        <w:rPr>
          <w:rFonts w:asciiTheme="minorHAnsi" w:hAnsiTheme="minorHAnsi"/>
        </w:rPr>
        <w:t xml:space="preserve">ecipient's </w:t>
      </w:r>
      <w:r w:rsidRPr="00AF2304">
        <w:rPr>
          <w:rFonts w:asciiTheme="minorHAnsi" w:hAnsiTheme="minorHAnsi"/>
        </w:rPr>
        <w:t xml:space="preserve">title to all equipment (not real property) purchased with </w:t>
      </w:r>
      <w:r w:rsidR="001F169D">
        <w:rPr>
          <w:rFonts w:asciiTheme="minorHAnsi" w:hAnsiTheme="minorHAnsi"/>
        </w:rPr>
        <w:t>f</w:t>
      </w:r>
      <w:r w:rsidR="001F169D" w:rsidRPr="00AF2304">
        <w:rPr>
          <w:rFonts w:asciiTheme="minorHAnsi" w:hAnsiTheme="minorHAnsi"/>
        </w:rPr>
        <w:t xml:space="preserve">ederal </w:t>
      </w:r>
      <w:r w:rsidRPr="00AF2304">
        <w:rPr>
          <w:rFonts w:asciiTheme="minorHAnsi" w:hAnsiTheme="minorHAnsi"/>
        </w:rPr>
        <w:t>funds under the financial assistance agreement is conditional pursuant to the terms</w:t>
      </w:r>
      <w:r w:rsidR="001D5943">
        <w:rPr>
          <w:rFonts w:asciiTheme="minorHAnsi" w:hAnsiTheme="minorHAnsi"/>
        </w:rPr>
        <w:t xml:space="preserve"> of this section, and that the g</w:t>
      </w:r>
      <w:r w:rsidRPr="00AF2304">
        <w:rPr>
          <w:rFonts w:asciiTheme="minorHAnsi" w:hAnsiTheme="minorHAnsi"/>
        </w:rPr>
        <w:t>overnment retains an undivided reversionary interest in the equipment. The UCC financing stateme</w:t>
      </w:r>
      <w:r w:rsidR="00F07F9C" w:rsidRPr="00AF2304">
        <w:rPr>
          <w:rFonts w:asciiTheme="minorHAnsi" w:hAnsiTheme="minorHAnsi"/>
        </w:rPr>
        <w:t>nt(s) must be filed before the C</w:t>
      </w:r>
      <w:r w:rsidRPr="00AF2304">
        <w:rPr>
          <w:rFonts w:asciiTheme="minorHAnsi" w:hAnsiTheme="minorHAnsi"/>
        </w:rPr>
        <w:t xml:space="preserve">ontracting </w:t>
      </w:r>
      <w:r w:rsidR="00F07F9C" w:rsidRPr="00AF2304">
        <w:rPr>
          <w:rFonts w:asciiTheme="minorHAnsi" w:hAnsiTheme="minorHAnsi"/>
        </w:rPr>
        <w:t>O</w:t>
      </w:r>
      <w:r w:rsidRPr="00AF2304">
        <w:rPr>
          <w:rFonts w:asciiTheme="minorHAnsi" w:hAnsiTheme="minorHAnsi"/>
        </w:rPr>
        <w:t xml:space="preserve">fficer may reimburse the recipient for the </w:t>
      </w:r>
      <w:r w:rsidR="001F169D">
        <w:rPr>
          <w:rFonts w:asciiTheme="minorHAnsi" w:hAnsiTheme="minorHAnsi"/>
        </w:rPr>
        <w:t>f</w:t>
      </w:r>
      <w:r w:rsidR="001F169D" w:rsidRPr="00AF2304">
        <w:rPr>
          <w:rFonts w:asciiTheme="minorHAnsi" w:hAnsiTheme="minorHAnsi"/>
        </w:rPr>
        <w:t xml:space="preserve">ederal </w:t>
      </w:r>
      <w:r w:rsidRPr="00AF2304">
        <w:rPr>
          <w:rFonts w:asciiTheme="minorHAnsi" w:hAnsiTheme="minorHAnsi"/>
        </w:rPr>
        <w:t xml:space="preserve">share of the equipment unless otherwise provided for in the relevant financial assistance agreement. The recipient shall further make any amendments to the financing statements or additional recordings, including appropriate continuation statements, as necessary or as the </w:t>
      </w:r>
      <w:r w:rsidR="00A553D7">
        <w:rPr>
          <w:rFonts w:asciiTheme="minorHAnsi" w:hAnsiTheme="minorHAnsi"/>
        </w:rPr>
        <w:t>C</w:t>
      </w:r>
      <w:r w:rsidR="00A553D7" w:rsidRPr="00AF2304">
        <w:rPr>
          <w:rFonts w:asciiTheme="minorHAnsi" w:hAnsiTheme="minorHAnsi"/>
        </w:rPr>
        <w:t xml:space="preserve">ontracting </w:t>
      </w:r>
      <w:r w:rsidR="00A553D7">
        <w:rPr>
          <w:rFonts w:asciiTheme="minorHAnsi" w:hAnsiTheme="minorHAnsi"/>
        </w:rPr>
        <w:t>O</w:t>
      </w:r>
      <w:r w:rsidR="00A553D7" w:rsidRPr="00AF2304">
        <w:rPr>
          <w:rFonts w:asciiTheme="minorHAnsi" w:hAnsiTheme="minorHAnsi"/>
        </w:rPr>
        <w:t xml:space="preserve">fficer </w:t>
      </w:r>
      <w:r w:rsidRPr="00AF2304">
        <w:rPr>
          <w:rFonts w:asciiTheme="minorHAnsi" w:hAnsiTheme="minorHAnsi"/>
        </w:rPr>
        <w:t>may direct.</w:t>
      </w:r>
    </w:p>
    <w:p w14:paraId="769D0711" w14:textId="77777777" w:rsidR="008E7670" w:rsidRDefault="008E7670" w:rsidP="00A53BBC">
      <w:pPr>
        <w:pStyle w:val="FOATemplateBody"/>
        <w:ind w:left="1440"/>
        <w:rPr>
          <w:rFonts w:asciiTheme="minorHAnsi" w:hAnsiTheme="minorHAnsi"/>
        </w:rPr>
      </w:pPr>
    </w:p>
    <w:p w14:paraId="4BB614FC" w14:textId="4505B38B" w:rsidR="00E77BDD" w:rsidRPr="00C53B99" w:rsidRDefault="00E77BDD" w:rsidP="00F836F4">
      <w:pPr>
        <w:pStyle w:val="FOAHeading3"/>
        <w:numPr>
          <w:ilvl w:val="0"/>
          <w:numId w:val="38"/>
        </w:numPr>
        <w:ind w:left="1440"/>
        <w:outlineLvl w:val="2"/>
      </w:pPr>
      <w:bookmarkStart w:id="567" w:name="_Toc109921765"/>
      <w:r>
        <w:t xml:space="preserve">Implementation of Executive Order 13798, Promoting Free </w:t>
      </w:r>
      <w:proofErr w:type="gramStart"/>
      <w:r>
        <w:t>Speech</w:t>
      </w:r>
      <w:proofErr w:type="gramEnd"/>
      <w:r w:rsidR="007F5E25">
        <w:t xml:space="preserve"> </w:t>
      </w:r>
      <w:r>
        <w:t>and Religious Liberty</w:t>
      </w:r>
      <w:bookmarkEnd w:id="567"/>
    </w:p>
    <w:p w14:paraId="644E211F" w14:textId="64D47126" w:rsidR="00101E99" w:rsidRDefault="00E77BDD" w:rsidP="00C53B99">
      <w:pPr>
        <w:pStyle w:val="FOATemplateBody"/>
        <w:ind w:left="1440"/>
        <w:rPr>
          <w:rFonts w:asciiTheme="minorHAnsi" w:hAnsiTheme="minorHAnsi"/>
        </w:rPr>
      </w:pPr>
      <w:r w:rsidRPr="00EE74B1">
        <w:t>States, local governments, or other public entities may not condition sub-awards in a manner that would discriminate, or disadvantage sub-recipients based on their religious character.</w:t>
      </w:r>
    </w:p>
    <w:p w14:paraId="2CAFD2C6" w14:textId="77777777" w:rsidR="00471393" w:rsidRDefault="00471393" w:rsidP="00C53B99">
      <w:pPr>
        <w:pStyle w:val="FOATemplateBody"/>
        <w:ind w:left="1440"/>
        <w:rPr>
          <w:rFonts w:asciiTheme="minorHAnsi" w:hAnsiTheme="minorHAnsi"/>
        </w:rPr>
      </w:pPr>
    </w:p>
    <w:p w14:paraId="57969699" w14:textId="64EE8F63" w:rsidR="00471393" w:rsidRPr="00805674" w:rsidRDefault="00AD6783" w:rsidP="00F836F4">
      <w:pPr>
        <w:pStyle w:val="FOAHeading3"/>
        <w:numPr>
          <w:ilvl w:val="0"/>
          <w:numId w:val="27"/>
        </w:numPr>
        <w:ind w:left="1440"/>
        <w:outlineLvl w:val="2"/>
      </w:pPr>
      <w:bookmarkStart w:id="568" w:name="_Toc109921766"/>
      <w:r>
        <w:t>Participants and Collaborating Organizations</w:t>
      </w:r>
      <w:bookmarkEnd w:id="568"/>
    </w:p>
    <w:p w14:paraId="1823E946" w14:textId="2DA924BA" w:rsidR="00AD6783" w:rsidRDefault="00471393" w:rsidP="002F6F2A">
      <w:pPr>
        <w:ind w:left="1440"/>
        <w:rPr>
          <w:rFonts w:ascii="Calibri" w:hAnsi="Calibri"/>
        </w:rPr>
      </w:pPr>
      <w:r>
        <w:rPr>
          <w:rFonts w:ascii="Calibri" w:hAnsi="Calibri"/>
        </w:rPr>
        <w:t>If selected for award negotiations, the selected applicant must submit a list of personnel who are proposed to work on the project, both at the recipient and subrecipient level</w:t>
      </w:r>
      <w:r w:rsidR="002D31C8">
        <w:rPr>
          <w:rFonts w:ascii="Calibri" w:hAnsi="Calibri"/>
        </w:rPr>
        <w:t xml:space="preserve"> and a list of collaborating organizations</w:t>
      </w:r>
      <w:r w:rsidR="0002735F">
        <w:rPr>
          <w:rFonts w:ascii="Calibri" w:hAnsi="Calibri"/>
        </w:rPr>
        <w:t xml:space="preserve"> within 30 days </w:t>
      </w:r>
      <w:r w:rsidR="00033E57">
        <w:rPr>
          <w:rFonts w:ascii="Calibri" w:hAnsi="Calibri"/>
        </w:rPr>
        <w:t>after the applicant is notified of the selection</w:t>
      </w:r>
      <w:r>
        <w:rPr>
          <w:rFonts w:ascii="Calibri" w:hAnsi="Calibri"/>
        </w:rPr>
        <w:t xml:space="preserve">. </w:t>
      </w:r>
      <w:bookmarkStart w:id="569" w:name="_Hlk90040397"/>
      <w:r>
        <w:rPr>
          <w:rFonts w:ascii="Calibri" w:hAnsi="Calibri"/>
        </w:rPr>
        <w:t xml:space="preserve">Recipients will have an ongoing responsibility to notify DOE of changes to the personnel </w:t>
      </w:r>
      <w:r w:rsidR="002D31C8">
        <w:rPr>
          <w:rFonts w:ascii="Calibri" w:hAnsi="Calibri"/>
        </w:rPr>
        <w:t>and collaborati</w:t>
      </w:r>
      <w:r w:rsidR="00B53E00">
        <w:rPr>
          <w:rFonts w:ascii="Calibri" w:hAnsi="Calibri"/>
        </w:rPr>
        <w:t>ng</w:t>
      </w:r>
      <w:r w:rsidR="002D31C8">
        <w:rPr>
          <w:rFonts w:ascii="Calibri" w:hAnsi="Calibri"/>
        </w:rPr>
        <w:t xml:space="preserve"> </w:t>
      </w:r>
      <w:proofErr w:type="gramStart"/>
      <w:r w:rsidR="002D31C8">
        <w:rPr>
          <w:rFonts w:ascii="Calibri" w:hAnsi="Calibri"/>
        </w:rPr>
        <w:t xml:space="preserve">organizations, </w:t>
      </w:r>
      <w:r>
        <w:rPr>
          <w:rFonts w:ascii="Calibri" w:hAnsi="Calibri"/>
        </w:rPr>
        <w:t>and</w:t>
      </w:r>
      <w:proofErr w:type="gramEnd"/>
      <w:r>
        <w:rPr>
          <w:rFonts w:ascii="Calibri" w:hAnsi="Calibri"/>
        </w:rPr>
        <w:t xml:space="preserve"> submit updated </w:t>
      </w:r>
      <w:r w:rsidR="00AD6783">
        <w:rPr>
          <w:rFonts w:ascii="Calibri" w:hAnsi="Calibri"/>
        </w:rPr>
        <w:t>information</w:t>
      </w:r>
      <w:r w:rsidR="002D31C8">
        <w:rPr>
          <w:rFonts w:ascii="Calibri" w:hAnsi="Calibri"/>
        </w:rPr>
        <w:t xml:space="preserve"> during the life of the award.</w:t>
      </w:r>
      <w:bookmarkEnd w:id="569"/>
    </w:p>
    <w:p w14:paraId="7035B611" w14:textId="2800F721" w:rsidR="00471393" w:rsidRDefault="00471393" w:rsidP="00C53B99">
      <w:pPr>
        <w:pStyle w:val="FOATemplateBody"/>
        <w:ind w:left="1440"/>
        <w:rPr>
          <w:rFonts w:asciiTheme="minorHAnsi" w:hAnsiTheme="minorHAnsi"/>
        </w:rPr>
      </w:pPr>
    </w:p>
    <w:p w14:paraId="3336F16F" w14:textId="4CDEF893" w:rsidR="00E47A6D" w:rsidRPr="00E47A6D" w:rsidRDefault="00E47A6D" w:rsidP="00F836F4">
      <w:pPr>
        <w:pStyle w:val="FOAHeading3"/>
        <w:numPr>
          <w:ilvl w:val="0"/>
          <w:numId w:val="27"/>
        </w:numPr>
        <w:ind w:left="1440"/>
        <w:outlineLvl w:val="2"/>
      </w:pPr>
      <w:bookmarkStart w:id="570" w:name="_Toc109921767"/>
      <w:r w:rsidRPr="00E47A6D">
        <w:t>Current</w:t>
      </w:r>
      <w:r w:rsidR="00103176">
        <w:t xml:space="preserve"> and Pending</w:t>
      </w:r>
      <w:r w:rsidRPr="00E47A6D">
        <w:t xml:space="preserve"> Support</w:t>
      </w:r>
      <w:bookmarkEnd w:id="570"/>
    </w:p>
    <w:p w14:paraId="3384DBAA" w14:textId="0649FA2B" w:rsidR="008745B5" w:rsidRDefault="00954E8C" w:rsidP="004B27A6">
      <w:pPr>
        <w:ind w:left="1440"/>
        <w:rPr>
          <w:rFonts w:ascii="Calibri" w:hAnsi="Calibri"/>
        </w:rPr>
      </w:pPr>
      <w:r>
        <w:rPr>
          <w:rFonts w:ascii="Calibri" w:hAnsi="Calibri"/>
        </w:rPr>
        <w:t>If selected for award negotiations</w:t>
      </w:r>
      <w:r w:rsidR="001479AD">
        <w:rPr>
          <w:rFonts w:ascii="Calibri" w:hAnsi="Calibri"/>
        </w:rPr>
        <w:t xml:space="preserve">, </w:t>
      </w:r>
      <w:r w:rsidR="002F23B7">
        <w:rPr>
          <w:rFonts w:ascii="Calibri" w:hAnsi="Calibri"/>
        </w:rPr>
        <w:t xml:space="preserve">within 30 days of the selection notice, </w:t>
      </w:r>
      <w:r w:rsidR="00F60A7B">
        <w:rPr>
          <w:rFonts w:ascii="Calibri" w:hAnsi="Calibri"/>
        </w:rPr>
        <w:t xml:space="preserve">the </w:t>
      </w:r>
      <w:r w:rsidR="005E7F1C">
        <w:rPr>
          <w:rFonts w:ascii="Calibri" w:hAnsi="Calibri"/>
        </w:rPr>
        <w:t>selectee</w:t>
      </w:r>
      <w:r w:rsidR="00F60A7B">
        <w:rPr>
          <w:rFonts w:ascii="Calibri" w:hAnsi="Calibri"/>
        </w:rPr>
        <w:t xml:space="preserve"> must </w:t>
      </w:r>
      <w:r w:rsidR="00995BFB">
        <w:rPr>
          <w:rFonts w:ascii="Calibri" w:hAnsi="Calibri"/>
        </w:rPr>
        <w:t>submit</w:t>
      </w:r>
      <w:r w:rsidR="00F60A7B">
        <w:rPr>
          <w:rFonts w:ascii="Calibri" w:hAnsi="Calibri"/>
        </w:rPr>
        <w:t xml:space="preserve"> </w:t>
      </w:r>
      <w:r w:rsidR="005D7FA2">
        <w:rPr>
          <w:rFonts w:ascii="Calibri" w:hAnsi="Calibri"/>
        </w:rPr>
        <w:t xml:space="preserve">1) </w:t>
      </w:r>
      <w:r w:rsidR="009D63F0">
        <w:rPr>
          <w:rFonts w:ascii="Calibri" w:hAnsi="Calibri"/>
        </w:rPr>
        <w:t>current and pending support disclosures</w:t>
      </w:r>
      <w:r w:rsidR="00465D6E">
        <w:rPr>
          <w:rFonts w:ascii="Calibri" w:hAnsi="Calibri"/>
        </w:rPr>
        <w:t xml:space="preserve"> </w:t>
      </w:r>
      <w:r w:rsidR="005D7FA2">
        <w:rPr>
          <w:rFonts w:ascii="Calibri" w:hAnsi="Calibri"/>
        </w:rPr>
        <w:t xml:space="preserve">and resumes </w:t>
      </w:r>
      <w:r w:rsidR="00465D6E">
        <w:rPr>
          <w:rFonts w:ascii="Calibri" w:hAnsi="Calibri"/>
        </w:rPr>
        <w:t xml:space="preserve">for any new PIs or senior/key personnel </w:t>
      </w:r>
      <w:r w:rsidR="002F23B7">
        <w:rPr>
          <w:rFonts w:ascii="Calibri" w:hAnsi="Calibri"/>
        </w:rPr>
        <w:t xml:space="preserve">and </w:t>
      </w:r>
      <w:r w:rsidR="005D7FA2">
        <w:rPr>
          <w:rFonts w:ascii="Calibri" w:hAnsi="Calibri"/>
        </w:rPr>
        <w:t xml:space="preserve">2) </w:t>
      </w:r>
      <w:r w:rsidR="002F23B7">
        <w:rPr>
          <w:rFonts w:ascii="Calibri" w:hAnsi="Calibri"/>
        </w:rPr>
        <w:t>updated disclosures</w:t>
      </w:r>
      <w:r w:rsidR="009D63F0">
        <w:rPr>
          <w:rFonts w:ascii="Calibri" w:hAnsi="Calibri"/>
        </w:rPr>
        <w:t xml:space="preserve"> if there have been any changes to the </w:t>
      </w:r>
      <w:r w:rsidR="00D3567D">
        <w:rPr>
          <w:rFonts w:ascii="Calibri" w:hAnsi="Calibri"/>
        </w:rPr>
        <w:t>current and pending support submitted with the application</w:t>
      </w:r>
      <w:r w:rsidR="001B7AC6">
        <w:rPr>
          <w:rFonts w:ascii="Calibri" w:hAnsi="Calibri"/>
        </w:rPr>
        <w:t xml:space="preserve">. </w:t>
      </w:r>
      <w:r w:rsidR="00B86FF7">
        <w:rPr>
          <w:rFonts w:ascii="Calibri" w:hAnsi="Calibri"/>
        </w:rPr>
        <w:t>Th</w:t>
      </w:r>
      <w:r w:rsidR="008745B5" w:rsidRPr="00AF7F53">
        <w:rPr>
          <w:rFonts w:ascii="Calibri" w:hAnsi="Calibri"/>
        </w:rPr>
        <w:t xml:space="preserve">roughout the life of the award, the Recipient </w:t>
      </w:r>
      <w:r w:rsidR="00F0094F">
        <w:rPr>
          <w:rFonts w:ascii="Calibri" w:hAnsi="Calibri"/>
        </w:rPr>
        <w:t>has</w:t>
      </w:r>
      <w:r w:rsidR="00C66CAD">
        <w:rPr>
          <w:rFonts w:ascii="Calibri" w:hAnsi="Calibri"/>
        </w:rPr>
        <w:t xml:space="preserve"> an ongoing responsibility to</w:t>
      </w:r>
      <w:r w:rsidR="008745B5" w:rsidRPr="00AF7F53">
        <w:rPr>
          <w:rFonts w:ascii="Calibri" w:hAnsi="Calibri"/>
        </w:rPr>
        <w:t xml:space="preserve"> submit </w:t>
      </w:r>
      <w:r w:rsidR="00AF7F53">
        <w:rPr>
          <w:rFonts w:ascii="Calibri" w:hAnsi="Calibri"/>
        </w:rPr>
        <w:t xml:space="preserve">1) </w:t>
      </w:r>
      <w:r w:rsidR="008745B5" w:rsidRPr="00AF7F53">
        <w:rPr>
          <w:rFonts w:ascii="Calibri" w:hAnsi="Calibri"/>
        </w:rPr>
        <w:t xml:space="preserve">current and pending support disclosure statements </w:t>
      </w:r>
      <w:r w:rsidR="0037345C">
        <w:rPr>
          <w:rFonts w:ascii="Calibri" w:hAnsi="Calibri"/>
        </w:rPr>
        <w:t xml:space="preserve">and resumes </w:t>
      </w:r>
      <w:r w:rsidR="008745B5" w:rsidRPr="00AF7F53">
        <w:rPr>
          <w:rFonts w:ascii="Calibri" w:hAnsi="Calibri"/>
        </w:rPr>
        <w:t xml:space="preserve">for any new PI and senior/key personnel </w:t>
      </w:r>
      <w:r w:rsidR="00AD67FF">
        <w:rPr>
          <w:rFonts w:ascii="Calibri" w:hAnsi="Calibri"/>
        </w:rPr>
        <w:t xml:space="preserve">and </w:t>
      </w:r>
      <w:r w:rsidR="00AF7F53">
        <w:rPr>
          <w:rFonts w:ascii="Calibri" w:hAnsi="Calibri"/>
        </w:rPr>
        <w:t xml:space="preserve">2) </w:t>
      </w:r>
      <w:r w:rsidR="00AD67FF">
        <w:rPr>
          <w:rFonts w:ascii="Calibri" w:hAnsi="Calibri"/>
        </w:rPr>
        <w:t>updated disclosures if there are changes to the current and pending support</w:t>
      </w:r>
      <w:r w:rsidR="00705A15">
        <w:rPr>
          <w:rFonts w:ascii="Calibri" w:hAnsi="Calibri"/>
        </w:rPr>
        <w:t xml:space="preserve"> previously submitted to DOE. </w:t>
      </w:r>
      <w:r w:rsidR="004B27A6">
        <w:rPr>
          <w:rFonts w:ascii="Calibri" w:hAnsi="Calibri"/>
        </w:rPr>
        <w:t xml:space="preserve">Also </w:t>
      </w:r>
      <w:r w:rsidR="00D61CB0">
        <w:rPr>
          <w:rFonts w:ascii="Calibri" w:hAnsi="Calibri"/>
        </w:rPr>
        <w:t>See</w:t>
      </w:r>
      <w:r w:rsidR="004B27A6">
        <w:rPr>
          <w:rFonts w:ascii="Calibri" w:hAnsi="Calibri"/>
        </w:rPr>
        <w:t>.</w:t>
      </w:r>
      <w:r w:rsidR="00D61CB0">
        <w:rPr>
          <w:rFonts w:ascii="Calibri" w:hAnsi="Calibri"/>
        </w:rPr>
        <w:t xml:space="preserve"> Section </w:t>
      </w:r>
      <w:proofErr w:type="spellStart"/>
      <w:r w:rsidR="00D61CB0">
        <w:rPr>
          <w:rFonts w:ascii="Calibri" w:hAnsi="Calibri"/>
        </w:rPr>
        <w:t>IV.</w:t>
      </w:r>
      <w:proofErr w:type="gramStart"/>
      <w:r w:rsidR="00D61CB0">
        <w:rPr>
          <w:rFonts w:ascii="Calibri" w:hAnsi="Calibri"/>
        </w:rPr>
        <w:t>E.xvii</w:t>
      </w:r>
      <w:proofErr w:type="spellEnd"/>
      <w:r w:rsidR="00D61CB0">
        <w:rPr>
          <w:rFonts w:ascii="Calibri" w:hAnsi="Calibri"/>
        </w:rPr>
        <w:t>.</w:t>
      </w:r>
      <w:proofErr w:type="gramEnd"/>
    </w:p>
    <w:p w14:paraId="4713C8EB" w14:textId="5768BCF2" w:rsidR="00937482" w:rsidRPr="00225425" w:rsidRDefault="00937482" w:rsidP="00AD6783">
      <w:pPr>
        <w:ind w:left="720"/>
        <w:rPr>
          <w:rFonts w:cstheme="minorHAnsi"/>
        </w:rPr>
      </w:pPr>
    </w:p>
    <w:p w14:paraId="2D87B918" w14:textId="77777777" w:rsidR="002804FB" w:rsidRPr="00872882" w:rsidRDefault="002804FB" w:rsidP="00F836F4">
      <w:pPr>
        <w:pStyle w:val="FOAHeading3"/>
        <w:numPr>
          <w:ilvl w:val="0"/>
          <w:numId w:val="27"/>
        </w:numPr>
        <w:ind w:left="1440"/>
        <w:outlineLvl w:val="2"/>
      </w:pPr>
      <w:bookmarkStart w:id="571" w:name="_Toc109921768"/>
      <w:r w:rsidRPr="00C72CE2">
        <w:t>U.S. Manufacturing Commitment</w:t>
      </w:r>
      <w:r w:rsidRPr="0022038E">
        <w:t>s</w:t>
      </w:r>
      <w:bookmarkEnd w:id="571"/>
      <w:r w:rsidRPr="00C72CE2">
        <w:t xml:space="preserve"> </w:t>
      </w:r>
    </w:p>
    <w:p w14:paraId="7D5ED752" w14:textId="527AE9D4" w:rsidR="00E01755" w:rsidRPr="006A0390" w:rsidRDefault="00E01755" w:rsidP="00563B4B">
      <w:pPr>
        <w:spacing w:after="240"/>
        <w:ind w:left="1440"/>
        <w:rPr>
          <w:rFonts w:eastAsiaTheme="minorHAnsi" w:cstheme="minorHAnsi"/>
          <w:color w:val="000000"/>
          <w:szCs w:val="24"/>
          <w:highlight w:val="green"/>
        </w:rPr>
      </w:pPr>
      <w:r w:rsidRPr="0006278B">
        <w:t xml:space="preserve">A primary objective of DOE’s multi-billion dollar research, </w:t>
      </w:r>
      <w:proofErr w:type="gramStart"/>
      <w:r w:rsidRPr="0006278B">
        <w:t>development,  and</w:t>
      </w:r>
      <w:proofErr w:type="gramEnd"/>
      <w:r w:rsidRPr="0006278B">
        <w:t xml:space="preserve"> demonstration investments is to cultivate new research and development ecosystems, manufacturing capabilities, and supply chains for and by U.S. industry and labor. Therefore, in exchange for receiving taxpayer dollars to support an applicant’s project, the applicant must agree to a U.S</w:t>
      </w:r>
      <w:r>
        <w:t xml:space="preserve">. Competitiveness provision requiring any products embodying any subject invention or produced </w:t>
      </w:r>
      <w:proofErr w:type="gramStart"/>
      <w:r>
        <w:t>through the use of</w:t>
      </w:r>
      <w:proofErr w:type="gramEnd"/>
      <w:r>
        <w:t xml:space="preserve"> any subject invention will be manufactured substantially in the United States unless the Recipient can show to the satisfaction of DOE that it is not commercially feasible.  Award terms, including the specific U.S. Competitiveness Provision applicable to the various types of Recipients and projects, are available at </w:t>
      </w:r>
      <w:hyperlink r:id="rId76" w:history="1">
        <w:r w:rsidRPr="0026723F">
          <w:rPr>
            <w:rStyle w:val="Hyperlink"/>
          </w:rPr>
          <w:t>https://www.energy.gov/gc/standard-intellectual-property-ip-provisions-financial-assistance-awards</w:t>
        </w:r>
      </w:hyperlink>
      <w:r>
        <w:t>.</w:t>
      </w:r>
      <w:r w:rsidRPr="006A0390">
        <w:rPr>
          <w:rFonts w:cstheme="minorHAnsi"/>
          <w:szCs w:val="24"/>
          <w:highlight w:val="green"/>
        </w:rPr>
        <w:t xml:space="preserve"> </w:t>
      </w:r>
    </w:p>
    <w:p w14:paraId="0F64CD4D" w14:textId="70B92199" w:rsidR="00E01755" w:rsidRPr="0006278B" w:rsidRDefault="00E01755" w:rsidP="00E01755">
      <w:pPr>
        <w:pStyle w:val="BodyText"/>
        <w:ind w:left="1440" w:right="235"/>
      </w:pPr>
      <w:r w:rsidRPr="0006278B">
        <w:t>Please note that a subject invention is any invention conceived or first actually reduced to practice in performance of work under an award. An invention is any invention or discovery which is or may be patentable.  The recipient includes any awardee, recipient, sub-awardee, or sub-recipient.</w:t>
      </w:r>
    </w:p>
    <w:p w14:paraId="2924C9DB" w14:textId="77777777" w:rsidR="00E01755" w:rsidRPr="0006278B" w:rsidRDefault="00E01755" w:rsidP="00E01755">
      <w:pPr>
        <w:spacing w:after="240"/>
        <w:ind w:left="1440"/>
        <w:rPr>
          <w:rFonts w:cstheme="minorHAnsi"/>
          <w:szCs w:val="24"/>
        </w:rPr>
      </w:pPr>
      <w:r w:rsidRPr="0006278B">
        <w:t xml:space="preserve">As noted in the U.S. Competitiveness Provision, at any time in which an entity cannot meet the requirements of the U.S. Competitiveness Provision, the entity may request a modification or waiver of the U.S. Competitiveness Provision. For example, the entity may propose modifying the language of the U.S. Competitiveness Provision </w:t>
      </w:r>
      <w:proofErr w:type="gramStart"/>
      <w:r w:rsidRPr="0006278B">
        <w:t>in order to</w:t>
      </w:r>
      <w:proofErr w:type="gramEnd"/>
      <w:r w:rsidRPr="0006278B">
        <w:t xml:space="preserve"> change the scope of the requirements or to provide more specifics on the application of the requirements for a particular technology. As another example, the entity may request that the U.S. Competitiveness Provision be waived in lieu of a net benefits statement or U.S. manufacturing plan. The statement or plan would contain specific and enforceable commitments that would be beneficial to the U.S. economy and competitiveness. Examples of such commitments could include manufacturing specific products in the U.S., making a specific investment in a new or existing U.S. manufacturing facility, keeping certain activities based in the U.S. or supporting a </w:t>
      </w:r>
      <w:r w:rsidRPr="0006278B">
        <w:rPr>
          <w:rFonts w:cstheme="minorHAnsi"/>
          <w:szCs w:val="24"/>
        </w:rPr>
        <w:t xml:space="preserve">certain number of jobs in the U.S. related to the technology. If DOE, in its sole discretion, determines that the proposed modification or waiver promotes commercialization and provides substantial U.S. economic benefits, DOE may grant the request and, if granted, modify the award terms and conditions for the requesting entity accordingly.  </w:t>
      </w:r>
    </w:p>
    <w:p w14:paraId="0360A9F5" w14:textId="77777777" w:rsidR="00E01755" w:rsidRPr="006A0390" w:rsidRDefault="00E01755" w:rsidP="00E01755">
      <w:pPr>
        <w:spacing w:after="240"/>
        <w:ind w:left="1440"/>
        <w:rPr>
          <w:rFonts w:cstheme="minorHAnsi"/>
          <w:szCs w:val="24"/>
          <w:highlight w:val="green"/>
        </w:rPr>
      </w:pPr>
      <w:r>
        <w:t xml:space="preserve">More information and guidance on the waiver and modification request process can be found in the DOE Financial Assistance Letter on this topic, available at </w:t>
      </w:r>
      <w:r w:rsidRPr="00817340">
        <w:t>https://www.energy.gov/management/pf-2022-09-fal-2022-01-implementation-doe-determination-exceptional-circumstances-under</w:t>
      </w:r>
      <w:r>
        <w:t xml:space="preserve">.  Additional information on DOE’s </w:t>
      </w:r>
      <w:r w:rsidRPr="00EA6DF6">
        <w:t>Commitment to Domestic Manufacturing for DOE-funded R&amp;D</w:t>
      </w:r>
      <w:r>
        <w:t xml:space="preserve"> is available at </w:t>
      </w:r>
      <w:r w:rsidRPr="00EA6DF6">
        <w:t>https://www.energy.gov/gc/us-manufacturing</w:t>
      </w:r>
      <w:r>
        <w:t>.</w:t>
      </w:r>
    </w:p>
    <w:p w14:paraId="2E64D5DA" w14:textId="77777777" w:rsidR="00E01755" w:rsidRDefault="00E01755" w:rsidP="00E01755">
      <w:pPr>
        <w:ind w:left="1440"/>
      </w:pPr>
      <w:r w:rsidRPr="0006278B">
        <w:t>The U.S. Competitiveness Provision is implemented by DOE pursuant to a Determination of Exceptional Circumstances (DEC) under the Bayh-Dole Act and DOE Patent Waivers. See Section VIII.J. Title to Subject Inventions of this FOA for more information on the DEC and DOE Patent Waivers.</w:t>
      </w:r>
      <w:r>
        <w:t xml:space="preserve">  </w:t>
      </w:r>
    </w:p>
    <w:p w14:paraId="40F6A559" w14:textId="77777777" w:rsidR="006E3B7E" w:rsidRPr="00293A6D" w:rsidRDefault="006E3B7E" w:rsidP="006E3B7E">
      <w:pPr>
        <w:pStyle w:val="FOATemplateBody"/>
        <w:ind w:left="1440"/>
        <w:rPr>
          <w:b/>
          <w:bCs/>
          <w:szCs w:val="24"/>
          <w:highlight w:val="green"/>
        </w:rPr>
      </w:pPr>
    </w:p>
    <w:p w14:paraId="74DE6DB4" w14:textId="77777777" w:rsidR="008B5F00" w:rsidRPr="0006278B" w:rsidRDefault="008B5F00" w:rsidP="00F836F4">
      <w:pPr>
        <w:pStyle w:val="FOAHeading3"/>
        <w:numPr>
          <w:ilvl w:val="0"/>
          <w:numId w:val="27"/>
        </w:numPr>
        <w:ind w:left="1440"/>
        <w:outlineLvl w:val="2"/>
      </w:pPr>
      <w:bookmarkStart w:id="572" w:name="_Toc103174916"/>
      <w:bookmarkStart w:id="573" w:name="_Toc109921769"/>
      <w:bookmarkStart w:id="574" w:name="_Hlk97646453"/>
      <w:r w:rsidRPr="0006278B">
        <w:t>Interim Conflict of Interest Policy for Financial Assistance Policy</w:t>
      </w:r>
      <w:bookmarkEnd w:id="572"/>
      <w:bookmarkEnd w:id="573"/>
      <w:r w:rsidRPr="0006278B">
        <w:t xml:space="preserve"> </w:t>
      </w:r>
    </w:p>
    <w:p w14:paraId="142397D7" w14:textId="77777777" w:rsidR="008B5F00" w:rsidRPr="0006278B" w:rsidRDefault="008B5F00" w:rsidP="008B5F00">
      <w:pPr>
        <w:pStyle w:val="FOATemplateBody"/>
        <w:ind w:left="1440"/>
      </w:pPr>
      <w:r w:rsidRPr="0006278B">
        <w:t>The DOE interim Conflict of Interest Policy for Financial Assistance (COI Policy)</w:t>
      </w:r>
      <w:r w:rsidRPr="0006278B">
        <w:rPr>
          <w:rStyle w:val="FootnoteReference"/>
        </w:rPr>
        <w:footnoteReference w:id="88"/>
      </w:r>
      <w:r w:rsidRPr="0006278B">
        <w:t xml:space="preserve"> is applicable to all non-Federal entities applying for, or that receive, DOE funding by means of a financial assistance award (e.g., a grant, cooperative agreement, or technology investment agreement) and, through the implementation of this policy by the entity, to each Investigator who is planning to participate in, or is participating in, the project funded wholly or in part under the DOE financial assistance award. The term “Investigator” means the PI and any other person, regardless of title or position, who is responsible for the purpose, design, conduct, or reporting of a project funded by DOE or proposed for funding by DOE. Recipients must flow down the requirements of the interim COI Policy to any subrecipient non-Federal entities. Further, for EERE funded projects, the recipient must include all financial conflicts of interest (FCOI) (i.e., </w:t>
      </w:r>
      <w:proofErr w:type="gramStart"/>
      <w:r w:rsidRPr="0006278B">
        <w:t>managed</w:t>
      </w:r>
      <w:proofErr w:type="gramEnd"/>
      <w:r w:rsidRPr="0006278B">
        <w:t xml:space="preserve"> and unmanaged/ unmanageable) in their initial and ongoing FCOI reports.</w:t>
      </w:r>
    </w:p>
    <w:p w14:paraId="3484D9EA" w14:textId="77777777" w:rsidR="008B5F00" w:rsidRPr="0006278B" w:rsidRDefault="008B5F00" w:rsidP="008B5F00">
      <w:pPr>
        <w:pStyle w:val="FOATemplateBody"/>
        <w:ind w:left="1440"/>
      </w:pPr>
    </w:p>
    <w:p w14:paraId="67A8B26F" w14:textId="77777777" w:rsidR="008B5F00" w:rsidRPr="0006278B" w:rsidRDefault="008B5F00" w:rsidP="008B5F00">
      <w:pPr>
        <w:pStyle w:val="FOATemplateBody"/>
        <w:ind w:left="1440"/>
        <w:rPr>
          <w:b/>
          <w:bCs/>
          <w:szCs w:val="24"/>
        </w:rPr>
      </w:pPr>
      <w:r w:rsidRPr="0006278B">
        <w:rPr>
          <w:szCs w:val="24"/>
        </w:rPr>
        <w:t xml:space="preserve">It is understood that non-Federal entities and individuals receiving DOE financial assistance awards will need sufficient time to come into full compliance with DOE’s interim COI Policy. To provide some flexibility, EERE allows for a staggered implementation. </w:t>
      </w:r>
      <w:r w:rsidRPr="0006278B">
        <w:rPr>
          <w:b/>
          <w:bCs/>
          <w:szCs w:val="24"/>
        </w:rPr>
        <w:t xml:space="preserve">Specifically, </w:t>
      </w:r>
      <w:r w:rsidRPr="0006278B">
        <w:rPr>
          <w:b/>
          <w:bCs/>
        </w:rPr>
        <w:t xml:space="preserve">prior to award, applicants selected for award negotiations must: ensure all Investigators complete their significant financial </w:t>
      </w:r>
      <w:proofErr w:type="gramStart"/>
      <w:r w:rsidRPr="0006278B">
        <w:rPr>
          <w:b/>
          <w:bCs/>
        </w:rPr>
        <w:t>disclosures;  review</w:t>
      </w:r>
      <w:proofErr w:type="gramEnd"/>
      <w:r w:rsidRPr="0006278B">
        <w:rPr>
          <w:b/>
          <w:bCs/>
        </w:rPr>
        <w:t xml:space="preserve"> the disclosures; determine whether a FCOI exists; develop and implement a management plan for FCOIs; and provide DOE with an initial FCOI report that includes all FCOIs (i.e., managed and unmanaged/ unmanageable).</w:t>
      </w:r>
      <w:r w:rsidRPr="0006278B">
        <w:t xml:space="preserve"> Recipients will have 180 days from the date of the award to come into full compliance with the other requirements set forth in DOE’s interim COI Policy. </w:t>
      </w:r>
      <w:r w:rsidRPr="0006278B">
        <w:rPr>
          <w:b/>
          <w:bCs/>
        </w:rPr>
        <w:t>Prior to award, the applicant must certify that it is, or will be within 180 days of the award, compliant with all requirements in the COI Policy.</w:t>
      </w:r>
    </w:p>
    <w:p w14:paraId="01A3D48E" w14:textId="77777777" w:rsidR="008B5F00" w:rsidRPr="00AA4320" w:rsidRDefault="008B5F00" w:rsidP="00AA4320"/>
    <w:p w14:paraId="29F5B27E" w14:textId="48BFD038" w:rsidR="006E3B7E" w:rsidRPr="0006278B" w:rsidRDefault="006E3B7E" w:rsidP="006E3B7E">
      <w:pPr>
        <w:pStyle w:val="FOAHeading3"/>
        <w:ind w:left="1440"/>
        <w:outlineLvl w:val="2"/>
      </w:pPr>
      <w:bookmarkStart w:id="575" w:name="_Toc109921770"/>
      <w:r w:rsidRPr="0006278B">
        <w:t>Fraud, Waste and Abuse</w:t>
      </w:r>
      <w:bookmarkEnd w:id="575"/>
    </w:p>
    <w:p w14:paraId="2CFCE1A1" w14:textId="6C552ECD" w:rsidR="008B5F00" w:rsidRPr="0006278B" w:rsidRDefault="008B5F00" w:rsidP="008B5F00">
      <w:pPr>
        <w:pStyle w:val="FOATemplateBody"/>
        <w:ind w:left="1440"/>
        <w:rPr>
          <w:rFonts w:asciiTheme="minorHAnsi" w:hAnsiTheme="minorHAnsi"/>
        </w:rPr>
      </w:pPr>
      <w:r w:rsidRPr="0006278B">
        <w:rPr>
          <w:rFonts w:asciiTheme="minorHAnsi" w:hAnsiTheme="minorHAnsi"/>
        </w:rPr>
        <w:t xml:space="preserve">The mission of the DOE Office of Inspector General (OIG) is to strengthen the integrity, economy and efficiency of the Department’s programs and operations including deterring and detecting fraud, waste, </w:t>
      </w:r>
      <w:proofErr w:type="gramStart"/>
      <w:r w:rsidRPr="0006278B">
        <w:rPr>
          <w:rFonts w:asciiTheme="minorHAnsi" w:hAnsiTheme="minorHAnsi"/>
        </w:rPr>
        <w:t>abuse</w:t>
      </w:r>
      <w:proofErr w:type="gramEnd"/>
      <w:r w:rsidRPr="0006278B">
        <w:rPr>
          <w:rFonts w:asciiTheme="minorHAnsi" w:hAnsiTheme="minorHAnsi"/>
        </w:rPr>
        <w:t xml:space="preserve"> and mismanagement.  The OIG accomplishes this mission primarily through investigations, audits, and inspections of DOE activities to include grants, cooperative agreements, loans, and contracts. </w:t>
      </w:r>
    </w:p>
    <w:p w14:paraId="7C68B59A" w14:textId="77777777" w:rsidR="008B5F00" w:rsidRPr="0006278B" w:rsidRDefault="008B5F00" w:rsidP="008B5F00">
      <w:pPr>
        <w:pStyle w:val="FOATemplateBody"/>
        <w:ind w:left="1440"/>
        <w:rPr>
          <w:rFonts w:asciiTheme="minorHAnsi" w:hAnsiTheme="minorHAnsi"/>
        </w:rPr>
      </w:pPr>
      <w:r w:rsidRPr="0006278B">
        <w:rPr>
          <w:rFonts w:asciiTheme="minorHAnsi" w:hAnsiTheme="minorHAnsi"/>
        </w:rPr>
        <w:t xml:space="preserve">The OIG maintains a Hotline for reporting allegations of fraud, waste, abuse, or mismanagement. To report such allegations, please visit </w:t>
      </w:r>
      <w:hyperlink r:id="rId77" w:history="1">
        <w:r w:rsidRPr="0006278B">
          <w:rPr>
            <w:rStyle w:val="Hyperlink"/>
            <w:rFonts w:asciiTheme="minorHAnsi" w:hAnsiTheme="minorHAnsi"/>
          </w:rPr>
          <w:t>https://www.energy.gov/ig/ig-hotline</w:t>
        </w:r>
      </w:hyperlink>
      <w:r w:rsidRPr="0006278B">
        <w:rPr>
          <w:rFonts w:asciiTheme="minorHAnsi" w:hAnsiTheme="minorHAnsi"/>
        </w:rPr>
        <w:t>.</w:t>
      </w:r>
    </w:p>
    <w:p w14:paraId="580BC629" w14:textId="77777777" w:rsidR="008B5F00" w:rsidRPr="0006278B" w:rsidRDefault="008B5F00" w:rsidP="008B5F00">
      <w:pPr>
        <w:pStyle w:val="FOATemplateBody"/>
        <w:ind w:left="1440"/>
        <w:rPr>
          <w:rFonts w:asciiTheme="minorHAnsi" w:hAnsiTheme="minorHAnsi"/>
        </w:rPr>
      </w:pPr>
      <w:r w:rsidRPr="0006278B">
        <w:rPr>
          <w:rFonts w:asciiTheme="minorHAnsi" w:hAnsiTheme="minorHAnsi"/>
        </w:rPr>
        <w:t xml:space="preserve"> </w:t>
      </w:r>
    </w:p>
    <w:p w14:paraId="56BDFE6A" w14:textId="77777777" w:rsidR="008B5F00" w:rsidRPr="0006278B" w:rsidRDefault="008B5F00" w:rsidP="008B5F00">
      <w:pPr>
        <w:pStyle w:val="FOATemplateBody"/>
        <w:ind w:left="1440"/>
        <w:rPr>
          <w:rFonts w:asciiTheme="minorHAnsi" w:hAnsiTheme="minorHAnsi"/>
        </w:rPr>
      </w:pPr>
      <w:r w:rsidRPr="0006278B">
        <w:rPr>
          <w:rFonts w:asciiTheme="minorHAnsi" w:hAnsiTheme="minorHAnsi"/>
        </w:rPr>
        <w:t xml:space="preserve">Additionally, recipients of DOE awards must be cognizant of the requirements of </w:t>
      </w:r>
      <w:hyperlink r:id="rId78" w:history="1">
        <w:r w:rsidRPr="0006278B">
          <w:rPr>
            <w:rStyle w:val="Hyperlink"/>
            <w:rFonts w:cs="Calibri"/>
            <w:szCs w:val="24"/>
          </w:rPr>
          <w:t>2 CFR 200.113 Mandatory disclosures</w:t>
        </w:r>
      </w:hyperlink>
      <w:r w:rsidRPr="0006278B">
        <w:rPr>
          <w:rFonts w:asciiTheme="minorHAnsi" w:hAnsiTheme="minorHAnsi"/>
        </w:rPr>
        <w:t>, which states:</w:t>
      </w:r>
    </w:p>
    <w:p w14:paraId="51D61B72" w14:textId="77777777" w:rsidR="008B5F00" w:rsidRPr="0006278B" w:rsidRDefault="008B5F00" w:rsidP="008B5F00">
      <w:pPr>
        <w:pStyle w:val="FOATemplateBody"/>
        <w:ind w:left="1440"/>
        <w:rPr>
          <w:rFonts w:asciiTheme="minorHAnsi" w:hAnsiTheme="minorHAnsi"/>
        </w:rPr>
      </w:pPr>
      <w:r w:rsidRPr="0006278B">
        <w:rPr>
          <w:rFonts w:asciiTheme="minorHAnsi" w:hAnsiTheme="minorHAnsi"/>
        </w:rPr>
        <w:t xml:space="preserve"> </w:t>
      </w:r>
    </w:p>
    <w:p w14:paraId="1DE7D6AF" w14:textId="77777777" w:rsidR="008B5F00" w:rsidRPr="00962870" w:rsidRDefault="008B5F00" w:rsidP="008B5F00">
      <w:pPr>
        <w:pStyle w:val="FOATemplateBody"/>
        <w:ind w:left="2160" w:right="720"/>
        <w:rPr>
          <w:rFonts w:asciiTheme="minorHAnsi" w:hAnsiTheme="minorHAnsi"/>
        </w:rPr>
      </w:pPr>
      <w:r w:rsidRPr="0006278B">
        <w:rPr>
          <w:rFonts w:asciiTheme="minorHAnsi" w:hAnsiTheme="minorHAnsi"/>
        </w:rPr>
        <w:t xml:space="preserve">The non-Federal entity or applicant for a </w:t>
      </w:r>
      <w:proofErr w:type="gramStart"/>
      <w:r w:rsidRPr="0006278B">
        <w:rPr>
          <w:rFonts w:asciiTheme="minorHAnsi" w:hAnsiTheme="minorHAnsi"/>
        </w:rPr>
        <w:t>Federal</w:t>
      </w:r>
      <w:proofErr w:type="gramEnd"/>
      <w:r w:rsidRPr="0006278B">
        <w:rPr>
          <w:rFonts w:asciiTheme="minorHAnsi" w:hAnsiTheme="minorHAnsi"/>
        </w:rPr>
        <w:t xml:space="preserve"> award must disclose, in a timely manner, in writing to the Federal awarding agency or pass-through entity all violations of Federal criminal law involving fraud, bribery, or gratuity violations potentially affecting the Federal award. Non-Federal entities that have received a </w:t>
      </w:r>
      <w:proofErr w:type="gramStart"/>
      <w:r w:rsidRPr="0006278B">
        <w:rPr>
          <w:rFonts w:asciiTheme="minorHAnsi" w:hAnsiTheme="minorHAnsi"/>
        </w:rPr>
        <w:t>Federal</w:t>
      </w:r>
      <w:proofErr w:type="gramEnd"/>
      <w:r w:rsidRPr="0006278B">
        <w:rPr>
          <w:rFonts w:asciiTheme="minorHAnsi" w:hAnsiTheme="minorHAnsi"/>
        </w:rPr>
        <w:t xml:space="preserve"> award including the term and condition outlined in appendix XII of 2 CFR Part 200 are required to report certain civil, criminal, or administrative proceedings to SAM (currently FAPIIS). Failure to make required disclosures can result in any of the remedies described in </w:t>
      </w:r>
      <w:hyperlink r:id="rId79" w:history="1">
        <w:r w:rsidRPr="0006278B">
          <w:rPr>
            <w:rStyle w:val="Hyperlink"/>
            <w:rFonts w:cs="Calibri"/>
            <w:szCs w:val="24"/>
          </w:rPr>
          <w:t>2 CFR 200.339</w:t>
        </w:r>
      </w:hyperlink>
      <w:r w:rsidRPr="0006278B">
        <w:rPr>
          <w:rFonts w:cs="Calibri"/>
          <w:color w:val="000000"/>
          <w:szCs w:val="24"/>
        </w:rPr>
        <w:t xml:space="preserve">. (See also </w:t>
      </w:r>
      <w:hyperlink r:id="rId80" w:history="1">
        <w:r w:rsidRPr="0006278B">
          <w:rPr>
            <w:rStyle w:val="Hyperlink"/>
            <w:rFonts w:cs="Calibri"/>
            <w:szCs w:val="24"/>
          </w:rPr>
          <w:t>2 CFR part 180</w:t>
        </w:r>
      </w:hyperlink>
      <w:r w:rsidRPr="0006278B">
        <w:rPr>
          <w:rFonts w:cs="Calibri"/>
          <w:color w:val="000000"/>
          <w:szCs w:val="24"/>
        </w:rPr>
        <w:t xml:space="preserve">, </w:t>
      </w:r>
      <w:hyperlink r:id="rId81" w:tgtFrame="_blank" w:history="1">
        <w:r w:rsidRPr="0006278B">
          <w:rPr>
            <w:rStyle w:val="Hyperlink"/>
            <w:rFonts w:cs="Calibri"/>
            <w:szCs w:val="24"/>
          </w:rPr>
          <w:t>31 U.S.C. 3321</w:t>
        </w:r>
      </w:hyperlink>
      <w:r w:rsidRPr="0006278B">
        <w:rPr>
          <w:rFonts w:cs="Calibri"/>
          <w:color w:val="000000"/>
          <w:szCs w:val="24"/>
        </w:rPr>
        <w:t xml:space="preserve">, and </w:t>
      </w:r>
      <w:hyperlink r:id="rId82" w:tgtFrame="_blank" w:history="1">
        <w:r w:rsidRPr="0006278B">
          <w:rPr>
            <w:rStyle w:val="Hyperlink"/>
            <w:rFonts w:cs="Calibri"/>
            <w:szCs w:val="24"/>
          </w:rPr>
          <w:t>41 U.S.C. 2313</w:t>
        </w:r>
      </w:hyperlink>
      <w:r w:rsidRPr="0006278B">
        <w:rPr>
          <w:rFonts w:cs="Calibri"/>
          <w:color w:val="000000"/>
          <w:szCs w:val="24"/>
        </w:rPr>
        <w:t>.)     [</w:t>
      </w:r>
      <w:hyperlink r:id="rId83" w:history="1">
        <w:r w:rsidRPr="0006278B">
          <w:rPr>
            <w:rStyle w:val="Hyperlink"/>
            <w:rFonts w:cs="Calibri"/>
            <w:szCs w:val="24"/>
          </w:rPr>
          <w:t>85 FR 49539</w:t>
        </w:r>
      </w:hyperlink>
      <w:r w:rsidRPr="0006278B">
        <w:rPr>
          <w:rFonts w:cs="Calibri"/>
          <w:color w:val="000000"/>
          <w:szCs w:val="24"/>
        </w:rPr>
        <w:t>, Aug. 13, 2020]</w:t>
      </w:r>
    </w:p>
    <w:p w14:paraId="6502D847" w14:textId="77777777" w:rsidR="00AA4753" w:rsidRDefault="00AA4753" w:rsidP="00AA4753">
      <w:pPr>
        <w:pStyle w:val="FOATemplateBody"/>
        <w:ind w:left="1440"/>
      </w:pPr>
    </w:p>
    <w:p w14:paraId="5ABE2502" w14:textId="392FF64F" w:rsidR="00673B30" w:rsidRDefault="00673B30" w:rsidP="006E3B7E">
      <w:pPr>
        <w:pStyle w:val="FOAHeading3"/>
        <w:ind w:left="1440"/>
        <w:outlineLvl w:val="2"/>
      </w:pPr>
      <w:bookmarkStart w:id="576" w:name="_Toc109921771"/>
      <w:r>
        <w:t>Human Research Subjects</w:t>
      </w:r>
      <w:bookmarkEnd w:id="576"/>
    </w:p>
    <w:p w14:paraId="6ABA9BD8" w14:textId="77777777" w:rsidR="00AA4753" w:rsidRDefault="00AA4753" w:rsidP="00AA4753">
      <w:pPr>
        <w:pStyle w:val="FOATemplateBody"/>
        <w:ind w:left="1440"/>
      </w:pPr>
      <w:r>
        <w:t xml:space="preserve">Research involving human subjects, biospecimens, or identifiable private information conducted with Department of Energy (DOE) funding is subject to the requirements of DOE Order 443.1C, Protection of Human Research Subjects, 45 CFR Part 46, Protection of Human Subjects (subpart A which is referred to as the “Common Rule”), and 10 CFR Part 745, Protection of Human Subjects.  </w:t>
      </w:r>
    </w:p>
    <w:p w14:paraId="13F99D7D" w14:textId="77777777" w:rsidR="00AA4753" w:rsidRDefault="00AA4753" w:rsidP="00AA4753">
      <w:pPr>
        <w:pStyle w:val="FOATemplateBody"/>
        <w:ind w:left="1440"/>
      </w:pPr>
    </w:p>
    <w:p w14:paraId="6A1B8D17" w14:textId="77777777" w:rsidR="00AA4753" w:rsidRDefault="00AA4753" w:rsidP="00AA4753">
      <w:pPr>
        <w:pStyle w:val="FOATemplateBody"/>
        <w:ind w:left="1440"/>
      </w:pPr>
      <w:r>
        <w:t>Federal regulation and the DOE Order require review by an Institutional Review Board (IRB) of all proposed human subjects research projects. The IRB is an interdisciplinary ethics board responsible for ensuring that the proposed research is sound and justifies the use of human subjects or their data; the potential risks to human subjects have been minimized; participation is voluntary; and clear and accurate information about the study, the benefits and risks of participating, and how individuals’ data/specimens will be protected/used, is provided to potential participants for their use in determining whether or not to participate.</w:t>
      </w:r>
    </w:p>
    <w:p w14:paraId="3E008C8A" w14:textId="77777777" w:rsidR="00AA4753" w:rsidRDefault="00AA4753" w:rsidP="00AA4753">
      <w:pPr>
        <w:pStyle w:val="FOATemplateBody"/>
        <w:ind w:left="1440"/>
      </w:pPr>
    </w:p>
    <w:p w14:paraId="361C542A" w14:textId="77777777" w:rsidR="00AA4753" w:rsidRDefault="00AA4753" w:rsidP="00AA4753">
      <w:pPr>
        <w:pStyle w:val="FOATemplateBody"/>
        <w:ind w:left="1440"/>
      </w:pPr>
      <w:r>
        <w:t xml:space="preserve">The recipient shall provide the Federal Wide Assurance number identified in item 1) below and the certification identified in item 2) below to DOE prior to initiation of any project that will involve interactions with humans in some way (e.g., through surveys); analysis of their identifiable data (e.g., demographic data and energy use over time); asking individuals to test devices, products, or materials developed through research; and/or testing of commercially available devices in buildings/homes in which humans will be present.  Note: This list of examples is illustrative and not all inclusive.  </w:t>
      </w:r>
    </w:p>
    <w:p w14:paraId="77D5946A" w14:textId="77777777" w:rsidR="00AA4753" w:rsidRDefault="00AA4753" w:rsidP="00AA4753">
      <w:pPr>
        <w:pStyle w:val="FOATemplateBody"/>
        <w:ind w:left="1440"/>
      </w:pPr>
    </w:p>
    <w:p w14:paraId="57AB9972" w14:textId="77777777" w:rsidR="00AA4753" w:rsidRDefault="00AA4753" w:rsidP="00AA4753">
      <w:pPr>
        <w:pStyle w:val="FOATemplateBody"/>
        <w:ind w:left="1440"/>
      </w:pPr>
      <w:r>
        <w:t xml:space="preserve">No DOE funded research activity involving human subjects, biospecimens, or identifiable private information shall be conducted without:  </w:t>
      </w:r>
    </w:p>
    <w:p w14:paraId="6D2A9CD4" w14:textId="77777777" w:rsidR="00AA4753" w:rsidRDefault="00AA4753" w:rsidP="00AA4753">
      <w:pPr>
        <w:pStyle w:val="FOATemplateBody"/>
        <w:ind w:left="1440"/>
      </w:pPr>
    </w:p>
    <w:p w14:paraId="16CF58DE" w14:textId="77777777" w:rsidR="00AA4753" w:rsidRDefault="00AA4753" w:rsidP="00AA4753">
      <w:pPr>
        <w:pStyle w:val="FOATemplateBody"/>
        <w:ind w:left="1440"/>
      </w:pPr>
      <w:r>
        <w:t>1)</w:t>
      </w:r>
      <w:r>
        <w:tab/>
        <w:t xml:space="preserve">A registration and a Federal Wide Assurance of compliance accepted by the Office of Human Research Protection (OHRP) in the Department of Health and Human Services; and </w:t>
      </w:r>
    </w:p>
    <w:p w14:paraId="2B910D33" w14:textId="77777777" w:rsidR="00AA4753" w:rsidRDefault="00AA4753" w:rsidP="00AA4753">
      <w:pPr>
        <w:pStyle w:val="FOATemplateBody"/>
        <w:ind w:left="1440"/>
      </w:pPr>
      <w:r>
        <w:t>2)</w:t>
      </w:r>
      <w:r>
        <w:tab/>
        <w:t>Certification that the research has been reviewed and approved by an Institutional Review Board (IRB) provided for in the assurance.  IRB review may be accomplished by the awardee’s institutional IRB; by the Central DOE IRB; or if collaborating with one of the DOE national laboratories, by the DOE national laboratory IRB.</w:t>
      </w:r>
    </w:p>
    <w:p w14:paraId="76B41B1E" w14:textId="77777777" w:rsidR="00AA4753" w:rsidRDefault="00AA4753" w:rsidP="00AA4753">
      <w:pPr>
        <w:pStyle w:val="FOATemplateBody"/>
        <w:ind w:left="1440"/>
      </w:pPr>
    </w:p>
    <w:p w14:paraId="76813393" w14:textId="77777777" w:rsidR="00AA4753" w:rsidRDefault="00AA4753" w:rsidP="00AA4753">
      <w:pPr>
        <w:pStyle w:val="FOATemplateBody"/>
        <w:ind w:left="1440"/>
      </w:pPr>
      <w:r>
        <w:t xml:space="preserve">The recipient is responsible for ensuring all subrecipients comply and for reporting information on the project annually to the DOE Human Subjects Research Database (HSRD) at https://science.osti.gov/HumanSubjects/Human-Subjects-Database/home.  Note:  If a DOE IRB is used, no end of year reporting will be needed. </w:t>
      </w:r>
    </w:p>
    <w:p w14:paraId="55A47AF9" w14:textId="77777777" w:rsidR="00AA4753" w:rsidRDefault="00AA4753" w:rsidP="00AA4753">
      <w:pPr>
        <w:pStyle w:val="FOATemplateBody"/>
        <w:ind w:left="1440"/>
      </w:pPr>
    </w:p>
    <w:p w14:paraId="0008F85D" w14:textId="1B4A125D" w:rsidR="00AA4753" w:rsidRDefault="00AA4753" w:rsidP="00AA4753">
      <w:pPr>
        <w:pStyle w:val="FOATemplateBody"/>
        <w:ind w:left="1440"/>
      </w:pPr>
      <w:r>
        <w:t>Additional information on the DOE Human Subjects Research Program can be found at: HUMAN SUBJECTS Human Subjects Pr... | U.S. DOE Office of Science (SC) (osti.gov).</w:t>
      </w:r>
    </w:p>
    <w:p w14:paraId="03AF410C" w14:textId="77777777" w:rsidR="00AA4753" w:rsidRDefault="00AA4753" w:rsidP="00AA4753">
      <w:pPr>
        <w:pStyle w:val="FOATemplateBody"/>
        <w:ind w:left="1440"/>
      </w:pPr>
    </w:p>
    <w:p w14:paraId="574C3DA9" w14:textId="4F50E62A" w:rsidR="00673B30" w:rsidRPr="00DB1DE6" w:rsidRDefault="00673B30" w:rsidP="006E3B7E">
      <w:pPr>
        <w:pStyle w:val="FOAHeading3"/>
        <w:ind w:left="1440"/>
        <w:outlineLvl w:val="2"/>
      </w:pPr>
      <w:bookmarkStart w:id="577" w:name="_Toc109921772"/>
      <w:r>
        <w:t>Data Management Plan (DMP</w:t>
      </w:r>
      <w:r w:rsidR="00E900D0">
        <w:t>)</w:t>
      </w:r>
      <w:bookmarkEnd w:id="577"/>
    </w:p>
    <w:p w14:paraId="5B63C09D" w14:textId="5A040193" w:rsidR="00AA4753" w:rsidRDefault="00AA4753" w:rsidP="006E3B7E">
      <w:pPr>
        <w:pStyle w:val="FOATemplateBody"/>
        <w:ind w:left="1440"/>
        <w:rPr>
          <w:rFonts w:asciiTheme="minorHAnsi" w:hAnsiTheme="minorHAnsi"/>
        </w:rPr>
      </w:pPr>
      <w:r w:rsidRPr="00AA4753">
        <w:rPr>
          <w:rFonts w:asciiTheme="minorHAnsi" w:hAnsiTheme="minorHAnsi"/>
        </w:rPr>
        <w:t xml:space="preserve">During the award negotiations phase, each applicant whose Full Application is selected for award negotiations will be required to finalize the DMP that was submitted as part of the application. A DMP explains how, when appropriate, data generated in the course of the work performed under an EERE award will be shared and preserved </w:t>
      </w:r>
      <w:proofErr w:type="gramStart"/>
      <w:r w:rsidRPr="00AA4753">
        <w:rPr>
          <w:rFonts w:asciiTheme="minorHAnsi" w:hAnsiTheme="minorHAnsi"/>
        </w:rPr>
        <w:t>in order to</w:t>
      </w:r>
      <w:proofErr w:type="gramEnd"/>
      <w:r w:rsidRPr="00AA4753">
        <w:rPr>
          <w:rFonts w:asciiTheme="minorHAnsi" w:hAnsiTheme="minorHAnsi"/>
        </w:rPr>
        <w:t xml:space="preserve"> validate the results of the proposed work or how the results could be validated if the data is not shared or preserved. The DMP must provide a plan for making all research data displayed in publications resulting from the proposed work digitally accessible at the time of publications.</w:t>
      </w:r>
    </w:p>
    <w:p w14:paraId="66BD5A7D" w14:textId="77777777" w:rsidR="00AA4753" w:rsidRDefault="00AA4753" w:rsidP="006E3B7E">
      <w:pPr>
        <w:pStyle w:val="FOATemplateBody"/>
        <w:ind w:left="1440"/>
        <w:rPr>
          <w:rFonts w:asciiTheme="minorHAnsi" w:hAnsiTheme="minorHAnsi"/>
        </w:rPr>
      </w:pPr>
    </w:p>
    <w:p w14:paraId="475C482F" w14:textId="3EBFEAA3" w:rsidR="00B07932" w:rsidRPr="00126FBB" w:rsidRDefault="004E672B" w:rsidP="0017729B">
      <w:pPr>
        <w:pStyle w:val="FOAHeading1"/>
      </w:pPr>
      <w:bookmarkStart w:id="578" w:name="_Toc62061180"/>
      <w:bookmarkStart w:id="579" w:name="_Toc62108932"/>
      <w:bookmarkStart w:id="580" w:name="_Toc517798939"/>
      <w:bookmarkStart w:id="581" w:name="_Toc519602267"/>
      <w:bookmarkStart w:id="582" w:name="_Toc519602439"/>
      <w:bookmarkStart w:id="583" w:name="_Toc109921773"/>
      <w:bookmarkEnd w:id="234"/>
      <w:bookmarkEnd w:id="235"/>
      <w:bookmarkEnd w:id="236"/>
      <w:bookmarkEnd w:id="574"/>
      <w:bookmarkEnd w:id="578"/>
      <w:bookmarkEnd w:id="579"/>
      <w:r w:rsidRPr="00126FBB">
        <w:t>Questions/Agency Contacts</w:t>
      </w:r>
      <w:bookmarkEnd w:id="580"/>
      <w:bookmarkEnd w:id="581"/>
      <w:bookmarkEnd w:id="582"/>
      <w:bookmarkEnd w:id="583"/>
    </w:p>
    <w:p w14:paraId="486221B6" w14:textId="226E6573" w:rsidR="00514F0B" w:rsidRPr="008858B4" w:rsidRDefault="004E672B" w:rsidP="00943BBB">
      <w:pPr>
        <w:ind w:left="1440"/>
      </w:pPr>
      <w:r w:rsidRPr="008858B4">
        <w:t xml:space="preserve">Upon the issuance of a FOA, EERE personnel are prohibited from communicating (in writing or otherwise) with applicants regarding the FOA except through the established question and answer process as described below. </w:t>
      </w:r>
      <w:r w:rsidR="006D4F08" w:rsidRPr="006D4F08">
        <w:t xml:space="preserve">Specifically, questions regarding the content of this FOA must be submitted </w:t>
      </w:r>
      <w:r w:rsidR="00385654">
        <w:t>to</w:t>
      </w:r>
      <w:r w:rsidR="00385654" w:rsidRPr="008858B4">
        <w:t>:</w:t>
      </w:r>
      <w:r w:rsidR="00385654">
        <w:t xml:space="preserve"> </w:t>
      </w:r>
      <w:hyperlink r:id="rId84" w:history="1">
        <w:r w:rsidR="001A62FF" w:rsidRPr="00241688">
          <w:rPr>
            <w:rStyle w:val="Hyperlink"/>
          </w:rPr>
          <w:t>SI.Grid-FOA.SETO@ee.doe.gov</w:t>
        </w:r>
      </w:hyperlink>
      <w:r w:rsidR="00385654" w:rsidRPr="008858B4">
        <w:t>.</w:t>
      </w:r>
      <w:r w:rsidR="00385654">
        <w:t xml:space="preserve"> </w:t>
      </w:r>
      <w:r w:rsidR="006D4F08" w:rsidRPr="006D4F08">
        <w:t>Questions must be submitted not later than 3 business days prior to the application due date and time. Please note, feedback on individual concepts will not be provided through Q&amp;A.</w:t>
      </w:r>
      <w:r>
        <w:t xml:space="preserve"> </w:t>
      </w:r>
    </w:p>
    <w:p w14:paraId="77B41A1B" w14:textId="77777777" w:rsidR="00B07932" w:rsidRPr="008858B4" w:rsidRDefault="00B07932" w:rsidP="00943BBB">
      <w:pPr>
        <w:ind w:left="1440"/>
      </w:pPr>
    </w:p>
    <w:p w14:paraId="535A7997" w14:textId="43D11369" w:rsidR="00B07932" w:rsidRPr="008858B4" w:rsidRDefault="004E672B" w:rsidP="00943BBB">
      <w:pPr>
        <w:ind w:left="1440"/>
      </w:pPr>
      <w:r w:rsidRPr="008858B4">
        <w:t xml:space="preserve">All questions and answers related to this FOA will be posted on </w:t>
      </w:r>
      <w:r w:rsidR="002C6207">
        <w:t>EERE Exchange</w:t>
      </w:r>
      <w:r w:rsidR="002C6207" w:rsidRPr="008858B4">
        <w:t xml:space="preserve"> </w:t>
      </w:r>
      <w:r w:rsidRPr="008858B4">
        <w:t xml:space="preserve">at: </w:t>
      </w:r>
      <w:hyperlink r:id="rId85" w:history="1">
        <w:r w:rsidR="002C6207" w:rsidRPr="002C6207">
          <w:rPr>
            <w:rStyle w:val="Hyperlink"/>
          </w:rPr>
          <w:t>https://eere-exchange.energy.gov</w:t>
        </w:r>
      </w:hyperlink>
      <w:r w:rsidRPr="008858B4">
        <w:t xml:space="preserve">. </w:t>
      </w:r>
      <w:r w:rsidRPr="00120F39">
        <w:rPr>
          <w:b/>
        </w:rPr>
        <w:t xml:space="preserve">Please note that you must first select this specific FOA Number </w:t>
      </w:r>
      <w:proofErr w:type="gramStart"/>
      <w:r w:rsidRPr="00120F39">
        <w:rPr>
          <w:b/>
        </w:rPr>
        <w:t>in order to</w:t>
      </w:r>
      <w:proofErr w:type="gramEnd"/>
      <w:r w:rsidRPr="00120F39">
        <w:rPr>
          <w:b/>
        </w:rPr>
        <w:t xml:space="preserve"> view the questions and answers specific to this FOA</w:t>
      </w:r>
      <w:r w:rsidRPr="008858B4">
        <w:t xml:space="preserve">. EERE will attempt to respond to a question within 3 business </w:t>
      </w:r>
      <w:proofErr w:type="gramStart"/>
      <w:r w:rsidRPr="008858B4">
        <w:t>days, unless</w:t>
      </w:r>
      <w:proofErr w:type="gramEnd"/>
      <w:r w:rsidRPr="008858B4">
        <w:t xml:space="preserve"> a similar question and answer has already been posted on the website.</w:t>
      </w:r>
    </w:p>
    <w:p w14:paraId="50F77264" w14:textId="77777777" w:rsidR="00B07932" w:rsidRPr="008858B4" w:rsidRDefault="00B07932" w:rsidP="00943BBB">
      <w:pPr>
        <w:ind w:left="1440"/>
      </w:pPr>
    </w:p>
    <w:p w14:paraId="7F6F0B8A" w14:textId="56F970C8" w:rsidR="00EB0439" w:rsidRPr="008858B4" w:rsidRDefault="00EB0439" w:rsidP="00EB0439">
      <w:pPr>
        <w:ind w:left="1440"/>
      </w:pPr>
      <w:r>
        <w:t xml:space="preserve">Questions related to the registration process and use of the EERE Exchange website should be submitted to: </w:t>
      </w:r>
      <w:hyperlink r:id="rId86" w:history="1">
        <w:r w:rsidRPr="00EB0439">
          <w:rPr>
            <w:rStyle w:val="Hyperlink"/>
          </w:rPr>
          <w:t>EERE-ExchangeSupport@hq.doe.gov</w:t>
        </w:r>
      </w:hyperlink>
      <w:r>
        <w:t>.</w:t>
      </w:r>
      <w:r w:rsidRPr="008858B4" w:rsidDel="00EB0439">
        <w:t xml:space="preserve"> </w:t>
      </w:r>
    </w:p>
    <w:p w14:paraId="67468DB2" w14:textId="77777777" w:rsidR="00B07932" w:rsidRDefault="00B07932" w:rsidP="008858B4"/>
    <w:p w14:paraId="18B6C161" w14:textId="0C0084DC" w:rsidR="00B07932" w:rsidRPr="00126FBB" w:rsidRDefault="004E672B" w:rsidP="0017729B">
      <w:pPr>
        <w:pStyle w:val="FOAHeading1"/>
      </w:pPr>
      <w:bookmarkStart w:id="584" w:name="_Toc515980143"/>
      <w:bookmarkStart w:id="585" w:name="_Toc515980238"/>
      <w:bookmarkStart w:id="586" w:name="_Toc517191939"/>
      <w:bookmarkStart w:id="587" w:name="_Toc517350988"/>
      <w:bookmarkStart w:id="588" w:name="_Toc517771584"/>
      <w:bookmarkStart w:id="589" w:name="_Toc517797801"/>
      <w:bookmarkStart w:id="590" w:name="_Toc517797881"/>
      <w:bookmarkStart w:id="591" w:name="_Toc517797959"/>
      <w:bookmarkStart w:id="592" w:name="_Toc517798074"/>
      <w:bookmarkStart w:id="593" w:name="_Toc517798299"/>
      <w:bookmarkStart w:id="594" w:name="_Toc517798380"/>
      <w:bookmarkStart w:id="595" w:name="_Toc517798940"/>
      <w:bookmarkStart w:id="596" w:name="_Toc517799274"/>
      <w:bookmarkStart w:id="597" w:name="_Toc519602196"/>
      <w:bookmarkStart w:id="598" w:name="_Toc519602268"/>
      <w:bookmarkStart w:id="599" w:name="_Toc519602440"/>
      <w:bookmarkStart w:id="600" w:name="_Toc519602606"/>
      <w:bookmarkStart w:id="601" w:name="_Toc520382714"/>
      <w:bookmarkStart w:id="602" w:name="_Toc520455715"/>
      <w:bookmarkStart w:id="603" w:name="_Toc520455885"/>
      <w:bookmarkStart w:id="604" w:name="_Toc517798941"/>
      <w:bookmarkStart w:id="605" w:name="_Toc519602269"/>
      <w:bookmarkStart w:id="606" w:name="_Toc519602441"/>
      <w:bookmarkStart w:id="607" w:name="_Toc109921774"/>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126FBB">
        <w:t>Other Information</w:t>
      </w:r>
      <w:bookmarkEnd w:id="604"/>
      <w:bookmarkEnd w:id="605"/>
      <w:bookmarkEnd w:id="606"/>
      <w:bookmarkEnd w:id="607"/>
    </w:p>
    <w:p w14:paraId="3625664E" w14:textId="77777777" w:rsidR="00E87C80" w:rsidRPr="00A53BBC" w:rsidRDefault="00E87C80" w:rsidP="00376783"/>
    <w:p w14:paraId="53D27D6D" w14:textId="72CC817E" w:rsidR="00B07932" w:rsidRPr="008858B4" w:rsidRDefault="004E672B" w:rsidP="0017595D">
      <w:pPr>
        <w:pStyle w:val="FOAHeading2"/>
      </w:pPr>
      <w:bookmarkStart w:id="608" w:name="_Toc517798942"/>
      <w:bookmarkStart w:id="609" w:name="_Toc519602270"/>
      <w:bookmarkStart w:id="610" w:name="_Toc519602442"/>
      <w:bookmarkStart w:id="611" w:name="_Toc109921775"/>
      <w:r w:rsidRPr="008858B4">
        <w:t>FOA Modifications</w:t>
      </w:r>
      <w:bookmarkEnd w:id="608"/>
      <w:bookmarkEnd w:id="609"/>
      <w:bookmarkEnd w:id="610"/>
      <w:bookmarkEnd w:id="611"/>
    </w:p>
    <w:p w14:paraId="4D229630" w14:textId="3A689A2C" w:rsidR="00B07932" w:rsidRPr="008858B4" w:rsidRDefault="004E672B" w:rsidP="00E42B15">
      <w:pPr>
        <w:ind w:left="1440"/>
      </w:pPr>
      <w:r w:rsidRPr="008858B4">
        <w:t xml:space="preserve">Amendments to this FOA will be posted on the </w:t>
      </w:r>
      <w:r w:rsidR="002C6207">
        <w:t>EERE Exchange</w:t>
      </w:r>
      <w:r w:rsidRPr="008858B4">
        <w:t xml:space="preserve"> website and the Grants.gov system. However, you will only receive an email when an amendment or a FOA is posted on these sites if you register for email notifications for this FOA in Grants.gov. EERE recommends that you register as soon after the release of the FOA as possible to ensure you receive timely notice of any amendments or other FOAs.</w:t>
      </w:r>
    </w:p>
    <w:p w14:paraId="42E8963D" w14:textId="77777777" w:rsidR="00B07932" w:rsidRDefault="00B07932" w:rsidP="008858B4"/>
    <w:p w14:paraId="6FD88417" w14:textId="45D45F3C" w:rsidR="00B07932" w:rsidRPr="008858B4" w:rsidRDefault="004E672B" w:rsidP="0017595D">
      <w:pPr>
        <w:pStyle w:val="FOAHeading2"/>
      </w:pPr>
      <w:bookmarkStart w:id="612" w:name="_Toc520455719"/>
      <w:bookmarkStart w:id="613" w:name="_Toc520455889"/>
      <w:bookmarkStart w:id="614" w:name="_Toc520455720"/>
      <w:bookmarkStart w:id="615" w:name="_Toc520455890"/>
      <w:bookmarkStart w:id="616" w:name="_Toc517798944"/>
      <w:bookmarkStart w:id="617" w:name="_Toc519602272"/>
      <w:bookmarkStart w:id="618" w:name="_Toc519602444"/>
      <w:bookmarkStart w:id="619" w:name="_Toc109921776"/>
      <w:bookmarkEnd w:id="612"/>
      <w:bookmarkEnd w:id="613"/>
      <w:bookmarkEnd w:id="614"/>
      <w:bookmarkEnd w:id="615"/>
      <w:r w:rsidRPr="008858B4">
        <w:t>Government Right to Reject or Negotiate</w:t>
      </w:r>
      <w:bookmarkEnd w:id="616"/>
      <w:bookmarkEnd w:id="617"/>
      <w:bookmarkEnd w:id="618"/>
      <w:bookmarkEnd w:id="619"/>
    </w:p>
    <w:p w14:paraId="60504FB4" w14:textId="77777777" w:rsidR="00B07932" w:rsidRPr="008858B4" w:rsidRDefault="004E672B" w:rsidP="00E42B15">
      <w:pPr>
        <w:ind w:left="1440"/>
      </w:pPr>
      <w:r w:rsidRPr="008858B4">
        <w:t>EERE reserves the right, without qualification, to reject any or all applications received in response to this FOA and to select any application, in whole or in part, as a basis for negotiation and/or award.</w:t>
      </w:r>
    </w:p>
    <w:p w14:paraId="040E9538" w14:textId="77777777" w:rsidR="00B07932" w:rsidRDefault="00B07932" w:rsidP="00E42B15">
      <w:pPr>
        <w:ind w:left="1440"/>
      </w:pPr>
    </w:p>
    <w:p w14:paraId="3E7F3D3E" w14:textId="2A44ED45" w:rsidR="00B07932" w:rsidRPr="008858B4" w:rsidRDefault="004E672B" w:rsidP="0017595D">
      <w:pPr>
        <w:pStyle w:val="FOAHeading2"/>
      </w:pPr>
      <w:bookmarkStart w:id="620" w:name="_Toc517191944"/>
      <w:bookmarkStart w:id="621" w:name="_Toc517350993"/>
      <w:bookmarkStart w:id="622" w:name="_Toc517771589"/>
      <w:bookmarkStart w:id="623" w:name="_Toc517797806"/>
      <w:bookmarkStart w:id="624" w:name="_Toc517797886"/>
      <w:bookmarkStart w:id="625" w:name="_Toc517797964"/>
      <w:bookmarkStart w:id="626" w:name="_Toc517798079"/>
      <w:bookmarkStart w:id="627" w:name="_Toc517798304"/>
      <w:bookmarkStart w:id="628" w:name="_Toc517798385"/>
      <w:bookmarkStart w:id="629" w:name="_Toc517798945"/>
      <w:bookmarkStart w:id="630" w:name="_Toc517799279"/>
      <w:bookmarkStart w:id="631" w:name="_Toc519602201"/>
      <w:bookmarkStart w:id="632" w:name="_Toc519602273"/>
      <w:bookmarkStart w:id="633" w:name="_Toc519602445"/>
      <w:bookmarkStart w:id="634" w:name="_Toc519602611"/>
      <w:bookmarkStart w:id="635" w:name="_Toc520382719"/>
      <w:bookmarkStart w:id="636" w:name="_Toc520455722"/>
      <w:bookmarkStart w:id="637" w:name="_Toc520455892"/>
      <w:bookmarkStart w:id="638" w:name="_Toc517798946"/>
      <w:bookmarkStart w:id="639" w:name="_Toc519602274"/>
      <w:bookmarkStart w:id="640" w:name="_Toc519602446"/>
      <w:bookmarkStart w:id="641" w:name="_Toc109921777"/>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8858B4">
        <w:t>Commitment of Public Funds</w:t>
      </w:r>
      <w:bookmarkEnd w:id="638"/>
      <w:bookmarkEnd w:id="639"/>
      <w:bookmarkEnd w:id="640"/>
      <w:bookmarkEnd w:id="641"/>
    </w:p>
    <w:p w14:paraId="325D3A55" w14:textId="226482B4" w:rsidR="00B07932" w:rsidRPr="008858B4" w:rsidRDefault="004E672B" w:rsidP="00E42B15">
      <w:pPr>
        <w:ind w:left="1440"/>
      </w:pPr>
      <w:r w:rsidRPr="008858B4">
        <w:t xml:space="preserve">The Contracting Officer is the only individual who can make awards or commit the </w:t>
      </w:r>
      <w:r w:rsidR="00D441AD">
        <w:t>g</w:t>
      </w:r>
      <w:r w:rsidRPr="008858B4">
        <w:t>overnment to the expenditure of public funds. A commitment by anyone other than the Contracting Officer, either express or implied, is invalid.</w:t>
      </w:r>
    </w:p>
    <w:p w14:paraId="3D939B4E" w14:textId="77777777" w:rsidR="00B07932" w:rsidRPr="008858B4" w:rsidRDefault="00B07932" w:rsidP="008858B4"/>
    <w:p w14:paraId="62B9E3AA" w14:textId="53C38E97" w:rsidR="00B07932" w:rsidRPr="008858B4" w:rsidRDefault="004E672B" w:rsidP="0017595D">
      <w:pPr>
        <w:pStyle w:val="FOAHeading2"/>
      </w:pPr>
      <w:bookmarkStart w:id="642" w:name="_Toc517798947"/>
      <w:bookmarkStart w:id="643" w:name="_Toc519602275"/>
      <w:bookmarkStart w:id="644" w:name="_Toc519602447"/>
      <w:bookmarkStart w:id="645" w:name="_Toc109921778"/>
      <w:r w:rsidRPr="008858B4">
        <w:t>Treatment of Application Information</w:t>
      </w:r>
      <w:bookmarkEnd w:id="642"/>
      <w:bookmarkEnd w:id="643"/>
      <w:bookmarkEnd w:id="644"/>
      <w:bookmarkEnd w:id="645"/>
    </w:p>
    <w:p w14:paraId="5F4C7DDD" w14:textId="0249EEFB" w:rsidR="00B07932" w:rsidRDefault="004E672B" w:rsidP="00E42B15">
      <w:pPr>
        <w:ind w:left="1440"/>
      </w:pPr>
      <w:r w:rsidRPr="008858B4">
        <w:t xml:space="preserve">Applicants should not include trade secrets or commercial or financial information that is privileged or confidential in their application unless such information is necessary to convey an understanding of the proposed project or to comply with a requirement in the FOA. </w:t>
      </w:r>
      <w:r w:rsidR="006107F2">
        <w:t>Applicants are advised to not include any critically sensitive proprietary detail.</w:t>
      </w:r>
    </w:p>
    <w:p w14:paraId="6961BDE4" w14:textId="77777777" w:rsidR="006107F2" w:rsidRDefault="006107F2" w:rsidP="00E42B15">
      <w:pPr>
        <w:ind w:left="1440"/>
      </w:pPr>
    </w:p>
    <w:p w14:paraId="09C6D463" w14:textId="77777777" w:rsidR="006107F2" w:rsidRDefault="004E672B" w:rsidP="00E42B15">
      <w:pPr>
        <w:ind w:left="1440"/>
      </w:pPr>
      <w:r>
        <w:t xml:space="preserve">If an application includes trade secrets or information that is commercial or financial, or information that is confidential or privileged, it is furnished to the Government in confidence with the understanding that the information shall be used or disclosed only for evaluation of the application. Such information will be withheld from public disclosure to the extent permitted by law, including the Freedom of Information Act. Without assuming any liability for inadvertent disclosure, EERE will seek to limit disclosure of such information to its employees and to outside reviewers when necessary for merit review of the application or as otherwise authorized by law. This restriction does not limit the Government’s right to use the information if it is obtained from another source. </w:t>
      </w:r>
    </w:p>
    <w:p w14:paraId="2BCE8619" w14:textId="77777777" w:rsidR="006107F2" w:rsidRDefault="006107F2" w:rsidP="00E42B15">
      <w:pPr>
        <w:ind w:left="1440"/>
      </w:pPr>
    </w:p>
    <w:p w14:paraId="14857F19" w14:textId="1D1BA9AA" w:rsidR="00565309" w:rsidRDefault="006107F2" w:rsidP="00E42B15">
      <w:pPr>
        <w:ind w:left="1440"/>
      </w:pPr>
      <w:r>
        <w:t xml:space="preserve">Full Applications, and other submissions containing confidential, proprietary, or privileged information must be marked as described below. Failure to comply with these marking requirements may result in the disclosure of the unmarked information under the Freedom of Information Act or otherwise. The U.S. Government is not liable for the disclosure or use of unmarked </w:t>
      </w:r>
      <w:proofErr w:type="gramStart"/>
      <w:r>
        <w:t>information, and</w:t>
      </w:r>
      <w:proofErr w:type="gramEnd"/>
      <w:r>
        <w:t xml:space="preserve"> may use or disclose such information for any purpose.</w:t>
      </w:r>
    </w:p>
    <w:p w14:paraId="1A9CFD6C" w14:textId="77777777" w:rsidR="00B07932" w:rsidRPr="008858B4" w:rsidRDefault="00B07932" w:rsidP="00E42B15">
      <w:pPr>
        <w:ind w:left="1440"/>
      </w:pPr>
    </w:p>
    <w:p w14:paraId="13B2EA35" w14:textId="084867A1" w:rsidR="00B07932" w:rsidRPr="008858B4" w:rsidRDefault="004E672B" w:rsidP="00E42B15">
      <w:pPr>
        <w:ind w:left="1440"/>
      </w:pPr>
      <w:r w:rsidRPr="008858B4">
        <w:t xml:space="preserve">The cover sheet of the </w:t>
      </w:r>
      <w:r w:rsidR="00A97C2C">
        <w:t xml:space="preserve">Full Application, </w:t>
      </w:r>
      <w:r w:rsidR="001B5D20">
        <w:t>and</w:t>
      </w:r>
      <w:r w:rsidR="00A97C2C">
        <w:t xml:space="preserve"> other submission </w:t>
      </w:r>
      <w:r w:rsidRPr="008858B4">
        <w:t>must be marked as follows and identify the specifi</w:t>
      </w:r>
      <w:r w:rsidR="00A97C2C">
        <w:t>c pages containing trade secrets, confidential, proprietary, or privileged information</w:t>
      </w:r>
      <w:r w:rsidRPr="008858B4">
        <w:t>:</w:t>
      </w:r>
    </w:p>
    <w:p w14:paraId="51CFC227" w14:textId="77777777" w:rsidR="00B07932" w:rsidRPr="008858B4" w:rsidRDefault="00B07932" w:rsidP="00E42B15">
      <w:pPr>
        <w:ind w:left="1440"/>
      </w:pPr>
    </w:p>
    <w:p w14:paraId="2A583646" w14:textId="77777777" w:rsidR="00B07932" w:rsidRPr="00A97C2C" w:rsidRDefault="004E672B" w:rsidP="00E42B15">
      <w:pPr>
        <w:ind w:left="1800" w:right="720"/>
        <w:rPr>
          <w:b/>
        </w:rPr>
      </w:pPr>
      <w:r w:rsidRPr="00A97C2C">
        <w:rPr>
          <w:b/>
        </w:rPr>
        <w:t>Notice of Restriction on Disclosure and Use of Data:</w:t>
      </w:r>
    </w:p>
    <w:p w14:paraId="1526E8AF" w14:textId="71D6D21C" w:rsidR="00B07932" w:rsidRPr="008858B4" w:rsidRDefault="004E672B" w:rsidP="00E42B15">
      <w:pPr>
        <w:ind w:left="1800" w:right="720"/>
      </w:pPr>
      <w:r>
        <w:t>Pages [list applicable pages] of this document may contain trade secrets, confidential, proprietary, or privileged information that is exempt from public disclosure</w:t>
      </w:r>
      <w:r w:rsidRPr="008858B4">
        <w:t>.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 [End of Notice]</w:t>
      </w:r>
      <w:r w:rsidRPr="008858B4">
        <w:cr/>
      </w:r>
    </w:p>
    <w:p w14:paraId="69584BE1" w14:textId="568A321D" w:rsidR="00B07932" w:rsidRPr="008858B4" w:rsidRDefault="004E672B" w:rsidP="00E42B15">
      <w:pPr>
        <w:ind w:left="1440"/>
      </w:pPr>
      <w:r>
        <w:t>The header and footer of every page that contains confidential, proprietary, or privileged information must be marked as follows: “Contains Trade Secrets, Confidential, Proprietary, or Privileged Information Exempt from Public Disclosure.” In addition, each line or paragraph containing proprietary, privileged, or trade secret information must be clearly marked with double brackets or highlighting.</w:t>
      </w:r>
    </w:p>
    <w:p w14:paraId="7B63F909" w14:textId="77777777" w:rsidR="00B07932" w:rsidRPr="008858B4" w:rsidRDefault="00B07932" w:rsidP="008858B4"/>
    <w:p w14:paraId="4555C99A" w14:textId="76A4761A" w:rsidR="00B07932" w:rsidRPr="008858B4" w:rsidRDefault="004E672B" w:rsidP="0017595D">
      <w:pPr>
        <w:pStyle w:val="FOAHeading2"/>
      </w:pPr>
      <w:bookmarkStart w:id="646" w:name="_Toc517798948"/>
      <w:bookmarkStart w:id="647" w:name="_Toc519602276"/>
      <w:bookmarkStart w:id="648" w:name="_Toc519602448"/>
      <w:bookmarkStart w:id="649" w:name="_Toc109921779"/>
      <w:r w:rsidRPr="008858B4">
        <w:t>Evaluation and Administration by Non-Federal Personnel</w:t>
      </w:r>
      <w:bookmarkEnd w:id="646"/>
      <w:bookmarkEnd w:id="647"/>
      <w:bookmarkEnd w:id="648"/>
      <w:bookmarkEnd w:id="649"/>
    </w:p>
    <w:p w14:paraId="0723F230" w14:textId="2408EB6A" w:rsidR="00B07932" w:rsidRPr="008858B4" w:rsidRDefault="004E672B" w:rsidP="00E42B15">
      <w:pPr>
        <w:ind w:left="1440"/>
      </w:pPr>
      <w:r w:rsidRPr="008858B4">
        <w:t>In conducting the merit review evaluation, the Go/No-Go Review</w:t>
      </w:r>
      <w:r w:rsidR="00776FC7">
        <w:t>s</w:t>
      </w:r>
      <w:r w:rsidRPr="008858B4">
        <w:t xml:space="preserve"> and Peer Review</w:t>
      </w:r>
      <w:r w:rsidR="00776FC7">
        <w:t>s</w:t>
      </w:r>
      <w:r w:rsidRPr="008858B4">
        <w:t xml:space="preserve">, the </w:t>
      </w:r>
      <w:r w:rsidR="00081799">
        <w:t>g</w:t>
      </w:r>
      <w:r w:rsidRPr="008858B4">
        <w:t xml:space="preserve">overnment may seek the advice of qualified </w:t>
      </w:r>
      <w:r w:rsidR="001F169D" w:rsidRPr="008858B4">
        <w:t>non</w:t>
      </w:r>
      <w:r w:rsidR="001F169D">
        <w:t>-f</w:t>
      </w:r>
      <w:r w:rsidR="001F169D" w:rsidRPr="008858B4">
        <w:t xml:space="preserve">ederal </w:t>
      </w:r>
      <w:r w:rsidRPr="008858B4">
        <w:t>personnel as reviewers.</w:t>
      </w:r>
      <w:r w:rsidR="001A3502">
        <w:t xml:space="preserve"> </w:t>
      </w:r>
      <w:r w:rsidRPr="008858B4">
        <w:t xml:space="preserve">The </w:t>
      </w:r>
      <w:r w:rsidR="00081799">
        <w:t>g</w:t>
      </w:r>
      <w:r w:rsidRPr="008858B4">
        <w:t>overnment may also use non-</w:t>
      </w:r>
      <w:r w:rsidR="001F169D">
        <w:t>f</w:t>
      </w:r>
      <w:r w:rsidR="001F169D" w:rsidRPr="008858B4">
        <w:t xml:space="preserve">ederal </w:t>
      </w:r>
      <w:r w:rsidRPr="008858B4">
        <w:t>personnel to conduct routine, nondiscretionary administrative activities</w:t>
      </w:r>
      <w:r w:rsidR="00E82294">
        <w:t>, including EERE contractors</w:t>
      </w:r>
      <w:r w:rsidRPr="008858B4">
        <w:t>.</w:t>
      </w:r>
      <w:r w:rsidR="001A3502">
        <w:t xml:space="preserve"> </w:t>
      </w:r>
      <w:r w:rsidRPr="008858B4">
        <w:t>The applicant, by submitting its application, consents to the use of non-</w:t>
      </w:r>
      <w:r w:rsidR="001F169D">
        <w:t>f</w:t>
      </w:r>
      <w:r w:rsidR="001F169D" w:rsidRPr="008858B4">
        <w:t xml:space="preserve">ederal </w:t>
      </w:r>
      <w:r w:rsidRPr="008858B4">
        <w:t>reviewers/administrators.</w:t>
      </w:r>
      <w:r w:rsidR="001A3502">
        <w:t xml:space="preserve"> </w:t>
      </w:r>
      <w:r w:rsidRPr="008858B4">
        <w:t>Non-</w:t>
      </w:r>
      <w:r w:rsidR="001F169D">
        <w:t>f</w:t>
      </w:r>
      <w:r w:rsidR="001F169D" w:rsidRPr="008858B4">
        <w:t xml:space="preserve">ederal </w:t>
      </w:r>
      <w:r w:rsidRPr="008858B4">
        <w:t xml:space="preserve">reviewers must sign conflict of interest </w:t>
      </w:r>
      <w:r w:rsidR="00930E41">
        <w:t xml:space="preserve">(COI) </w:t>
      </w:r>
      <w:r w:rsidRPr="008858B4">
        <w:t xml:space="preserve">and non-disclosure </w:t>
      </w:r>
      <w:r w:rsidR="00930E41">
        <w:t>acknowledgements (NDA)</w:t>
      </w:r>
      <w:r w:rsidR="00930E41" w:rsidRPr="008858B4">
        <w:t xml:space="preserve"> </w:t>
      </w:r>
      <w:r w:rsidRPr="008858B4">
        <w:t>prior to reviewing an application.</w:t>
      </w:r>
      <w:r w:rsidR="001A3502">
        <w:t xml:space="preserve"> </w:t>
      </w:r>
      <w:r w:rsidRPr="008858B4">
        <w:t>Non-</w:t>
      </w:r>
      <w:r w:rsidR="001F169D">
        <w:t>f</w:t>
      </w:r>
      <w:r w:rsidR="001F169D" w:rsidRPr="008858B4">
        <w:t xml:space="preserve">ederal </w:t>
      </w:r>
      <w:r w:rsidRPr="008858B4">
        <w:t>personnel conducting administrative activities must sign a</w:t>
      </w:r>
      <w:r w:rsidR="001B4465">
        <w:t>n NDA</w:t>
      </w:r>
      <w:r w:rsidRPr="008858B4">
        <w:t>.</w:t>
      </w:r>
    </w:p>
    <w:p w14:paraId="090EDBBB" w14:textId="77777777" w:rsidR="00B07932" w:rsidRPr="008858B4" w:rsidRDefault="00B07932" w:rsidP="00E42B15">
      <w:pPr>
        <w:ind w:left="1440"/>
      </w:pPr>
    </w:p>
    <w:p w14:paraId="1A104291" w14:textId="0F43E8EF" w:rsidR="00B07932" w:rsidRPr="008858B4" w:rsidRDefault="004E672B" w:rsidP="0017595D">
      <w:pPr>
        <w:pStyle w:val="FOAHeading2"/>
      </w:pPr>
      <w:bookmarkStart w:id="650" w:name="_Toc517798949"/>
      <w:bookmarkStart w:id="651" w:name="_Toc519602277"/>
      <w:bookmarkStart w:id="652" w:name="_Toc519602449"/>
      <w:bookmarkStart w:id="653" w:name="_Toc109921780"/>
      <w:r w:rsidRPr="008858B4">
        <w:t>Notice Regarding Eligible/Ineligible Activities</w:t>
      </w:r>
      <w:bookmarkEnd w:id="650"/>
      <w:bookmarkEnd w:id="651"/>
      <w:bookmarkEnd w:id="652"/>
      <w:bookmarkEnd w:id="653"/>
    </w:p>
    <w:p w14:paraId="7CD67FE7" w14:textId="77777777" w:rsidR="00B07932" w:rsidRPr="008858B4" w:rsidRDefault="004E672B" w:rsidP="00E42B15">
      <w:pPr>
        <w:ind w:left="1440"/>
      </w:pPr>
      <w:r w:rsidRPr="008858B4">
        <w:t>Eligible activities under this FOA include those which describe and promote the understanding of scientific and technical aspects of specific energy technologies, but not those which encourage or support political activities such as the collection and dissemination of information related to potential, planned or pending legislation.</w:t>
      </w:r>
    </w:p>
    <w:p w14:paraId="4BF5A8D8" w14:textId="77777777" w:rsidR="007721C3" w:rsidRPr="008858B4" w:rsidRDefault="007721C3" w:rsidP="008858B4"/>
    <w:p w14:paraId="2A5B3DE9" w14:textId="412B26E5" w:rsidR="00B07932" w:rsidRPr="008858B4" w:rsidRDefault="004E672B" w:rsidP="0017595D">
      <w:pPr>
        <w:pStyle w:val="FOAHeading2"/>
      </w:pPr>
      <w:bookmarkStart w:id="654" w:name="_Toc517798950"/>
      <w:bookmarkStart w:id="655" w:name="_Toc519602278"/>
      <w:bookmarkStart w:id="656" w:name="_Toc519602450"/>
      <w:bookmarkStart w:id="657" w:name="_Toc109921781"/>
      <w:r w:rsidRPr="008858B4">
        <w:t>Notice of Right to Conduct a Review of Financial Capability</w:t>
      </w:r>
      <w:bookmarkEnd w:id="654"/>
      <w:bookmarkEnd w:id="655"/>
      <w:bookmarkEnd w:id="656"/>
      <w:bookmarkEnd w:id="657"/>
    </w:p>
    <w:p w14:paraId="0962EC83" w14:textId="77777777" w:rsidR="00B07932" w:rsidRPr="008858B4" w:rsidRDefault="004E672B" w:rsidP="00E42B15">
      <w:pPr>
        <w:ind w:left="1440"/>
      </w:pPr>
      <w:r w:rsidRPr="008858B4">
        <w:t xml:space="preserve">EERE reserves the right to conduct an independent </w:t>
      </w:r>
      <w:proofErr w:type="gramStart"/>
      <w:r w:rsidRPr="008858B4">
        <w:t>third party</w:t>
      </w:r>
      <w:proofErr w:type="gramEnd"/>
      <w:r w:rsidRPr="008858B4">
        <w:t xml:space="preserve"> review of financial capability for applicants that are selected for negotiation of award (including personal credit information of principal(s) of a small business if there is insufficient information to determine financial capability of the organization).</w:t>
      </w:r>
    </w:p>
    <w:p w14:paraId="33182167" w14:textId="77777777" w:rsidR="00B07932" w:rsidRPr="008858B4" w:rsidRDefault="00B07932" w:rsidP="00E42B15">
      <w:pPr>
        <w:ind w:left="1440"/>
      </w:pPr>
    </w:p>
    <w:p w14:paraId="6D6F7B04" w14:textId="0E67DDE8" w:rsidR="00B07932" w:rsidRPr="008858B4" w:rsidRDefault="004E672B" w:rsidP="0017595D">
      <w:pPr>
        <w:pStyle w:val="FOAHeading2"/>
      </w:pPr>
      <w:bookmarkStart w:id="658" w:name="_Toc517798952"/>
      <w:bookmarkStart w:id="659" w:name="_Toc519602280"/>
      <w:bookmarkStart w:id="660" w:name="_Toc519602452"/>
      <w:bookmarkStart w:id="661" w:name="_Toc109921782"/>
      <w:r w:rsidRPr="008858B4">
        <w:t>Requirement for Full and Complete Disclosure</w:t>
      </w:r>
      <w:bookmarkEnd w:id="658"/>
      <w:bookmarkEnd w:id="659"/>
      <w:bookmarkEnd w:id="660"/>
      <w:bookmarkEnd w:id="661"/>
    </w:p>
    <w:p w14:paraId="68CF3758" w14:textId="77777777" w:rsidR="00B07932" w:rsidRPr="008858B4" w:rsidRDefault="004E672B" w:rsidP="00E42B15">
      <w:pPr>
        <w:ind w:left="1440"/>
      </w:pPr>
      <w:r w:rsidRPr="008858B4">
        <w:t>Applicants are required to make a full and complete disclosure of all information requested.</w:t>
      </w:r>
      <w:r w:rsidR="001A3502">
        <w:t xml:space="preserve"> </w:t>
      </w:r>
      <w:r w:rsidRPr="008858B4">
        <w:t>Any failure to make a full and complete disclosure of the requested information may result in:</w:t>
      </w:r>
    </w:p>
    <w:p w14:paraId="708B2493" w14:textId="77777777" w:rsidR="00B07932" w:rsidRPr="008858B4" w:rsidRDefault="00B07932" w:rsidP="008858B4">
      <w:pPr>
        <w:pStyle w:val="ListParagraph"/>
      </w:pPr>
    </w:p>
    <w:p w14:paraId="2507140A" w14:textId="77777777" w:rsidR="00B07932" w:rsidRPr="008858B4" w:rsidRDefault="004E672B" w:rsidP="00AA4320">
      <w:pPr>
        <w:pStyle w:val="ListParagraph"/>
        <w:numPr>
          <w:ilvl w:val="0"/>
          <w:numId w:val="17"/>
        </w:numPr>
        <w:ind w:left="2160"/>
      </w:pPr>
      <w:r w:rsidRPr="008858B4">
        <w:t xml:space="preserve">The termination of award </w:t>
      </w:r>
      <w:proofErr w:type="gramStart"/>
      <w:r w:rsidRPr="008858B4">
        <w:t>negotiations;</w:t>
      </w:r>
      <w:proofErr w:type="gramEnd"/>
      <w:r w:rsidRPr="008858B4">
        <w:t xml:space="preserve"> </w:t>
      </w:r>
    </w:p>
    <w:p w14:paraId="1B988832" w14:textId="77777777" w:rsidR="00B07932" w:rsidRPr="008858B4" w:rsidRDefault="004E672B" w:rsidP="00AA4320">
      <w:pPr>
        <w:pStyle w:val="ListParagraph"/>
        <w:numPr>
          <w:ilvl w:val="0"/>
          <w:numId w:val="17"/>
        </w:numPr>
        <w:ind w:left="2160"/>
      </w:pPr>
      <w:r w:rsidRPr="008858B4">
        <w:t xml:space="preserve">The modification, suspension, and/or termination of a funding </w:t>
      </w:r>
      <w:proofErr w:type="gramStart"/>
      <w:r w:rsidRPr="008858B4">
        <w:t>agreement;</w:t>
      </w:r>
      <w:proofErr w:type="gramEnd"/>
      <w:r w:rsidRPr="008858B4">
        <w:t xml:space="preserve"> </w:t>
      </w:r>
    </w:p>
    <w:p w14:paraId="45ADA15B" w14:textId="77777777" w:rsidR="00B07932" w:rsidRPr="008858B4" w:rsidRDefault="004E672B" w:rsidP="00AA4320">
      <w:pPr>
        <w:pStyle w:val="ListParagraph"/>
        <w:numPr>
          <w:ilvl w:val="0"/>
          <w:numId w:val="17"/>
        </w:numPr>
        <w:ind w:left="2160"/>
      </w:pPr>
      <w:r w:rsidRPr="008858B4">
        <w:t xml:space="preserve">The initiation of debarment proceedings, debarment, and/or a declaration of ineligibility for receipt of </w:t>
      </w:r>
      <w:r w:rsidR="001F169D">
        <w:t>f</w:t>
      </w:r>
      <w:r w:rsidR="001F169D" w:rsidRPr="008858B4">
        <w:t xml:space="preserve">ederal </w:t>
      </w:r>
      <w:r w:rsidRPr="008858B4">
        <w:t>contracts, subcontracts, and financial assistance and benefits; and</w:t>
      </w:r>
    </w:p>
    <w:p w14:paraId="31140CEE" w14:textId="77777777" w:rsidR="00B07932" w:rsidRPr="008858B4" w:rsidRDefault="004E672B" w:rsidP="00AA4320">
      <w:pPr>
        <w:pStyle w:val="ListParagraph"/>
        <w:numPr>
          <w:ilvl w:val="0"/>
          <w:numId w:val="17"/>
        </w:numPr>
        <w:ind w:left="2160"/>
      </w:pPr>
      <w:r w:rsidRPr="008858B4">
        <w:t>Civil and/or criminal penalties.</w:t>
      </w:r>
    </w:p>
    <w:p w14:paraId="6940DD60" w14:textId="77777777" w:rsidR="00B07932" w:rsidRPr="008858B4" w:rsidRDefault="00B07932" w:rsidP="008858B4"/>
    <w:p w14:paraId="7879A0AF" w14:textId="77777777" w:rsidR="00B07932" w:rsidRPr="008858B4" w:rsidRDefault="004E672B" w:rsidP="0017595D">
      <w:pPr>
        <w:pStyle w:val="FOAHeading2"/>
      </w:pPr>
      <w:bookmarkStart w:id="662" w:name="_Toc517798953"/>
      <w:bookmarkStart w:id="663" w:name="_Toc519602281"/>
      <w:bookmarkStart w:id="664" w:name="_Toc519602453"/>
      <w:bookmarkStart w:id="665" w:name="_Toc109921783"/>
      <w:r w:rsidRPr="008858B4">
        <w:t>Retention of Submissions</w:t>
      </w:r>
      <w:bookmarkEnd w:id="662"/>
      <w:bookmarkEnd w:id="663"/>
      <w:bookmarkEnd w:id="664"/>
      <w:bookmarkEnd w:id="665"/>
      <w:r w:rsidRPr="008858B4">
        <w:t xml:space="preserve"> </w:t>
      </w:r>
    </w:p>
    <w:p w14:paraId="6D166098" w14:textId="5B01ED7F" w:rsidR="003C7601" w:rsidRPr="008858B4" w:rsidRDefault="004E672B" w:rsidP="00E42B15">
      <w:pPr>
        <w:pStyle w:val="ListParagraph"/>
        <w:ind w:left="1440"/>
      </w:pPr>
      <w:r w:rsidRPr="003C7601">
        <w:t xml:space="preserve">EERE expects to retain copies of all </w:t>
      </w:r>
      <w:r w:rsidR="00FE7293" w:rsidRPr="008858B4">
        <w:t>Full Appli</w:t>
      </w:r>
      <w:r w:rsidR="00465D11">
        <w:t>cations</w:t>
      </w:r>
      <w:r w:rsidR="00E80D13">
        <w:t xml:space="preserve"> </w:t>
      </w:r>
      <w:r w:rsidR="00C6349A" w:rsidRPr="008858B4">
        <w:t xml:space="preserve">and </w:t>
      </w:r>
      <w:r w:rsidRPr="008858B4">
        <w:t>other submissions.</w:t>
      </w:r>
      <w:r w:rsidR="001A3502">
        <w:t xml:space="preserve"> </w:t>
      </w:r>
      <w:r w:rsidRPr="008858B4">
        <w:t>No submissions will be returned.</w:t>
      </w:r>
      <w:r w:rsidR="001A3502">
        <w:t xml:space="preserve"> </w:t>
      </w:r>
      <w:r w:rsidRPr="008858B4">
        <w:t>By applying to EERE for funding, applicants consent to EERE’s retention of their submissions.</w:t>
      </w:r>
      <w:r w:rsidR="00604DB0">
        <w:rPr>
          <w:color w:val="0000FF"/>
        </w:rPr>
        <w:t xml:space="preserve">  </w:t>
      </w:r>
    </w:p>
    <w:p w14:paraId="0E2F58FD" w14:textId="3C32F402" w:rsidR="007721C3" w:rsidRPr="008858B4" w:rsidRDefault="007721C3" w:rsidP="008858B4"/>
    <w:p w14:paraId="4975AA97" w14:textId="01E74F48" w:rsidR="00B07932" w:rsidRPr="008858B4" w:rsidRDefault="004E672B" w:rsidP="0017595D">
      <w:pPr>
        <w:pStyle w:val="FOAHeading2"/>
      </w:pPr>
      <w:bookmarkStart w:id="666" w:name="_Toc517798954"/>
      <w:bookmarkStart w:id="667" w:name="_Toc519602282"/>
      <w:bookmarkStart w:id="668" w:name="_Toc519602454"/>
      <w:bookmarkStart w:id="669" w:name="_Toc109921784"/>
      <w:r w:rsidRPr="008858B4">
        <w:t>Title to Subject Inventions</w:t>
      </w:r>
      <w:bookmarkEnd w:id="666"/>
      <w:bookmarkEnd w:id="667"/>
      <w:bookmarkEnd w:id="668"/>
      <w:bookmarkEnd w:id="669"/>
    </w:p>
    <w:p w14:paraId="421E440A" w14:textId="77777777" w:rsidR="00B07932" w:rsidRPr="008858B4" w:rsidRDefault="004E672B" w:rsidP="00E42B15">
      <w:pPr>
        <w:ind w:left="1440"/>
      </w:pPr>
      <w:r w:rsidRPr="008858B4">
        <w:t>Ownership of subject inventions is governed pursuant to the authorities listed below</w:t>
      </w:r>
      <w:r w:rsidR="001B4465">
        <w:t>:</w:t>
      </w:r>
      <w:r w:rsidR="001A3502">
        <w:t xml:space="preserve"> </w:t>
      </w:r>
    </w:p>
    <w:p w14:paraId="1E24FDAA" w14:textId="77777777" w:rsidR="00B07932" w:rsidRPr="008858B4" w:rsidRDefault="00B07932" w:rsidP="008858B4"/>
    <w:p w14:paraId="0C2427EC" w14:textId="59EF6AF1" w:rsidR="00B07932" w:rsidRPr="008858B4" w:rsidRDefault="004E672B" w:rsidP="00AA4320">
      <w:pPr>
        <w:pStyle w:val="ListParagraph"/>
        <w:numPr>
          <w:ilvl w:val="0"/>
          <w:numId w:val="18"/>
        </w:numPr>
        <w:ind w:left="2160"/>
      </w:pPr>
      <w:r w:rsidRPr="008858B4">
        <w:t>Domestic Small Businesses, Educational Institutions, and Nonprofits:</w:t>
      </w:r>
      <w:r w:rsidR="001A3502">
        <w:t xml:space="preserve"> </w:t>
      </w:r>
      <w:r w:rsidRPr="008858B4">
        <w:t>Under the Bayh-Dole Act (35 U.S.C. §</w:t>
      </w:r>
      <w:r w:rsidR="009047A2">
        <w:t xml:space="preserve"> </w:t>
      </w:r>
      <w:r w:rsidRPr="008858B4">
        <w:t xml:space="preserve">200 et seq.), domestic small businesses, educational institutions, and nonprofits may elect to retain title to their subject </w:t>
      </w:r>
      <w:proofErr w:type="gramStart"/>
      <w:r w:rsidRPr="008858B4">
        <w:t>inventions</w:t>
      </w:r>
      <w:r w:rsidR="001B4465">
        <w:t>;</w:t>
      </w:r>
      <w:proofErr w:type="gramEnd"/>
    </w:p>
    <w:p w14:paraId="621C2EF2" w14:textId="75E26AA6" w:rsidR="00B07932" w:rsidRPr="008858B4" w:rsidRDefault="004E672B" w:rsidP="00AA4320">
      <w:pPr>
        <w:pStyle w:val="ListParagraph"/>
        <w:numPr>
          <w:ilvl w:val="0"/>
          <w:numId w:val="18"/>
        </w:numPr>
        <w:ind w:left="2160"/>
      </w:pPr>
      <w:r w:rsidRPr="008858B4">
        <w:t xml:space="preserve">All other parties: The </w:t>
      </w:r>
      <w:r w:rsidR="001F169D">
        <w:t>f</w:t>
      </w:r>
      <w:r w:rsidR="001F169D" w:rsidRPr="008858B4">
        <w:t xml:space="preserve">ederal </w:t>
      </w:r>
      <w:r w:rsidRPr="008858B4">
        <w:t xml:space="preserve">Non-Nuclear Energy Act of 1974, 42. </w:t>
      </w:r>
      <w:r w:rsidR="00081799">
        <w:t>U.S.C. 5908, provides that the g</w:t>
      </w:r>
      <w:r w:rsidRPr="008858B4">
        <w:t>overnment obtains title to new inventions unless a waiver is granted (see below</w:t>
      </w:r>
      <w:proofErr w:type="gramStart"/>
      <w:r w:rsidRPr="008858B4">
        <w:t>)</w:t>
      </w:r>
      <w:r w:rsidR="001B4465">
        <w:t>;</w:t>
      </w:r>
      <w:proofErr w:type="gramEnd"/>
    </w:p>
    <w:p w14:paraId="3226488C" w14:textId="583682B4" w:rsidR="00B07932" w:rsidRPr="00A41353" w:rsidRDefault="004E672B" w:rsidP="00AA4320">
      <w:pPr>
        <w:pStyle w:val="ListParagraph"/>
        <w:numPr>
          <w:ilvl w:val="0"/>
          <w:numId w:val="18"/>
        </w:numPr>
        <w:ind w:left="2160"/>
      </w:pPr>
      <w:r w:rsidRPr="008858B4">
        <w:t>Class Patent Waiver:</w:t>
      </w:r>
      <w:r w:rsidR="00DC0EB1">
        <w:t xml:space="preserve"> </w:t>
      </w:r>
      <w:r w:rsidRPr="00A41353">
        <w:t xml:space="preserve">DOE has issued a class waiver that applies to this FOA. Under this class waiver, domestic large businesses may elect title to their subject inventions </w:t>
      </w:r>
      <w:proofErr w:type="gramStart"/>
      <w:r w:rsidRPr="00A41353">
        <w:t>similar to</w:t>
      </w:r>
      <w:proofErr w:type="gramEnd"/>
      <w:r w:rsidRPr="00A41353">
        <w:t xml:space="preserve"> the right provided to the domestic small businesses, educational institutions, and nonprofits by law. </w:t>
      </w:r>
      <w:proofErr w:type="gramStart"/>
      <w:r w:rsidRPr="00A41353">
        <w:t>In order to</w:t>
      </w:r>
      <w:proofErr w:type="gramEnd"/>
      <w:r w:rsidRPr="00A41353">
        <w:t xml:space="preserve"> avail itself of the class waiver, a domestic large business must agree that any products embodying or produced through the use of a subject invention first created or reduced to practice under this program will be substantially manufactured in the United States.</w:t>
      </w:r>
    </w:p>
    <w:p w14:paraId="1F5A2640" w14:textId="0B0DA2D3" w:rsidR="00B07932" w:rsidRDefault="004E672B" w:rsidP="00AA4320">
      <w:pPr>
        <w:pStyle w:val="ListParagraph"/>
        <w:numPr>
          <w:ilvl w:val="0"/>
          <w:numId w:val="18"/>
        </w:numPr>
        <w:ind w:left="2160"/>
      </w:pPr>
      <w:r w:rsidRPr="008858B4">
        <w:t>Advance and Identified Waivers:</w:t>
      </w:r>
      <w:r w:rsidR="001A3502">
        <w:t xml:space="preserve"> </w:t>
      </w:r>
      <w:r w:rsidR="00C5148C">
        <w:t>For an a</w:t>
      </w:r>
      <w:r w:rsidR="00C5148C" w:rsidRPr="008858B4">
        <w:t>pplicant</w:t>
      </w:r>
      <w:r w:rsidR="00C5148C">
        <w:t xml:space="preserve"> not covered by a Class Patent Waiver or the Bayh-Dole Act, the applicant</w:t>
      </w:r>
      <w:r w:rsidRPr="008858B4">
        <w:t xml:space="preserve"> may request a patent waiver that will cover subject inventions that may be invented under the award, in advance of or within 30 days after the effective date of the award.</w:t>
      </w:r>
      <w:r w:rsidR="001A3502">
        <w:t xml:space="preserve"> </w:t>
      </w:r>
      <w:r w:rsidRPr="008858B4">
        <w:t>Even if an advance waiver is not requested or the request is denied, the recipient will have a continuing right under the award to request a waiver for identified inventions, i.e., individual subject inventions that are disclosed to EERE within the timeframes set forth in the award’s intellectual property terms and conditions.</w:t>
      </w:r>
      <w:r w:rsidR="001A3502">
        <w:t xml:space="preserve"> </w:t>
      </w:r>
      <w:r w:rsidRPr="008858B4">
        <w:t>Any patent waiver that may be granted is subject to certain terms and conditions in 10 CFR 784</w:t>
      </w:r>
      <w:r w:rsidR="00B716D5">
        <w:t>.</w:t>
      </w:r>
    </w:p>
    <w:p w14:paraId="6B86911E" w14:textId="4FA15F5B" w:rsidR="00C5148C" w:rsidRDefault="00C5148C" w:rsidP="00AA4320">
      <w:pPr>
        <w:pStyle w:val="ListParagraph"/>
        <w:numPr>
          <w:ilvl w:val="0"/>
          <w:numId w:val="19"/>
        </w:numPr>
        <w:rPr>
          <w:szCs w:val="24"/>
        </w:rPr>
      </w:pPr>
      <w:r w:rsidRPr="004A013F">
        <w:rPr>
          <w:szCs w:val="24"/>
        </w:rPr>
        <w:t>DEC: On June 07, 2021, DOE approved a DETERMINATION OF EXCEPTIONAL CIRCUMSTANCES (DEC) UNDER THE BAYH-DOLE ACT TO FURTHER PROMOTE DOMESTIC MANUFACTURE OF DOE SCIENCE AND ENERGY TECHNOLOGIES.</w:t>
      </w:r>
      <w:r w:rsidR="00604DB0">
        <w:rPr>
          <w:szCs w:val="24"/>
        </w:rPr>
        <w:t xml:space="preserve"> </w:t>
      </w:r>
      <w:r w:rsidRPr="004A013F">
        <w:rPr>
          <w:szCs w:val="24"/>
        </w:rPr>
        <w:t xml:space="preserve">In accordance with this DEC, all awards, including sub-awards, under this FOA shall include the U.S. Competitiveness Provision in accordance with </w:t>
      </w:r>
      <w:r w:rsidR="00FF749E">
        <w:rPr>
          <w:szCs w:val="24"/>
        </w:rPr>
        <w:t xml:space="preserve">the </w:t>
      </w:r>
      <w:r w:rsidRPr="004A013F">
        <w:rPr>
          <w:szCs w:val="24"/>
        </w:rPr>
        <w:t xml:space="preserve">U.S. Manufacturing </w:t>
      </w:r>
      <w:r w:rsidR="00F81AD6" w:rsidRPr="004A013F">
        <w:rPr>
          <w:szCs w:val="24"/>
        </w:rPr>
        <w:t>Commitments</w:t>
      </w:r>
      <w:r w:rsidRPr="004A013F">
        <w:rPr>
          <w:szCs w:val="24"/>
        </w:rPr>
        <w:t xml:space="preserve"> </w:t>
      </w:r>
      <w:r w:rsidR="00FF749E">
        <w:rPr>
          <w:szCs w:val="24"/>
        </w:rPr>
        <w:t xml:space="preserve">section </w:t>
      </w:r>
      <w:r w:rsidRPr="004A013F">
        <w:rPr>
          <w:szCs w:val="24"/>
        </w:rPr>
        <w:t>of this FOA.</w:t>
      </w:r>
      <w:r w:rsidR="00604DB0">
        <w:rPr>
          <w:szCs w:val="24"/>
        </w:rPr>
        <w:t xml:space="preserve"> </w:t>
      </w:r>
      <w:r w:rsidRPr="004A013F">
        <w:rPr>
          <w:szCs w:val="24"/>
        </w:rPr>
        <w:t xml:space="preserve">A copy of the DEC can be found at </w:t>
      </w:r>
      <w:hyperlink r:id="rId87" w:history="1">
        <w:r w:rsidRPr="004A013F">
          <w:rPr>
            <w:rStyle w:val="Hyperlink"/>
            <w:szCs w:val="24"/>
          </w:rPr>
          <w:t>https://www.energy.gov/gc/determination-exceptional-circumstances-decs</w:t>
        </w:r>
      </w:hyperlink>
      <w:r w:rsidRPr="004A013F">
        <w:rPr>
          <w:szCs w:val="24"/>
        </w:rPr>
        <w:t>.</w:t>
      </w:r>
      <w:r w:rsidR="00604DB0">
        <w:rPr>
          <w:szCs w:val="24"/>
        </w:rPr>
        <w:t xml:space="preserve"> </w:t>
      </w:r>
      <w:r w:rsidRPr="004A013F">
        <w:rPr>
          <w:szCs w:val="24"/>
        </w:rPr>
        <w:t xml:space="preserve">Pursuant to 37 CFR § 401.4, any nonprofit organization or small business firm as defined by 35 U.S.C. 201 affected by any DEC has the right to appeal it </w:t>
      </w:r>
      <w:r w:rsidRPr="004A013F">
        <w:rPr>
          <w:rFonts w:cstheme="minorHAnsi"/>
          <w:color w:val="000000"/>
          <w:szCs w:val="24"/>
          <w:shd w:val="clear" w:color="auto" w:fill="FFFFFF"/>
        </w:rPr>
        <w:t>by providing written notice to DOE</w:t>
      </w:r>
      <w:r w:rsidRPr="004A013F">
        <w:rPr>
          <w:rFonts w:ascii="Arial" w:hAnsi="Arial" w:cs="Arial"/>
          <w:color w:val="000000"/>
          <w:sz w:val="21"/>
          <w:szCs w:val="21"/>
          <w:shd w:val="clear" w:color="auto" w:fill="FFFFFF"/>
        </w:rPr>
        <w:t xml:space="preserve"> </w:t>
      </w:r>
      <w:r w:rsidRPr="004A013F">
        <w:rPr>
          <w:szCs w:val="24"/>
        </w:rPr>
        <w:t>within 30 working days from the time it receives a copy of the determination.</w:t>
      </w:r>
      <w:r w:rsidR="00604DB0">
        <w:rPr>
          <w:szCs w:val="24"/>
        </w:rPr>
        <w:t xml:space="preserve">  </w:t>
      </w:r>
    </w:p>
    <w:p w14:paraId="7CD400B8" w14:textId="1CB2AEBD" w:rsidR="000579B1" w:rsidRPr="004A013F" w:rsidRDefault="000579B1" w:rsidP="00AA4320">
      <w:pPr>
        <w:pStyle w:val="ListParagraph"/>
        <w:numPr>
          <w:ilvl w:val="0"/>
          <w:numId w:val="19"/>
        </w:numPr>
        <w:rPr>
          <w:szCs w:val="24"/>
        </w:rPr>
      </w:pPr>
      <w:r w:rsidRPr="000579B1">
        <w:t>DOE may issue and publish on the website above further DECs prior to the issuance of awards under this FOA.  DOE may require additional submissions or requirements</w:t>
      </w:r>
      <w:r w:rsidRPr="000579B1">
        <w:rPr>
          <w:spacing w:val="-14"/>
        </w:rPr>
        <w:t xml:space="preserve"> </w:t>
      </w:r>
      <w:r w:rsidRPr="000579B1">
        <w:t>as authorized by any applicable DEC.</w:t>
      </w:r>
    </w:p>
    <w:p w14:paraId="6CA6D924" w14:textId="750ECE2F" w:rsidR="00A40705" w:rsidRPr="005A16ED" w:rsidRDefault="00A40705" w:rsidP="005A16ED">
      <w:pPr>
        <w:rPr>
          <w:color w:val="0000FF"/>
        </w:rPr>
      </w:pPr>
    </w:p>
    <w:p w14:paraId="6BA97989" w14:textId="5BC561DF" w:rsidR="00B07932" w:rsidRPr="008858B4" w:rsidRDefault="004E672B" w:rsidP="0017595D">
      <w:pPr>
        <w:pStyle w:val="FOAHeading2"/>
      </w:pPr>
      <w:bookmarkStart w:id="670" w:name="_Toc109921785"/>
      <w:r w:rsidRPr="008858B4">
        <w:t>Government Rights in Subject Inventions</w:t>
      </w:r>
      <w:bookmarkEnd w:id="670"/>
    </w:p>
    <w:p w14:paraId="5FA86E36" w14:textId="1489A65A" w:rsidR="00B07932" w:rsidRPr="008858B4" w:rsidRDefault="004E672B" w:rsidP="00E42B15">
      <w:pPr>
        <w:ind w:left="1440"/>
      </w:pPr>
      <w:r w:rsidRPr="008858B4">
        <w:t xml:space="preserve">Where </w:t>
      </w:r>
      <w:r w:rsidR="00647D5B">
        <w:t>p</w:t>
      </w:r>
      <w:r w:rsidR="00647D5B" w:rsidRPr="008858B4">
        <w:t xml:space="preserve">rime </w:t>
      </w:r>
      <w:r w:rsidR="00647D5B">
        <w:t>r</w:t>
      </w:r>
      <w:r w:rsidR="00647D5B" w:rsidRPr="008858B4">
        <w:t xml:space="preserve">ecipients </w:t>
      </w:r>
      <w:r w:rsidRPr="008858B4">
        <w:t xml:space="preserve">and </w:t>
      </w:r>
      <w:r w:rsidR="00496B2A">
        <w:t>s</w:t>
      </w:r>
      <w:r w:rsidR="00496B2A" w:rsidRPr="008858B4">
        <w:t xml:space="preserve">ubrecipients </w:t>
      </w:r>
      <w:r w:rsidRPr="008858B4">
        <w:t>retain title to subject invent</w:t>
      </w:r>
      <w:r w:rsidR="00385771">
        <w:t>ions, the U.S. g</w:t>
      </w:r>
      <w:r w:rsidRPr="008858B4">
        <w:t>overnment retains certain rights.</w:t>
      </w:r>
    </w:p>
    <w:p w14:paraId="5B98E7C1" w14:textId="77777777" w:rsidR="00B07932" w:rsidRDefault="00B07932" w:rsidP="008858B4"/>
    <w:p w14:paraId="13FFC4A9" w14:textId="77777777" w:rsidR="00B07932" w:rsidRPr="00872882" w:rsidRDefault="004E672B" w:rsidP="00A53BBC">
      <w:pPr>
        <w:pStyle w:val="FOAHeading4"/>
        <w:ind w:left="1440"/>
      </w:pPr>
      <w:r w:rsidRPr="00A53BBC">
        <w:rPr>
          <w:sz w:val="28"/>
          <w:szCs w:val="28"/>
        </w:rPr>
        <w:t>Government Use License</w:t>
      </w:r>
    </w:p>
    <w:p w14:paraId="5628504C" w14:textId="3E2706FA" w:rsidR="00B07932" w:rsidRPr="008858B4" w:rsidRDefault="004E672B" w:rsidP="00A53BBC">
      <w:pPr>
        <w:ind w:left="1440"/>
      </w:pPr>
      <w:r>
        <w:t>The U.S. g</w:t>
      </w:r>
      <w:r w:rsidRPr="008858B4">
        <w:t>overnment retains a nonexclusive, nontransferable, irrevocable, paid-up license to practice or have practiced for or on behalf of the United States any subject invention throughout the world.</w:t>
      </w:r>
      <w:r w:rsidR="001A3502">
        <w:t xml:space="preserve"> </w:t>
      </w:r>
      <w:r w:rsidRPr="008858B4">
        <w:t>This license extends to contracto</w:t>
      </w:r>
      <w:r>
        <w:t>rs doing work on behalf of the g</w:t>
      </w:r>
      <w:r w:rsidRPr="008858B4">
        <w:t xml:space="preserve">overnment. </w:t>
      </w:r>
    </w:p>
    <w:p w14:paraId="639D69B2" w14:textId="77777777" w:rsidR="00B07932" w:rsidRPr="008858B4" w:rsidRDefault="00B07932" w:rsidP="00E9631F">
      <w:pPr>
        <w:ind w:left="1620" w:hanging="180"/>
      </w:pPr>
    </w:p>
    <w:p w14:paraId="28ECB5B2" w14:textId="77777777" w:rsidR="00B07932" w:rsidRPr="00872882" w:rsidRDefault="004E672B" w:rsidP="00A53BBC">
      <w:pPr>
        <w:pStyle w:val="FOAHeading4"/>
        <w:ind w:left="1440"/>
      </w:pPr>
      <w:r w:rsidRPr="00C72CE2">
        <w:t>March-In Rights</w:t>
      </w:r>
    </w:p>
    <w:p w14:paraId="1C0333F3" w14:textId="09AC7062" w:rsidR="00B07932" w:rsidRPr="008858B4" w:rsidRDefault="004E672B" w:rsidP="00A53BBC">
      <w:pPr>
        <w:ind w:left="1440"/>
      </w:pPr>
      <w:r>
        <w:t>The U.S. g</w:t>
      </w:r>
      <w:r w:rsidRPr="008858B4">
        <w:t>overnment retains march-in rights with respect to all subject inventions.</w:t>
      </w:r>
      <w:r w:rsidR="001A3502">
        <w:t xml:space="preserve"> </w:t>
      </w:r>
      <w:r>
        <w:t>Through “march-in rights,” the g</w:t>
      </w:r>
      <w:r w:rsidRPr="008858B4">
        <w:t xml:space="preserve">overnment may require a </w:t>
      </w:r>
      <w:r w:rsidR="00647D5B">
        <w:t>p</w:t>
      </w:r>
      <w:r w:rsidR="00647D5B" w:rsidRPr="008858B4">
        <w:t xml:space="preserve">rime </w:t>
      </w:r>
      <w:r w:rsidR="00647D5B">
        <w:t>r</w:t>
      </w:r>
      <w:r w:rsidR="00647D5B" w:rsidRPr="008858B4">
        <w:t xml:space="preserve">ecipient </w:t>
      </w:r>
      <w:r w:rsidRPr="008858B4">
        <w:t xml:space="preserve">or </w:t>
      </w:r>
      <w:r w:rsidR="00496B2A">
        <w:t>s</w:t>
      </w:r>
      <w:r w:rsidR="00496B2A" w:rsidRPr="008858B4">
        <w:t xml:space="preserve">ubrecipient </w:t>
      </w:r>
      <w:r w:rsidRPr="008858B4">
        <w:t>who has elected to retain title to a subject invention (or their assignees or exclusive licensees), to grant a license for use of the invention to a third party.</w:t>
      </w:r>
      <w:r w:rsidR="001A3502">
        <w:t xml:space="preserve"> </w:t>
      </w:r>
      <w:r>
        <w:t>In addition, the g</w:t>
      </w:r>
      <w:r w:rsidRPr="008858B4">
        <w:t xml:space="preserve">overnment may grant licenses for use of the subject invention when a </w:t>
      </w:r>
      <w:r w:rsidR="00647D5B">
        <w:t>p</w:t>
      </w:r>
      <w:r w:rsidR="00647D5B" w:rsidRPr="008858B4">
        <w:t xml:space="preserve">rime </w:t>
      </w:r>
      <w:r w:rsidR="00647D5B">
        <w:t>r</w:t>
      </w:r>
      <w:r w:rsidR="00647D5B" w:rsidRPr="008858B4">
        <w:t>ecipient</w:t>
      </w:r>
      <w:r w:rsidRPr="008858B4">
        <w:t xml:space="preserve">, </w:t>
      </w:r>
      <w:r w:rsidR="00496B2A">
        <w:t>s</w:t>
      </w:r>
      <w:r w:rsidR="00496B2A" w:rsidRPr="008858B4">
        <w:t>ubrecipient</w:t>
      </w:r>
      <w:r w:rsidRPr="008858B4">
        <w:t>, or their assignees and exclusive licensees refuse to do so.</w:t>
      </w:r>
      <w:r w:rsidR="001A3502">
        <w:t xml:space="preserve"> </w:t>
      </w:r>
    </w:p>
    <w:p w14:paraId="41ECB34A" w14:textId="77777777" w:rsidR="00B07932" w:rsidRPr="008858B4" w:rsidRDefault="00B07932" w:rsidP="00621CBA">
      <w:pPr>
        <w:ind w:left="1440"/>
      </w:pPr>
    </w:p>
    <w:p w14:paraId="30A6F8B2" w14:textId="77777777" w:rsidR="00B07932" w:rsidRPr="008858B4" w:rsidRDefault="004E672B" w:rsidP="00A53BBC">
      <w:pPr>
        <w:ind w:left="1440"/>
      </w:pPr>
      <w:r w:rsidRPr="008858B4">
        <w:t>DOE may exercise its march-in rights only if it determines that such action is necessary under any of the four following conditions:</w:t>
      </w:r>
    </w:p>
    <w:p w14:paraId="109FA433" w14:textId="77777777" w:rsidR="00B07932" w:rsidRDefault="004E672B" w:rsidP="00AA4320">
      <w:pPr>
        <w:pStyle w:val="ListParagraph"/>
        <w:numPr>
          <w:ilvl w:val="0"/>
          <w:numId w:val="20"/>
        </w:numPr>
        <w:snapToGrid w:val="0"/>
        <w:ind w:left="2160"/>
      </w:pPr>
      <w:r w:rsidRPr="008858B4">
        <w:t xml:space="preserve">The owner or licensee has not taken or is not expected to take effective steps to achieve practical application of the invention within a reasonable </w:t>
      </w:r>
      <w:proofErr w:type="gramStart"/>
      <w:r w:rsidRPr="008858B4">
        <w:t>time;</w:t>
      </w:r>
      <w:proofErr w:type="gramEnd"/>
    </w:p>
    <w:p w14:paraId="576B02B5" w14:textId="77777777" w:rsidR="00B07932" w:rsidRDefault="004E672B" w:rsidP="00AA4320">
      <w:pPr>
        <w:pStyle w:val="ListParagraph"/>
        <w:numPr>
          <w:ilvl w:val="0"/>
          <w:numId w:val="20"/>
        </w:numPr>
        <w:snapToGrid w:val="0"/>
        <w:ind w:left="2160"/>
      </w:pPr>
      <w:r w:rsidRPr="008858B4">
        <w:t xml:space="preserve">The owner or licensee has not taken action to alleviate health or safety needs in a reasonably satisfied </w:t>
      </w:r>
      <w:proofErr w:type="gramStart"/>
      <w:r w:rsidRPr="008858B4">
        <w:t>manner;</w:t>
      </w:r>
      <w:proofErr w:type="gramEnd"/>
    </w:p>
    <w:p w14:paraId="3F53ACDA" w14:textId="77777777" w:rsidR="00B07932" w:rsidRDefault="004E672B" w:rsidP="00AA4320">
      <w:pPr>
        <w:pStyle w:val="ListParagraph"/>
        <w:numPr>
          <w:ilvl w:val="0"/>
          <w:numId w:val="20"/>
        </w:numPr>
        <w:snapToGrid w:val="0"/>
        <w:ind w:left="2160"/>
      </w:pPr>
      <w:r w:rsidRPr="008858B4">
        <w:t xml:space="preserve">The owner has not met public use requirements specified by </w:t>
      </w:r>
      <w:r w:rsidR="001F169D">
        <w:t>f</w:t>
      </w:r>
      <w:r w:rsidR="001F169D" w:rsidRPr="008858B4">
        <w:t xml:space="preserve">ederal </w:t>
      </w:r>
      <w:r w:rsidRPr="008858B4">
        <w:t>statutes in a reasonably satisfied manner; or</w:t>
      </w:r>
    </w:p>
    <w:p w14:paraId="081AEB89" w14:textId="751C7F4D" w:rsidR="00B07932" w:rsidRPr="008858B4" w:rsidRDefault="004E672B" w:rsidP="00AA4320">
      <w:pPr>
        <w:pStyle w:val="ListParagraph"/>
        <w:numPr>
          <w:ilvl w:val="0"/>
          <w:numId w:val="20"/>
        </w:numPr>
        <w:snapToGrid w:val="0"/>
        <w:ind w:left="2160"/>
      </w:pPr>
      <w:r w:rsidRPr="008858B4">
        <w:t xml:space="preserve">The U.S. </w:t>
      </w:r>
      <w:r w:rsidR="00385771">
        <w:t>m</w:t>
      </w:r>
      <w:r w:rsidRPr="008858B4">
        <w:t xml:space="preserve">anufacturing requirement has not been met. </w:t>
      </w:r>
    </w:p>
    <w:p w14:paraId="0BCA8D10" w14:textId="77777777" w:rsidR="00B07932" w:rsidRPr="008858B4" w:rsidRDefault="00B07932" w:rsidP="00E9631F">
      <w:pPr>
        <w:ind w:left="1980"/>
      </w:pPr>
    </w:p>
    <w:p w14:paraId="74924B51" w14:textId="77777777" w:rsidR="00B07932" w:rsidRPr="008858B4" w:rsidRDefault="004E672B" w:rsidP="00A53BBC">
      <w:pPr>
        <w:ind w:left="1440"/>
      </w:pPr>
      <w:r w:rsidRPr="008858B4">
        <w:t>Any determination that march-in rights are warranted must follow a fact-finding process in which the recipient has certain rights to present evidence and witnesses, confront witnesses and appear with counsel and appeal any adverse decision.</w:t>
      </w:r>
      <w:r w:rsidR="001A3502">
        <w:t xml:space="preserve"> </w:t>
      </w:r>
      <w:r w:rsidRPr="008858B4">
        <w:t xml:space="preserve">To date, DOE has never exercised its march-in rights to any subject inventions. </w:t>
      </w:r>
    </w:p>
    <w:p w14:paraId="2B605E95" w14:textId="77777777" w:rsidR="00B07932" w:rsidRPr="008858B4" w:rsidRDefault="00B07932" w:rsidP="008858B4"/>
    <w:p w14:paraId="2B195338" w14:textId="7B7D991E" w:rsidR="00B07932" w:rsidRPr="008858B4" w:rsidRDefault="004E672B" w:rsidP="0017595D">
      <w:pPr>
        <w:pStyle w:val="FOAHeading2"/>
      </w:pPr>
      <w:bookmarkStart w:id="671" w:name="_Toc517798956"/>
      <w:bookmarkStart w:id="672" w:name="_Toc519602284"/>
      <w:bookmarkStart w:id="673" w:name="_Toc519602456"/>
      <w:bookmarkStart w:id="674" w:name="_Toc109921786"/>
      <w:r w:rsidRPr="008858B4">
        <w:t>Rights in Technical Data</w:t>
      </w:r>
      <w:bookmarkEnd w:id="671"/>
      <w:bookmarkEnd w:id="672"/>
      <w:bookmarkEnd w:id="673"/>
      <w:bookmarkEnd w:id="674"/>
    </w:p>
    <w:p w14:paraId="059A6410" w14:textId="77777777" w:rsidR="00B07932" w:rsidRPr="008858B4" w:rsidRDefault="004E672B" w:rsidP="00E42B15">
      <w:pPr>
        <w:ind w:left="1440"/>
      </w:pPr>
      <w:r w:rsidRPr="008858B4">
        <w:t>Data rights differ based on whether data is first produced under an award or instead was developed at private expense outside the award.</w:t>
      </w:r>
      <w:r w:rsidR="001A3502">
        <w:t xml:space="preserve"> </w:t>
      </w:r>
    </w:p>
    <w:p w14:paraId="0EFD6FB0" w14:textId="77777777" w:rsidR="00B07932" w:rsidRPr="008858B4" w:rsidRDefault="00B07932" w:rsidP="00E42B15">
      <w:pPr>
        <w:ind w:left="1440"/>
      </w:pPr>
    </w:p>
    <w:p w14:paraId="2BB27D6B" w14:textId="46B86C46" w:rsidR="00B07932" w:rsidRPr="008858B4" w:rsidRDefault="004E672B" w:rsidP="00E42B15">
      <w:pPr>
        <w:ind w:left="1440"/>
      </w:pPr>
      <w:r w:rsidRPr="008858B4">
        <w:t>“</w:t>
      </w:r>
      <w:r w:rsidR="00385771">
        <w:t>Limited Rights Data”: The U.S. g</w:t>
      </w:r>
      <w:r w:rsidRPr="008858B4">
        <w:t>overnment will not normally require delivery of confidential or trade secret-type technical data developed solely at private expense prior to issuance of an award, except as necessary to monitor technical progress and evaluate the potential of proposed technologies to reach specific technical and cost metrics.</w:t>
      </w:r>
    </w:p>
    <w:p w14:paraId="79823A79" w14:textId="65B42BE6" w:rsidR="00B07932" w:rsidRDefault="00B07932" w:rsidP="007A6DD9">
      <w:pPr>
        <w:ind w:left="1296"/>
      </w:pPr>
    </w:p>
    <w:p w14:paraId="7950D784" w14:textId="286220FB" w:rsidR="00B07932" w:rsidRPr="00443627" w:rsidRDefault="004E672B" w:rsidP="00E42B15">
      <w:pPr>
        <w:ind w:left="1440"/>
      </w:pPr>
      <w:r w:rsidRPr="00443627">
        <w:t xml:space="preserve">Government </w:t>
      </w:r>
      <w:r w:rsidR="00654206" w:rsidRPr="00443627">
        <w:t xml:space="preserve">Rights </w:t>
      </w:r>
      <w:r w:rsidRPr="00443627">
        <w:t>in Technical Data P</w:t>
      </w:r>
      <w:r w:rsidR="00385771">
        <w:t>roduced Under Awards: The U.S. g</w:t>
      </w:r>
      <w:r w:rsidRPr="00443627">
        <w:t>overnment normally retains unlimited rights in</w:t>
      </w:r>
      <w:r w:rsidR="00385771">
        <w:t xml:space="preserve"> technical data produced under g</w:t>
      </w:r>
      <w:r w:rsidRPr="00443627">
        <w:t>overnment financial assistance awards, including the right to distribute to the public.</w:t>
      </w:r>
      <w:r w:rsidR="001A3502" w:rsidRPr="00443627">
        <w:t xml:space="preserve"> </w:t>
      </w:r>
      <w:r w:rsidRPr="00443627">
        <w:t xml:space="preserve">However, pursuant to special statutory authority, certain categories of data generated under EERE awards may be protected from public disclosure for up to five years after the data is generated (“Protected Data”). For awards permitting Protected Data, the protected data must be marked as set forth in the </w:t>
      </w:r>
      <w:proofErr w:type="gramStart"/>
      <w:r w:rsidRPr="00443627">
        <w:t>awards</w:t>
      </w:r>
      <w:proofErr w:type="gramEnd"/>
      <w:r w:rsidRPr="00443627">
        <w:t xml:space="preserve"> intellectual property terms and conditions and a listing of unlimited rights data (i.e., non-protected data) must be inserted into the data clause in the award.</w:t>
      </w:r>
      <w:r w:rsidR="001A3502" w:rsidRPr="00443627">
        <w:t xml:space="preserve"> </w:t>
      </w:r>
      <w:r w:rsidRPr="00443627">
        <w:t xml:space="preserve">In addition, invention disclosures may be protected from public disclosure for a reasonable time </w:t>
      </w:r>
      <w:proofErr w:type="gramStart"/>
      <w:r w:rsidRPr="00443627">
        <w:t>in order to</w:t>
      </w:r>
      <w:proofErr w:type="gramEnd"/>
      <w:r w:rsidRPr="00443627">
        <w:t xml:space="preserve"> allow for filing a patent application.</w:t>
      </w:r>
    </w:p>
    <w:p w14:paraId="44F9CC96" w14:textId="77777777" w:rsidR="00B07932" w:rsidRPr="008858B4" w:rsidRDefault="00B07932" w:rsidP="008858B4"/>
    <w:p w14:paraId="3E2A7E91" w14:textId="7382CF40" w:rsidR="00B07932" w:rsidRPr="008858B4" w:rsidRDefault="004E672B" w:rsidP="0017595D">
      <w:pPr>
        <w:pStyle w:val="FOAHeading2"/>
      </w:pPr>
      <w:bookmarkStart w:id="675" w:name="_Toc517798957"/>
      <w:bookmarkStart w:id="676" w:name="_Toc519602285"/>
      <w:bookmarkStart w:id="677" w:name="_Toc519602457"/>
      <w:bookmarkStart w:id="678" w:name="_Toc109921787"/>
      <w:r w:rsidRPr="008858B4">
        <w:t>Copyright</w:t>
      </w:r>
      <w:bookmarkEnd w:id="675"/>
      <w:bookmarkEnd w:id="676"/>
      <w:bookmarkEnd w:id="677"/>
      <w:bookmarkEnd w:id="678"/>
    </w:p>
    <w:p w14:paraId="7F4665FA" w14:textId="6955DD8C" w:rsidR="00BC66E6" w:rsidRDefault="004E672B" w:rsidP="00E42B15">
      <w:pPr>
        <w:ind w:left="1440"/>
      </w:pPr>
      <w:r w:rsidRPr="008858B4">
        <w:t xml:space="preserve">The </w:t>
      </w:r>
      <w:r w:rsidR="00647D5B">
        <w:t>p</w:t>
      </w:r>
      <w:r w:rsidR="00647D5B" w:rsidRPr="008858B4">
        <w:t xml:space="preserve">rime </w:t>
      </w:r>
      <w:r w:rsidR="00647D5B">
        <w:t>r</w:t>
      </w:r>
      <w:r w:rsidR="00647D5B" w:rsidRPr="008858B4">
        <w:t xml:space="preserve">ecipient </w:t>
      </w:r>
      <w:r w:rsidRPr="008858B4">
        <w:t xml:space="preserve">and </w:t>
      </w:r>
      <w:r w:rsidR="00496B2A">
        <w:t>s</w:t>
      </w:r>
      <w:r w:rsidR="00496B2A" w:rsidRPr="008858B4">
        <w:t xml:space="preserve">ubrecipients </w:t>
      </w:r>
      <w:r w:rsidRPr="008858B4">
        <w:t>may assert copyright in copyrightable works, such as software, first produced under the award without EERE approval.</w:t>
      </w:r>
      <w:r w:rsidR="001A3502">
        <w:t xml:space="preserve"> </w:t>
      </w:r>
      <w:r w:rsidRPr="008858B4">
        <w:t>W</w:t>
      </w:r>
      <w:r w:rsidR="00385771">
        <w:t>hen copyright is asserted, the g</w:t>
      </w:r>
      <w:r w:rsidRPr="008858B4">
        <w:t>overnment retains a paid-up nonexclusive, irrevocable worldwide license to reproduce, prepare derivative works, distribute copies to the public, and to perform publicly and display publicly the copyrighted work.</w:t>
      </w:r>
      <w:r w:rsidR="001A3502">
        <w:t xml:space="preserve"> </w:t>
      </w:r>
      <w:r w:rsidRPr="008858B4">
        <w:t>This license extends to contractors and others doing work on behal</w:t>
      </w:r>
      <w:r w:rsidR="00385771">
        <w:t>f of the g</w:t>
      </w:r>
      <w:r w:rsidRPr="008858B4">
        <w:t>overnment.</w:t>
      </w:r>
      <w:r w:rsidR="00B816E5">
        <w:t xml:space="preserve"> </w:t>
      </w:r>
    </w:p>
    <w:p w14:paraId="4AC317D6" w14:textId="77777777" w:rsidR="00BC66E6" w:rsidRDefault="00BC66E6" w:rsidP="00A53BBC">
      <w:pPr>
        <w:ind w:left="1080"/>
      </w:pPr>
    </w:p>
    <w:p w14:paraId="312B0304" w14:textId="50E67B0A" w:rsidR="008B5240" w:rsidRDefault="004E672B" w:rsidP="0017595D">
      <w:pPr>
        <w:pStyle w:val="FOAHeading2"/>
      </w:pPr>
      <w:bookmarkStart w:id="679" w:name="_Toc109921788"/>
      <w:r w:rsidRPr="00580237">
        <w:t>Export Control</w:t>
      </w:r>
      <w:bookmarkEnd w:id="679"/>
    </w:p>
    <w:p w14:paraId="02DB6A1B" w14:textId="40E68B2B" w:rsidR="008B5240" w:rsidRDefault="004E672B" w:rsidP="00E42B15">
      <w:pPr>
        <w:ind w:left="1440"/>
      </w:pPr>
      <w:r>
        <w:t xml:space="preserve">The U.S. government regulates the transfer of information, commodities, technology, and software considered to be strategically important to the U.S. to protect national security, foreign policy, and economic interests without imposing undue regulatory burdens on legitimate international trade. There is a network of federal agencies and regulations that govern exports that are collectively referred to as “Export Controls”. </w:t>
      </w:r>
      <w:bookmarkStart w:id="680" w:name="_Hlk105175886"/>
      <w:r w:rsidR="00EC4FD5">
        <w:t xml:space="preserve">All recipients </w:t>
      </w:r>
      <w:r w:rsidR="001871BD">
        <w:t xml:space="preserve">and subrecipients are responsible for ensuring compliance with all applicable U.S. Export Control laws and regulations relating to any work performed under a resulting award. </w:t>
      </w:r>
      <w:bookmarkEnd w:id="680"/>
    </w:p>
    <w:p w14:paraId="0433A5E1" w14:textId="77777777" w:rsidR="00EC4FD5" w:rsidRDefault="00EC4FD5" w:rsidP="001871BD"/>
    <w:p w14:paraId="4C6F6BB9" w14:textId="77777777" w:rsidR="00EC4FD5" w:rsidRDefault="00EC4FD5" w:rsidP="00EC4FD5">
      <w:pPr>
        <w:ind w:left="1440"/>
      </w:pPr>
      <w:r>
        <w:t xml:space="preserve">The recipient must immediately report to DOE any export control violations related to the project funded under the DOE award, at the recipient or subrecipient level, and provide the corrective action(s) to prevent future violations.  </w:t>
      </w:r>
    </w:p>
    <w:p w14:paraId="0B68F261" w14:textId="0417D75B" w:rsidR="00B07932" w:rsidRPr="007E2BCF" w:rsidRDefault="00B07932" w:rsidP="00014404">
      <w:pPr>
        <w:ind w:left="1080"/>
      </w:pPr>
    </w:p>
    <w:p w14:paraId="573F4E38" w14:textId="23E24A0A" w:rsidR="00B816E5" w:rsidRDefault="00B816E5" w:rsidP="0017595D">
      <w:pPr>
        <w:pStyle w:val="FOAHeading2"/>
      </w:pPr>
      <w:bookmarkStart w:id="681" w:name="_Toc109921789"/>
      <w:bookmarkStart w:id="682" w:name="_Toc517798958"/>
      <w:bookmarkStart w:id="683" w:name="_Toc519602286"/>
      <w:bookmarkStart w:id="684" w:name="_Toc519602458"/>
      <w:r>
        <w:t>Prohibition on Certain Telecommunications and Video Surveillance Services and Equipment</w:t>
      </w:r>
      <w:bookmarkEnd w:id="681"/>
    </w:p>
    <w:p w14:paraId="3D58E95B" w14:textId="77777777" w:rsidR="00B816E5" w:rsidRDefault="00B816E5" w:rsidP="00DB1DE6">
      <w:pPr>
        <w:pStyle w:val="FOATemplateBody"/>
        <w:ind w:left="1440"/>
      </w:pPr>
      <w:r>
        <w:t>As set forth in 2 CFR 200.116, recipients and subrecipients are prohibited from obligating or expending project funds (federal funds and recipient cost share) to:</w:t>
      </w:r>
    </w:p>
    <w:p w14:paraId="16FD251F" w14:textId="77777777" w:rsidR="00B816E5" w:rsidRDefault="00B816E5" w:rsidP="00DB1DE6">
      <w:pPr>
        <w:pStyle w:val="FOATemplateBody"/>
        <w:ind w:left="1440"/>
      </w:pPr>
    </w:p>
    <w:p w14:paraId="0885E0AB" w14:textId="77777777" w:rsidR="00B816E5" w:rsidRDefault="00B816E5" w:rsidP="00DB1DE6">
      <w:pPr>
        <w:pStyle w:val="FOATemplateBody"/>
        <w:ind w:left="1440"/>
      </w:pPr>
      <w:r>
        <w:t>(1)</w:t>
      </w:r>
      <w:r>
        <w:tab/>
        <w:t xml:space="preserve">Procure or </w:t>
      </w:r>
      <w:proofErr w:type="gramStart"/>
      <w:r>
        <w:t>obtain;</w:t>
      </w:r>
      <w:proofErr w:type="gramEnd"/>
    </w:p>
    <w:p w14:paraId="1308C1C3" w14:textId="77777777" w:rsidR="00B816E5" w:rsidRDefault="00B816E5" w:rsidP="00DB1DE6">
      <w:pPr>
        <w:pStyle w:val="FOATemplateBody"/>
        <w:ind w:left="1440"/>
      </w:pPr>
    </w:p>
    <w:p w14:paraId="51FE0DCF" w14:textId="77777777" w:rsidR="00B816E5" w:rsidRDefault="00B816E5" w:rsidP="00DB1DE6">
      <w:pPr>
        <w:pStyle w:val="FOATemplateBody"/>
        <w:ind w:left="1440"/>
      </w:pPr>
      <w:r>
        <w:t>(2)</w:t>
      </w:r>
      <w:r>
        <w:tab/>
        <w:t>Extend or renew a contract to procure or obtain; or</w:t>
      </w:r>
    </w:p>
    <w:p w14:paraId="1A64B257" w14:textId="77777777" w:rsidR="00B816E5" w:rsidRDefault="00B816E5" w:rsidP="00DB1DE6">
      <w:pPr>
        <w:pStyle w:val="FOATemplateBody"/>
        <w:ind w:left="1440"/>
      </w:pPr>
    </w:p>
    <w:p w14:paraId="3B3F27B1" w14:textId="4276B281" w:rsidR="00B816E5" w:rsidRDefault="00B816E5" w:rsidP="00B816E5">
      <w:pPr>
        <w:pStyle w:val="FOATemplateBody"/>
        <w:ind w:left="1440"/>
      </w:pPr>
      <w:r>
        <w:t>(3)</w:t>
      </w:r>
      <w:r>
        <w:tab/>
        <w:t>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5EAAE032" w14:textId="77777777" w:rsidR="00B816E5" w:rsidRDefault="00B816E5" w:rsidP="00B816E5">
      <w:pPr>
        <w:pStyle w:val="FOATemplateBody"/>
        <w:ind w:left="1440"/>
      </w:pPr>
    </w:p>
    <w:p w14:paraId="5E7A9B94" w14:textId="77777777" w:rsidR="00B816E5" w:rsidRDefault="00B816E5" w:rsidP="00F836F4">
      <w:pPr>
        <w:pStyle w:val="ListParagraph"/>
        <w:widowControl w:val="0"/>
        <w:numPr>
          <w:ilvl w:val="1"/>
          <w:numId w:val="100"/>
        </w:numPr>
        <w:tabs>
          <w:tab w:val="left" w:pos="2392"/>
        </w:tabs>
        <w:autoSpaceDE w:val="0"/>
        <w:autoSpaceDN w:val="0"/>
        <w:ind w:right="1011" w:firstLine="0"/>
        <w:contextualSpacing w:val="0"/>
      </w:pPr>
      <w:proofErr w:type="gramStart"/>
      <w:r>
        <w:t>For the purpose of</w:t>
      </w:r>
      <w:proofErr w:type="gramEnd"/>
      <w:r>
        <w:t xml:space="preserve"> public safety, security of government facilities, physical security surveillance of critical infrastructure, and other national security</w:t>
      </w:r>
      <w:r>
        <w:rPr>
          <w:spacing w:val="-6"/>
        </w:rPr>
        <w:t xml:space="preserve"> </w:t>
      </w:r>
      <w:r>
        <w:t>purposes,</w:t>
      </w:r>
      <w:r>
        <w:rPr>
          <w:spacing w:val="-7"/>
        </w:rPr>
        <w:t xml:space="preserve"> </w:t>
      </w:r>
      <w:r>
        <w:t>video</w:t>
      </w:r>
      <w:r>
        <w:rPr>
          <w:spacing w:val="-7"/>
        </w:rPr>
        <w:t xml:space="preserve"> </w:t>
      </w:r>
      <w:r>
        <w:t>surveillance</w:t>
      </w:r>
      <w:r>
        <w:rPr>
          <w:spacing w:val="-7"/>
        </w:rPr>
        <w:t xml:space="preserve"> </w:t>
      </w:r>
      <w:r>
        <w:t>and</w:t>
      </w:r>
      <w:r>
        <w:rPr>
          <w:spacing w:val="-7"/>
        </w:rPr>
        <w:t xml:space="preserve"> </w:t>
      </w:r>
      <w:r>
        <w:t>telecommunications</w:t>
      </w:r>
      <w:r>
        <w:rPr>
          <w:spacing w:val="-7"/>
        </w:rPr>
        <w:t xml:space="preserve"> </w:t>
      </w:r>
      <w:r>
        <w:t>equipment produced by Hytera Communications Corporation, Hangzhou Hikvision Digital Technology Company, or Dahua Technology Company (or any subsidiary or affiliate of such entities).</w:t>
      </w:r>
    </w:p>
    <w:p w14:paraId="20AF6C69" w14:textId="77777777" w:rsidR="00B816E5" w:rsidRDefault="00B816E5" w:rsidP="00B816E5">
      <w:pPr>
        <w:pStyle w:val="BodyText"/>
        <w:spacing w:before="2"/>
        <w:rPr>
          <w:sz w:val="22"/>
        </w:rPr>
      </w:pPr>
    </w:p>
    <w:p w14:paraId="04DEC45A" w14:textId="07139873" w:rsidR="00B816E5" w:rsidRDefault="00B816E5" w:rsidP="00F836F4">
      <w:pPr>
        <w:pStyle w:val="ListParagraph"/>
        <w:widowControl w:val="0"/>
        <w:numPr>
          <w:ilvl w:val="1"/>
          <w:numId w:val="100"/>
        </w:numPr>
        <w:tabs>
          <w:tab w:val="left" w:pos="2447"/>
        </w:tabs>
        <w:autoSpaceDE w:val="0"/>
        <w:autoSpaceDN w:val="0"/>
        <w:ind w:right="1232" w:firstLine="0"/>
        <w:contextualSpacing w:val="0"/>
      </w:pPr>
      <w:r>
        <w:t>Telecommunications</w:t>
      </w:r>
      <w:r>
        <w:rPr>
          <w:spacing w:val="-8"/>
        </w:rPr>
        <w:t xml:space="preserve"> </w:t>
      </w:r>
      <w:r>
        <w:t>or</w:t>
      </w:r>
      <w:r>
        <w:rPr>
          <w:spacing w:val="-6"/>
        </w:rPr>
        <w:t xml:space="preserve"> </w:t>
      </w:r>
      <w:r>
        <w:t>video</w:t>
      </w:r>
      <w:r>
        <w:rPr>
          <w:spacing w:val="-6"/>
        </w:rPr>
        <w:t xml:space="preserve"> </w:t>
      </w:r>
      <w:r>
        <w:t>surveillance</w:t>
      </w:r>
      <w:r>
        <w:rPr>
          <w:spacing w:val="-6"/>
        </w:rPr>
        <w:t xml:space="preserve"> </w:t>
      </w:r>
      <w:r>
        <w:t>services</w:t>
      </w:r>
      <w:r>
        <w:rPr>
          <w:spacing w:val="-7"/>
        </w:rPr>
        <w:t xml:space="preserve"> </w:t>
      </w:r>
      <w:r>
        <w:t>provided</w:t>
      </w:r>
      <w:r>
        <w:rPr>
          <w:spacing w:val="-7"/>
        </w:rPr>
        <w:t xml:space="preserve"> </w:t>
      </w:r>
      <w:r>
        <w:t>by</w:t>
      </w:r>
      <w:r>
        <w:rPr>
          <w:spacing w:val="-6"/>
        </w:rPr>
        <w:t xml:space="preserve"> </w:t>
      </w:r>
      <w:r>
        <w:t xml:space="preserve">such entities or using such equipment. </w:t>
      </w:r>
    </w:p>
    <w:p w14:paraId="711F59C1" w14:textId="77777777" w:rsidR="00B816E5" w:rsidRDefault="00B816E5" w:rsidP="00B816E5">
      <w:pPr>
        <w:pStyle w:val="BodyText"/>
        <w:rPr>
          <w:sz w:val="23"/>
        </w:rPr>
      </w:pPr>
    </w:p>
    <w:p w14:paraId="27A8D64B" w14:textId="3588A3E5" w:rsidR="00B816E5" w:rsidRDefault="00B816E5" w:rsidP="00F836F4">
      <w:pPr>
        <w:pStyle w:val="FOATemplateBody"/>
        <w:numPr>
          <w:ilvl w:val="1"/>
          <w:numId w:val="100"/>
        </w:numPr>
        <w:tabs>
          <w:tab w:val="left" w:pos="2520"/>
        </w:tabs>
        <w:ind w:left="2160" w:firstLine="0"/>
      </w:pPr>
      <w:r>
        <w:t>Telecommunications or video surveillance equipment or services produced or provided by an entity that the Secretary of Defense, in consultation with the Director of the National Intelligence or the Director of</w:t>
      </w:r>
      <w:r>
        <w:rPr>
          <w:spacing w:val="-4"/>
        </w:rPr>
        <w:t xml:space="preserve"> </w:t>
      </w:r>
      <w:r>
        <w:t>the</w:t>
      </w:r>
      <w:r>
        <w:rPr>
          <w:spacing w:val="-3"/>
        </w:rPr>
        <w:t xml:space="preserve"> </w:t>
      </w:r>
      <w:r>
        <w:t>Federal</w:t>
      </w:r>
      <w:r>
        <w:rPr>
          <w:spacing w:val="-4"/>
        </w:rPr>
        <w:t xml:space="preserve"> </w:t>
      </w:r>
      <w:r>
        <w:t>Bureau</w:t>
      </w:r>
      <w:r>
        <w:rPr>
          <w:spacing w:val="-4"/>
        </w:rPr>
        <w:t xml:space="preserve"> </w:t>
      </w:r>
      <w:r>
        <w:t>of</w:t>
      </w:r>
      <w:r>
        <w:rPr>
          <w:spacing w:val="-5"/>
        </w:rPr>
        <w:t xml:space="preserve"> </w:t>
      </w:r>
      <w:r>
        <w:t>Investigation,</w:t>
      </w:r>
      <w:r>
        <w:rPr>
          <w:spacing w:val="-4"/>
        </w:rPr>
        <w:t xml:space="preserve"> </w:t>
      </w:r>
      <w:r>
        <w:t>reasonably</w:t>
      </w:r>
      <w:r>
        <w:rPr>
          <w:spacing w:val="-3"/>
        </w:rPr>
        <w:t xml:space="preserve"> </w:t>
      </w:r>
      <w:r>
        <w:t>believes</w:t>
      </w:r>
      <w:r>
        <w:rPr>
          <w:spacing w:val="-4"/>
        </w:rPr>
        <w:t xml:space="preserve"> </w:t>
      </w:r>
      <w:r>
        <w:t>to</w:t>
      </w:r>
      <w:r>
        <w:rPr>
          <w:spacing w:val="-4"/>
        </w:rPr>
        <w:t xml:space="preserve"> </w:t>
      </w:r>
      <w:r>
        <w:t>be</w:t>
      </w:r>
      <w:r>
        <w:rPr>
          <w:spacing w:val="-3"/>
        </w:rPr>
        <w:t xml:space="preserve"> </w:t>
      </w:r>
      <w:r>
        <w:t>an</w:t>
      </w:r>
      <w:r>
        <w:rPr>
          <w:spacing w:val="-4"/>
        </w:rPr>
        <w:t xml:space="preserve"> </w:t>
      </w:r>
      <w:r>
        <w:t>entity owned or controlled by, or otherwise connected to, the government of a covered foreign country</w:t>
      </w:r>
    </w:p>
    <w:p w14:paraId="006E2760" w14:textId="77777777" w:rsidR="00B816E5" w:rsidRDefault="00B816E5" w:rsidP="00DB1DE6">
      <w:pPr>
        <w:pStyle w:val="ListParagraph"/>
      </w:pPr>
    </w:p>
    <w:p w14:paraId="71164BBC" w14:textId="77777777" w:rsidR="00B816E5" w:rsidRDefault="00B816E5" w:rsidP="00B816E5">
      <w:pPr>
        <w:pStyle w:val="BodyText"/>
        <w:ind w:left="1200"/>
      </w:pPr>
      <w:r>
        <w:t>See</w:t>
      </w:r>
      <w:r>
        <w:rPr>
          <w:spacing w:val="-5"/>
        </w:rPr>
        <w:t xml:space="preserve"> </w:t>
      </w:r>
      <w:r>
        <w:t>Public</w:t>
      </w:r>
      <w:r>
        <w:rPr>
          <w:spacing w:val="-2"/>
        </w:rPr>
        <w:t xml:space="preserve"> </w:t>
      </w:r>
      <w:r>
        <w:t>Law</w:t>
      </w:r>
      <w:r>
        <w:rPr>
          <w:spacing w:val="-3"/>
        </w:rPr>
        <w:t xml:space="preserve"> </w:t>
      </w:r>
      <w:r>
        <w:t>115-232,</w:t>
      </w:r>
      <w:r>
        <w:rPr>
          <w:spacing w:val="-1"/>
        </w:rPr>
        <w:t xml:space="preserve"> </w:t>
      </w:r>
      <w:r>
        <w:t>Section</w:t>
      </w:r>
      <w:r>
        <w:rPr>
          <w:spacing w:val="-3"/>
        </w:rPr>
        <w:t xml:space="preserve"> </w:t>
      </w:r>
      <w:r>
        <w:t>889</w:t>
      </w:r>
      <w:r>
        <w:rPr>
          <w:spacing w:val="-3"/>
        </w:rPr>
        <w:t xml:space="preserve"> </w:t>
      </w:r>
      <w:r>
        <w:t>for</w:t>
      </w:r>
      <w:r>
        <w:rPr>
          <w:spacing w:val="-2"/>
        </w:rPr>
        <w:t xml:space="preserve"> </w:t>
      </w:r>
      <w:r>
        <w:t>additional</w:t>
      </w:r>
      <w:r>
        <w:rPr>
          <w:spacing w:val="-3"/>
        </w:rPr>
        <w:t xml:space="preserve"> </w:t>
      </w:r>
      <w:r>
        <w:rPr>
          <w:spacing w:val="-2"/>
        </w:rPr>
        <w:t>information.</w:t>
      </w:r>
    </w:p>
    <w:p w14:paraId="56045CEF" w14:textId="77777777" w:rsidR="00B816E5" w:rsidRDefault="00B816E5" w:rsidP="00DB1DE6">
      <w:pPr>
        <w:pStyle w:val="FOATemplateBody"/>
        <w:tabs>
          <w:tab w:val="left" w:pos="2520"/>
        </w:tabs>
      </w:pPr>
    </w:p>
    <w:p w14:paraId="542728A9" w14:textId="08892656" w:rsidR="00B07932" w:rsidRPr="008858B4" w:rsidRDefault="004E672B" w:rsidP="0017595D">
      <w:pPr>
        <w:pStyle w:val="FOAHeading2"/>
      </w:pPr>
      <w:bookmarkStart w:id="685" w:name="_Toc109921790"/>
      <w:r w:rsidRPr="008858B4">
        <w:t>Personally Identifiable Information</w:t>
      </w:r>
      <w:r w:rsidR="0064547C">
        <w:t xml:space="preserve"> (PII)</w:t>
      </w:r>
      <w:bookmarkEnd w:id="682"/>
      <w:bookmarkEnd w:id="683"/>
      <w:bookmarkEnd w:id="684"/>
      <w:bookmarkEnd w:id="685"/>
    </w:p>
    <w:p w14:paraId="7D4FC8C9" w14:textId="08E9970C" w:rsidR="0064547C" w:rsidRDefault="004E672B" w:rsidP="00072505">
      <w:pPr>
        <w:pStyle w:val="CommentText"/>
        <w:ind w:left="1440"/>
      </w:pPr>
      <w:r>
        <w:t xml:space="preserve">All information provided by the </w:t>
      </w:r>
      <w:r w:rsidR="000F0009">
        <w:t xml:space="preserve">applicant </w:t>
      </w:r>
      <w:r>
        <w:t>must to the greatest extent possible exclude PII.</w:t>
      </w:r>
      <w:r w:rsidR="00604DB0">
        <w:t xml:space="preserve"> </w:t>
      </w:r>
      <w:r w:rsidRPr="008F7C59">
        <w:t>The term “</w:t>
      </w:r>
      <w:r w:rsidR="009F1B00">
        <w:t>PII</w:t>
      </w:r>
      <w:r w:rsidRPr="008F7C59">
        <w:t>” refers to information which can be used to distinguish or trace an individual's identity, such as their name, social security number, biometric records, alone, or when combined with other personal or identifying information which is linked or linkable to a specific individual, such as date and place of birth, mother’s maiden name.</w:t>
      </w:r>
      <w:r w:rsidR="001A3502">
        <w:t xml:space="preserve"> </w:t>
      </w:r>
      <w:r>
        <w:t>(See OMB Memor</w:t>
      </w:r>
      <w:r w:rsidR="001C1BE4">
        <w:t>an</w:t>
      </w:r>
      <w:r>
        <w:t>dum M-07-16 dated May 22, 2007, found at:</w:t>
      </w:r>
      <w:r w:rsidR="00BE1DA2">
        <w:t xml:space="preserve"> </w:t>
      </w:r>
      <w:hyperlink r:id="rId88" w:history="1">
        <w:r w:rsidR="00E92EE6">
          <w:rPr>
            <w:rStyle w:val="Hyperlink"/>
          </w:rPr>
          <w:t>https://www.whitehouse.gov/sites/whitehouse.gov/files/omb/memoranda/2007/m07-16.pdf</w:t>
        </w:r>
      </w:hyperlink>
    </w:p>
    <w:p w14:paraId="78D6CEB6" w14:textId="77777777" w:rsidR="00BE1DA2" w:rsidRDefault="00BE1DA2" w:rsidP="00072505">
      <w:pPr>
        <w:ind w:left="1440"/>
      </w:pPr>
    </w:p>
    <w:p w14:paraId="63C51A85" w14:textId="6A510855" w:rsidR="00B07932" w:rsidRDefault="004E672B" w:rsidP="00072505">
      <w:pPr>
        <w:ind w:left="1440"/>
      </w:pPr>
      <w:r>
        <w:t xml:space="preserve">By way of example, </w:t>
      </w:r>
      <w:r w:rsidR="000F0009">
        <w:t xml:space="preserve">applicants </w:t>
      </w:r>
      <w:r>
        <w:t xml:space="preserve">must screen resumes to ensure that they do not contain PII such as personal addresses, </w:t>
      </w:r>
      <w:r w:rsidR="00321CED">
        <w:t>personal landline</w:t>
      </w:r>
      <w:r>
        <w:t xml:space="preserve">/cell </w:t>
      </w:r>
      <w:r w:rsidR="00321CED">
        <w:t xml:space="preserve">phone </w:t>
      </w:r>
      <w:r>
        <w:t xml:space="preserve">numbers, </w:t>
      </w:r>
      <w:r w:rsidR="00321CED">
        <w:t xml:space="preserve">and </w:t>
      </w:r>
      <w:r>
        <w:t>personal emails.</w:t>
      </w:r>
      <w:r w:rsidR="001A3502">
        <w:t xml:space="preserve"> </w:t>
      </w:r>
      <w:r w:rsidR="00321CED" w:rsidRPr="00120F39">
        <w:rPr>
          <w:b/>
        </w:rPr>
        <w:t>Under no circumstances should Social Security Numbers (SSNs) be included in the application</w:t>
      </w:r>
      <w:r w:rsidR="00321CED">
        <w:t>.</w:t>
      </w:r>
      <w:r w:rsidR="001A3502">
        <w:t xml:space="preserve"> </w:t>
      </w:r>
      <w:r w:rsidR="00321CED">
        <w:t xml:space="preserve">Federal </w:t>
      </w:r>
      <w:r w:rsidR="004C7B21">
        <w:t>a</w:t>
      </w:r>
      <w:r w:rsidR="00321CED">
        <w:t>gencies are prohibited from the collecting, using, and displaying unnecessary SSNs. (See, the Federal Information Security Modernization Act of 2014 (Pub. L. No. 113-283, Dec 18, 2014; 44 U.S.C. §</w:t>
      </w:r>
      <w:r w:rsidR="009047A2">
        <w:t xml:space="preserve"> </w:t>
      </w:r>
      <w:r w:rsidR="00321CED">
        <w:t xml:space="preserve">3551). </w:t>
      </w:r>
    </w:p>
    <w:p w14:paraId="1B974AA4" w14:textId="77777777" w:rsidR="00CB44AC" w:rsidRPr="007A29A5" w:rsidRDefault="00CB44AC" w:rsidP="00072505">
      <w:pPr>
        <w:ind w:left="1440"/>
      </w:pPr>
    </w:p>
    <w:p w14:paraId="161745C1" w14:textId="4919E44D" w:rsidR="00B07932" w:rsidRPr="008858B4" w:rsidRDefault="004E672B" w:rsidP="0017595D">
      <w:pPr>
        <w:pStyle w:val="FOAHeading2"/>
      </w:pPr>
      <w:bookmarkStart w:id="686" w:name="_Toc410397277"/>
      <w:bookmarkStart w:id="687" w:name="_Toc517798959"/>
      <w:bookmarkStart w:id="688" w:name="_Toc519602287"/>
      <w:bookmarkStart w:id="689" w:name="_Toc519602459"/>
      <w:bookmarkStart w:id="690" w:name="_Toc109921791"/>
      <w:r w:rsidRPr="008858B4">
        <w:t xml:space="preserve">Annual </w:t>
      </w:r>
      <w:r w:rsidR="00186784">
        <w:t>Independent</w:t>
      </w:r>
      <w:r w:rsidRPr="008858B4">
        <w:t xml:space="preserve"> Audits</w:t>
      </w:r>
      <w:bookmarkEnd w:id="686"/>
      <w:bookmarkEnd w:id="687"/>
      <w:bookmarkEnd w:id="688"/>
      <w:bookmarkEnd w:id="689"/>
      <w:bookmarkEnd w:id="690"/>
    </w:p>
    <w:p w14:paraId="15DBBE3B" w14:textId="38AB7734" w:rsidR="00B07932" w:rsidRPr="008858B4" w:rsidRDefault="004E672B" w:rsidP="00072505">
      <w:pPr>
        <w:ind w:left="1440"/>
      </w:pPr>
      <w:r w:rsidRPr="008858B4">
        <w:t xml:space="preserve">If a for-profit entity is a </w:t>
      </w:r>
      <w:r w:rsidR="00647D5B">
        <w:t>p</w:t>
      </w:r>
      <w:r w:rsidR="00647D5B" w:rsidRPr="008858B4">
        <w:t xml:space="preserve">rime </w:t>
      </w:r>
      <w:r w:rsidR="00647D5B">
        <w:t>r</w:t>
      </w:r>
      <w:r w:rsidR="00647D5B" w:rsidRPr="008858B4">
        <w:t xml:space="preserve">ecipient </w:t>
      </w:r>
      <w:r w:rsidRPr="008858B4">
        <w:t xml:space="preserve">and has expended $750,000 or more of DOE </w:t>
      </w:r>
      <w:r w:rsidR="009C5E2F">
        <w:t>awards</w:t>
      </w:r>
      <w:r w:rsidRPr="008858B4">
        <w:t xml:space="preserve"> during the entity's fiscal year, an annual </w:t>
      </w:r>
      <w:r w:rsidR="00A01AB2">
        <w:t>c</w:t>
      </w:r>
      <w:r w:rsidR="00A01AB2" w:rsidRPr="008858B4">
        <w:t xml:space="preserve">ompliance </w:t>
      </w:r>
      <w:r w:rsidR="00A01AB2">
        <w:t>a</w:t>
      </w:r>
      <w:r w:rsidR="00A01AB2" w:rsidRPr="008858B4">
        <w:t xml:space="preserve">udit </w:t>
      </w:r>
      <w:r w:rsidRPr="008858B4">
        <w:t>performed by an independent auditor is required.</w:t>
      </w:r>
      <w:r w:rsidR="001A3502">
        <w:t xml:space="preserve"> </w:t>
      </w:r>
      <w:r w:rsidRPr="008858B4">
        <w:t>For additional information, please refer to 2 CFR 910.501 and Subpart F.</w:t>
      </w:r>
    </w:p>
    <w:p w14:paraId="2A1D8AFE" w14:textId="77777777" w:rsidR="00B07932" w:rsidRPr="008858B4" w:rsidRDefault="00B07932" w:rsidP="00072505">
      <w:pPr>
        <w:ind w:left="1440"/>
      </w:pPr>
    </w:p>
    <w:p w14:paraId="4A69F688" w14:textId="51A3E542" w:rsidR="00B07932" w:rsidRPr="008858B4" w:rsidRDefault="004E672B" w:rsidP="00072505">
      <w:pPr>
        <w:ind w:left="1440"/>
      </w:pPr>
      <w:r w:rsidRPr="008858B4">
        <w:t xml:space="preserve">If an educational institution, non-profit organization, or state/local government is a </w:t>
      </w:r>
      <w:r w:rsidR="00647D5B">
        <w:t>p</w:t>
      </w:r>
      <w:r w:rsidR="00647D5B" w:rsidRPr="008858B4">
        <w:t xml:space="preserve">rime </w:t>
      </w:r>
      <w:r w:rsidR="00647D5B">
        <w:t>r</w:t>
      </w:r>
      <w:r w:rsidR="00647D5B" w:rsidRPr="008858B4">
        <w:t xml:space="preserve">ecipient </w:t>
      </w:r>
      <w:r w:rsidRPr="008858B4">
        <w:t xml:space="preserve">or </w:t>
      </w:r>
      <w:r w:rsidR="00496B2A">
        <w:t>s</w:t>
      </w:r>
      <w:r w:rsidR="00496B2A" w:rsidRPr="008858B4">
        <w:t xml:space="preserve">ubrecipient </w:t>
      </w:r>
      <w:r w:rsidRPr="008858B4">
        <w:t xml:space="preserve">and has expended $750,000 or more of </w:t>
      </w:r>
      <w:r w:rsidR="001F169D">
        <w:t>f</w:t>
      </w:r>
      <w:r w:rsidR="001F169D" w:rsidRPr="009C5E2F">
        <w:t xml:space="preserve">ederal </w:t>
      </w:r>
      <w:r w:rsidR="009C5E2F" w:rsidRPr="009C5E2F">
        <w:t>awards</w:t>
      </w:r>
      <w:r w:rsidRPr="008858B4">
        <w:t xml:space="preserve"> during the non-</w:t>
      </w:r>
      <w:r w:rsidR="001F169D">
        <w:t>f</w:t>
      </w:r>
      <w:r w:rsidR="001F169D" w:rsidRPr="008858B4">
        <w:t xml:space="preserve">ederal </w:t>
      </w:r>
      <w:r w:rsidRPr="008858B4">
        <w:t xml:space="preserve">entity's fiscal year, then a </w:t>
      </w:r>
      <w:r w:rsidR="00186784">
        <w:t>S</w:t>
      </w:r>
      <w:r w:rsidRPr="008858B4">
        <w:t xml:space="preserve">ingle or </w:t>
      </w:r>
      <w:r w:rsidR="00186784">
        <w:t>P</w:t>
      </w:r>
      <w:r w:rsidRPr="008858B4">
        <w:t>rogram-</w:t>
      </w:r>
      <w:r w:rsidR="00186784">
        <w:t>S</w:t>
      </w:r>
      <w:r w:rsidRPr="008858B4">
        <w:t xml:space="preserve">pecific </w:t>
      </w:r>
      <w:r w:rsidR="00186784">
        <w:t>A</w:t>
      </w:r>
      <w:r w:rsidRPr="008858B4">
        <w:t>udit is required.</w:t>
      </w:r>
      <w:r w:rsidR="001A3502">
        <w:t xml:space="preserve"> </w:t>
      </w:r>
      <w:r w:rsidRPr="008858B4">
        <w:t>For additional information, please refer to 2 CFR 200.501 and Subpart F.</w:t>
      </w:r>
    </w:p>
    <w:p w14:paraId="5E23AB74" w14:textId="77777777" w:rsidR="00B07932" w:rsidRPr="008858B4" w:rsidRDefault="00B07932" w:rsidP="00072505">
      <w:pPr>
        <w:ind w:left="1440"/>
      </w:pPr>
    </w:p>
    <w:p w14:paraId="19755823" w14:textId="77777777" w:rsidR="00B07932" w:rsidRPr="008858B4" w:rsidRDefault="004E672B" w:rsidP="00072505">
      <w:pPr>
        <w:ind w:left="1440"/>
      </w:pPr>
      <w:r w:rsidRPr="008858B4">
        <w:t>Applicants and subrecipients (if applicable) should propose sufficient costs in the project budget to cover the costs associated with the audit.</w:t>
      </w:r>
      <w:r w:rsidR="001A3502">
        <w:t xml:space="preserve"> </w:t>
      </w:r>
      <w:r w:rsidRPr="008858B4">
        <w:t>EERE will share in the cost of the audit at its applicable cost share ratio.</w:t>
      </w:r>
    </w:p>
    <w:p w14:paraId="56F2B68D" w14:textId="77777777" w:rsidR="002114F3" w:rsidRDefault="002114F3" w:rsidP="002114F3">
      <w:pPr>
        <w:ind w:left="1080"/>
      </w:pPr>
    </w:p>
    <w:p w14:paraId="38522C65" w14:textId="77777777" w:rsidR="002114F3" w:rsidRDefault="004E672B" w:rsidP="0017595D">
      <w:pPr>
        <w:pStyle w:val="FOAHeading2"/>
      </w:pPr>
      <w:bookmarkStart w:id="691" w:name="_Toc109921792"/>
      <w:r>
        <w:t>Informational Webinar</w:t>
      </w:r>
      <w:bookmarkEnd w:id="691"/>
    </w:p>
    <w:p w14:paraId="70D952D7" w14:textId="15F027B5" w:rsidR="00112226" w:rsidRDefault="002114F3" w:rsidP="00072505">
      <w:pPr>
        <w:ind w:left="1440"/>
      </w:pPr>
      <w:r>
        <w:t>EERE will conduct one informational webinar during the FOA process. It will be held after the initial FOA release but before t</w:t>
      </w:r>
      <w:r w:rsidR="004E672B">
        <w:t>he due date for Concept Papers.</w:t>
      </w:r>
    </w:p>
    <w:p w14:paraId="4C17FE97" w14:textId="77777777" w:rsidR="00112226" w:rsidRDefault="00112226" w:rsidP="00072505">
      <w:pPr>
        <w:ind w:left="1440"/>
      </w:pPr>
    </w:p>
    <w:p w14:paraId="437DEB1E" w14:textId="15E68E72" w:rsidR="002114F3" w:rsidRDefault="004E672B" w:rsidP="00072505">
      <w:pPr>
        <w:ind w:left="1440"/>
      </w:pPr>
      <w:r>
        <w:t>Attendance is not mandatory and will not positively or negatively impact the overall review of any applicant submissions. As the webinar will be open to all applicants who wish to participate, applicants should refrain from asking questions or communicating information that would reveal confidential and/or proprietary information specific to their project. Specific dates for the webinar can be found on the cover page of the FOA.</w:t>
      </w:r>
    </w:p>
    <w:p w14:paraId="48F36363" w14:textId="10DF0239" w:rsidR="00B816E5" w:rsidRDefault="00B816E5" w:rsidP="00072505">
      <w:pPr>
        <w:ind w:left="1440"/>
      </w:pPr>
    </w:p>
    <w:p w14:paraId="7F5E5659" w14:textId="239F6699" w:rsidR="001431C0" w:rsidRDefault="001431C0">
      <w:pPr>
        <w:rPr>
          <w:color w:val="0000FF"/>
        </w:rPr>
      </w:pPr>
      <w:bookmarkStart w:id="692" w:name="S.__Export_Control_Responsibilities_(SEP"/>
      <w:bookmarkStart w:id="693" w:name="_bookmark162"/>
      <w:bookmarkEnd w:id="692"/>
      <w:bookmarkEnd w:id="693"/>
    </w:p>
    <w:p w14:paraId="5F0E3A22" w14:textId="77777777" w:rsidR="00F03CF6" w:rsidRDefault="00F03CF6">
      <w:pPr>
        <w:rPr>
          <w:rFonts w:ascii="Calibri" w:eastAsiaTheme="minorHAnsi" w:hAnsi="Calibri" w:cstheme="minorBidi"/>
          <w:b/>
          <w:smallCaps/>
          <w:sz w:val="36"/>
          <w:szCs w:val="40"/>
        </w:rPr>
      </w:pPr>
      <w:r>
        <w:br w:type="page"/>
      </w:r>
    </w:p>
    <w:p w14:paraId="0AA1A92A" w14:textId="09716A78" w:rsidR="004D610D" w:rsidRPr="00872007" w:rsidRDefault="004E672B" w:rsidP="004D610D">
      <w:pPr>
        <w:pStyle w:val="AppendixHeading"/>
        <w:outlineLvl w:val="0"/>
      </w:pPr>
      <w:bookmarkStart w:id="694" w:name="_Toc109921793"/>
      <w:r w:rsidRPr="00872007">
        <w:t>Appendix A – Cost Share Information</w:t>
      </w:r>
      <w:bookmarkEnd w:id="694"/>
    </w:p>
    <w:p w14:paraId="76E35D36" w14:textId="77777777" w:rsidR="004D610D" w:rsidRDefault="004D610D" w:rsidP="004D610D"/>
    <w:p w14:paraId="0B7BE039" w14:textId="77777777" w:rsidR="004D610D" w:rsidRPr="009B6894" w:rsidRDefault="004E672B" w:rsidP="004D610D">
      <w:pPr>
        <w:rPr>
          <w:b/>
        </w:rPr>
      </w:pPr>
      <w:r w:rsidRPr="00120F39">
        <w:rPr>
          <w:b/>
        </w:rPr>
        <w:t xml:space="preserve">Cost Sharing or Cost Matching </w:t>
      </w:r>
    </w:p>
    <w:p w14:paraId="2A55AB12" w14:textId="77777777" w:rsidR="004D610D" w:rsidRDefault="004D610D" w:rsidP="004D610D"/>
    <w:p w14:paraId="3390AC81" w14:textId="77777777" w:rsidR="004D610D" w:rsidRDefault="004E672B" w:rsidP="004D610D">
      <w:r>
        <w:t xml:space="preserve">The terms “cost sharing” and “cost matching” are often used synonymously. Even the DOE Financial Assistance Regulations, 2 CFR 200.306, use </w:t>
      </w:r>
      <w:proofErr w:type="gramStart"/>
      <w:r>
        <w:t>both of the terms</w:t>
      </w:r>
      <w:proofErr w:type="gramEnd"/>
      <w:r>
        <w:t xml:space="preserve"> in the titles specific to regulations applicable to cost sharing. EERE almost always uses the term “cost sharing,” as it conveys the concept that non-federal share is calculated as a percentage of the Total Project Cost. An exception is the State Energy Program Regulation, 10 CFR 420.12, State Matching Contribution. Here “cost matching” for the non-federal share is calculated as a percentage of the federal funds only, rather than the Total Project Cost. </w:t>
      </w:r>
    </w:p>
    <w:p w14:paraId="503697F8" w14:textId="77777777" w:rsidR="004D610D" w:rsidRDefault="004D610D" w:rsidP="004D610D"/>
    <w:p w14:paraId="5970ED65" w14:textId="77777777" w:rsidR="004D610D" w:rsidRPr="009B6894" w:rsidRDefault="004E672B" w:rsidP="004D610D">
      <w:pPr>
        <w:rPr>
          <w:b/>
        </w:rPr>
      </w:pPr>
      <w:r w:rsidRPr="00120F39">
        <w:rPr>
          <w:b/>
        </w:rPr>
        <w:t>How Cost Sharing I</w:t>
      </w:r>
      <w:r w:rsidRPr="6BB432CC">
        <w:rPr>
          <w:b/>
        </w:rPr>
        <w:t xml:space="preserve">s Calculated </w:t>
      </w:r>
    </w:p>
    <w:p w14:paraId="5C500F89" w14:textId="77777777" w:rsidR="004D610D" w:rsidRDefault="004D610D" w:rsidP="004D610D"/>
    <w:p w14:paraId="0670DE6E" w14:textId="77777777" w:rsidR="004D610D" w:rsidRDefault="004E672B" w:rsidP="004D610D">
      <w:r>
        <w:t xml:space="preserve">As stated above, cost sharing is calculated as a percentage of the Total Project Cost. FFRDC costs must be included in Total Project Costs. The following is an example of how to calculate cost sharing amounts for a project with $1,000,000 in federal funds with a minimum 20% non-federal cost sharing requirement: </w:t>
      </w:r>
    </w:p>
    <w:p w14:paraId="3311C567" w14:textId="77777777" w:rsidR="004D610D" w:rsidRDefault="004D610D" w:rsidP="004D610D"/>
    <w:p w14:paraId="4BCED709" w14:textId="77777777" w:rsidR="004D610D" w:rsidRDefault="004E672B" w:rsidP="00F836F4">
      <w:pPr>
        <w:pStyle w:val="ListParagraph"/>
        <w:numPr>
          <w:ilvl w:val="0"/>
          <w:numId w:val="43"/>
        </w:numPr>
      </w:pPr>
      <w:r>
        <w:t xml:space="preserve">Formula: Federal share ($) divided by federal share (%) = Total Project Cost </w:t>
      </w:r>
    </w:p>
    <w:p w14:paraId="591C4D35" w14:textId="77777777" w:rsidR="004D610D" w:rsidRDefault="004E672B" w:rsidP="004D610D">
      <w:pPr>
        <w:pStyle w:val="ListParagraph"/>
      </w:pPr>
      <w:r>
        <w:t xml:space="preserve">Example: $1,000,000 divided by 80% = $1,250,000 </w:t>
      </w:r>
    </w:p>
    <w:p w14:paraId="2DCADB66" w14:textId="77777777" w:rsidR="004D610D" w:rsidRDefault="004D610D" w:rsidP="004D610D"/>
    <w:p w14:paraId="5A4F962B" w14:textId="77777777" w:rsidR="004D610D" w:rsidRDefault="004E672B" w:rsidP="00F836F4">
      <w:pPr>
        <w:pStyle w:val="ListParagraph"/>
        <w:numPr>
          <w:ilvl w:val="0"/>
          <w:numId w:val="43"/>
        </w:numPr>
      </w:pPr>
      <w:r>
        <w:t xml:space="preserve">Formula: Total Project Cost ($) minus federal share ($) = Non-federal share ($) </w:t>
      </w:r>
    </w:p>
    <w:p w14:paraId="3A40DFB7" w14:textId="77777777" w:rsidR="004D610D" w:rsidRDefault="004E672B" w:rsidP="004D610D">
      <w:pPr>
        <w:pStyle w:val="ListParagraph"/>
      </w:pPr>
      <w:r>
        <w:t xml:space="preserve">Example: $1,250,000 minus $1,000,000 = $250,000 </w:t>
      </w:r>
    </w:p>
    <w:p w14:paraId="65D33F21" w14:textId="77777777" w:rsidR="004D610D" w:rsidRDefault="004D610D" w:rsidP="004D610D"/>
    <w:p w14:paraId="7429B20C" w14:textId="77777777" w:rsidR="004D610D" w:rsidRDefault="004E672B" w:rsidP="00F836F4">
      <w:pPr>
        <w:pStyle w:val="ListParagraph"/>
        <w:numPr>
          <w:ilvl w:val="0"/>
          <w:numId w:val="43"/>
        </w:numPr>
      </w:pPr>
      <w:r>
        <w:t xml:space="preserve">Formula: Non-federal share ($) divided by Total Project Cost ($) = Non-federal share (%) </w:t>
      </w:r>
    </w:p>
    <w:p w14:paraId="7EA0671F" w14:textId="77777777" w:rsidR="004D610D" w:rsidRDefault="004E672B" w:rsidP="004D610D">
      <w:pPr>
        <w:pStyle w:val="ListParagraph"/>
      </w:pPr>
      <w:r>
        <w:t xml:space="preserve">Example: $250,000 divided by $1,250,000 = 20% </w:t>
      </w:r>
    </w:p>
    <w:p w14:paraId="6AA11EB3" w14:textId="77777777" w:rsidR="004D610D" w:rsidRDefault="004D610D" w:rsidP="004D610D"/>
    <w:p w14:paraId="42239E68" w14:textId="77777777" w:rsidR="004D610D" w:rsidRPr="009B6894" w:rsidRDefault="004E672B" w:rsidP="004D610D">
      <w:pPr>
        <w:rPr>
          <w:b/>
        </w:rPr>
      </w:pPr>
      <w:r w:rsidRPr="00120F39">
        <w:rPr>
          <w:b/>
        </w:rPr>
        <w:t xml:space="preserve">What Qualifies </w:t>
      </w:r>
      <w:proofErr w:type="gramStart"/>
      <w:r w:rsidRPr="00120F39">
        <w:rPr>
          <w:b/>
        </w:rPr>
        <w:t>For</w:t>
      </w:r>
      <w:proofErr w:type="gramEnd"/>
      <w:r w:rsidRPr="00120F39">
        <w:rPr>
          <w:b/>
        </w:rPr>
        <w:t xml:space="preserve"> Cost Sharing </w:t>
      </w:r>
    </w:p>
    <w:p w14:paraId="6B80CC67" w14:textId="77777777" w:rsidR="004D610D" w:rsidRDefault="004D610D" w:rsidP="004D610D"/>
    <w:p w14:paraId="472E7657" w14:textId="1E6B4907" w:rsidR="004D610D" w:rsidRDefault="004E672B" w:rsidP="004D610D">
      <w:r>
        <w:t xml:space="preserve">While it is not possible to explain what specifically qualifies for cost sharing in one or even a couple of sentences, in general, if a cost is allowable under the cost principles applicable to the organization incurring the cost and is eligible for reimbursement under an EERE grant or cooperative agreement, then it is allowable as cost share. Conversely, if the cost is not allowable under the cost principles and not eligible for reimbursement, then it is not allowable as cost share. In addition, costs may not be counted as cost share if they are paid by the federal </w:t>
      </w:r>
      <w:r w:rsidR="004C7B21">
        <w:t>g</w:t>
      </w:r>
      <w:r>
        <w:t xml:space="preserve">overnment under another award unless authorized by federal statute to be used for cost sharing. </w:t>
      </w:r>
    </w:p>
    <w:p w14:paraId="5C7EC93C" w14:textId="77777777" w:rsidR="004D610D" w:rsidRDefault="004D610D" w:rsidP="004D610D"/>
    <w:p w14:paraId="06FAF6A4" w14:textId="77777777" w:rsidR="004D610D" w:rsidRDefault="004E672B" w:rsidP="004D610D">
      <w:r>
        <w:t xml:space="preserve">The rules associated with what is allowable as cost share are specific to the type of organization that is receiving funds under the grant or cooperative agreement, though are generally the same for all types of entities. The specific rules applicable to: </w:t>
      </w:r>
    </w:p>
    <w:p w14:paraId="64D49E02" w14:textId="77777777" w:rsidR="004D610D" w:rsidRDefault="004D610D" w:rsidP="004D610D"/>
    <w:p w14:paraId="4BBEA7EA" w14:textId="77777777" w:rsidR="004D610D" w:rsidRDefault="004E672B" w:rsidP="00F836F4">
      <w:pPr>
        <w:pStyle w:val="ListParagraph"/>
        <w:numPr>
          <w:ilvl w:val="0"/>
          <w:numId w:val="43"/>
        </w:numPr>
      </w:pPr>
      <w:r>
        <w:t>FAR Part 31 for For-Profit entities,</w:t>
      </w:r>
      <w:r w:rsidRPr="00EF6DC5">
        <w:t xml:space="preserve"> </w:t>
      </w:r>
      <w:r>
        <w:t>(</w:t>
      </w:r>
      <w:r w:rsidRPr="00EF6DC5">
        <w:t>48 CFR Part 31</w:t>
      </w:r>
      <w:r>
        <w:t>); and</w:t>
      </w:r>
    </w:p>
    <w:p w14:paraId="6C3C9924" w14:textId="77777777" w:rsidR="004D610D" w:rsidRDefault="004E672B" w:rsidP="00F836F4">
      <w:pPr>
        <w:pStyle w:val="ListParagraph"/>
        <w:numPr>
          <w:ilvl w:val="0"/>
          <w:numId w:val="43"/>
        </w:numPr>
      </w:pPr>
      <w:r w:rsidRPr="00EF6DC5">
        <w:t>2 CFR Part 200 Subpart E - Cost Principles for all other non-federal entities.</w:t>
      </w:r>
    </w:p>
    <w:p w14:paraId="6BCBF1D0" w14:textId="77777777" w:rsidR="004D610D" w:rsidRDefault="004D610D" w:rsidP="004D610D"/>
    <w:p w14:paraId="0A089C98" w14:textId="77777777" w:rsidR="004D610D" w:rsidRDefault="004E672B" w:rsidP="004D610D">
      <w:r>
        <w:t xml:space="preserve">In addition to the regulations referenced above, other factors may also come into play such as timing of donations and length of the project period. For example, the value of ten years of donated maintenance on a project that has a project period of five years would not be fully allowable as cost share. Only the value for the five years of donated maintenance that corresponds to the project period is allowable and may be counted as cost share. </w:t>
      </w:r>
    </w:p>
    <w:p w14:paraId="076C3995" w14:textId="77777777" w:rsidR="004D610D" w:rsidRDefault="004D610D" w:rsidP="004D610D"/>
    <w:p w14:paraId="5DE9ABBF" w14:textId="77777777" w:rsidR="004D610D" w:rsidRDefault="004E672B" w:rsidP="004D610D">
      <w:r>
        <w:t xml:space="preserve">Additionally, EERE generally does not allow pre-award costs for either cost share or reimbursement when these costs precede the signing of the appropriation bill that funds the award. In the case of a competitive award, EERE generally does not allow pre-award costs prior to the signing of the Selection Statement by the EERE Selection Official. </w:t>
      </w:r>
    </w:p>
    <w:p w14:paraId="686E9514" w14:textId="77777777" w:rsidR="004D610D" w:rsidRDefault="004D610D" w:rsidP="004D610D"/>
    <w:p w14:paraId="755A002C" w14:textId="77777777" w:rsidR="004D610D" w:rsidRDefault="004E672B" w:rsidP="004D610D">
      <w:pPr>
        <w:rPr>
          <w:b/>
        </w:rPr>
      </w:pPr>
      <w:r w:rsidRPr="00120F39">
        <w:rPr>
          <w:b/>
        </w:rPr>
        <w:t xml:space="preserve">General Cost Sharing Rules on a DOE </w:t>
      </w:r>
      <w:r>
        <w:rPr>
          <w:b/>
        </w:rPr>
        <w:t>A</w:t>
      </w:r>
      <w:r w:rsidRPr="00120F39">
        <w:rPr>
          <w:b/>
        </w:rPr>
        <w:t>ward</w:t>
      </w:r>
    </w:p>
    <w:p w14:paraId="18C58502" w14:textId="77777777" w:rsidR="004D610D" w:rsidRDefault="004D610D" w:rsidP="004D610D">
      <w:pPr>
        <w:rPr>
          <w:b/>
        </w:rPr>
      </w:pPr>
    </w:p>
    <w:p w14:paraId="6C8C5C4A" w14:textId="048B89CA" w:rsidR="004D610D" w:rsidRDefault="004E672B" w:rsidP="00F836F4">
      <w:pPr>
        <w:pStyle w:val="ListParagraph"/>
        <w:numPr>
          <w:ilvl w:val="0"/>
          <w:numId w:val="52"/>
        </w:numPr>
      </w:pPr>
      <w:r>
        <w:t xml:space="preserve">Cash Cost Share </w:t>
      </w:r>
      <w:r w:rsidR="004C7B21">
        <w:t>–</w:t>
      </w:r>
      <w:r>
        <w:t xml:space="preserve"> encompasses all contributions to the project made by the recipient or subrecipient(s), for costs incurred and paid for during the project. This includes when an organization pays for personnel, supplies, equipment for their own company with organizational resources. If the item or service is reimbursed for, it is cash cost share. All cost share items must be necessary to the performance of the project. </w:t>
      </w:r>
    </w:p>
    <w:p w14:paraId="5FBD766C" w14:textId="77777777" w:rsidR="004D610D" w:rsidRDefault="004D610D" w:rsidP="004D610D"/>
    <w:p w14:paraId="0274EAAD" w14:textId="6D2791E6" w:rsidR="004D610D" w:rsidRDefault="004E672B" w:rsidP="00F836F4">
      <w:pPr>
        <w:pStyle w:val="ListParagraph"/>
        <w:numPr>
          <w:ilvl w:val="0"/>
          <w:numId w:val="52"/>
        </w:numPr>
      </w:pPr>
      <w:r>
        <w:t xml:space="preserve">In-Kind Cost Share </w:t>
      </w:r>
      <w:r w:rsidR="004C7B21">
        <w:t>–</w:t>
      </w:r>
      <w:r>
        <w:t xml:space="preserve"> encompasses all contributions to the project made by the recipient or subrecipient(s) that do not involve a payment or reimbursement and represent donated items or services. In-Kind cost share items include donated existing equipment, donated existing supplies. The cash value and calculations thereof for all In-Kind cost share items must be justified and explained in the Cost Share section of the project Budget Justification. All cost share items must be necessary to the performance of the project. If questions exist, consult your DOE contact before filling out the In-Kind cost share section of the Budget Justification.</w:t>
      </w:r>
    </w:p>
    <w:p w14:paraId="5A5B8F5E" w14:textId="77777777" w:rsidR="004D610D" w:rsidRDefault="004D610D" w:rsidP="004D610D"/>
    <w:p w14:paraId="0597DC8D" w14:textId="77777777" w:rsidR="004D610D" w:rsidRDefault="004E672B" w:rsidP="00F836F4">
      <w:pPr>
        <w:pStyle w:val="ListParagraph"/>
        <w:numPr>
          <w:ilvl w:val="0"/>
          <w:numId w:val="52"/>
        </w:numPr>
      </w:pPr>
      <w:r>
        <w:t>Funds from other federal sources MAY NOT be counted as cost share. This prohibition includes FFRDC subrecipients. Non-federal sources include any source not originally derived from federal funds. Cost sharing commitment letters from subrecipients must be provided with the original application.</w:t>
      </w:r>
    </w:p>
    <w:p w14:paraId="2DF4B7B5" w14:textId="77777777" w:rsidR="004D610D" w:rsidRDefault="004D610D" w:rsidP="004D610D"/>
    <w:p w14:paraId="20387438" w14:textId="77777777" w:rsidR="004D610D" w:rsidRPr="003A06FA" w:rsidRDefault="004E672B" w:rsidP="00F836F4">
      <w:pPr>
        <w:pStyle w:val="ListParagraph"/>
        <w:numPr>
          <w:ilvl w:val="0"/>
          <w:numId w:val="52"/>
        </w:numPr>
        <w:rPr>
          <w:b/>
        </w:rPr>
      </w:pPr>
      <w:r>
        <w:t>Fee or profit, including foregone fee or profit, are not allowable as project costs (including cost share) under any resulting award. The project may only incur those costs that are allowable and allocable to the project (including cost share) as determined in accordance with the applicable cost principles prescribed in FAR Part 31 for For-Profit entities and 2 CFR Part 200 Subpart E - Cost Principles for all other non-federal entities.</w:t>
      </w:r>
      <w:r w:rsidRPr="00120F39">
        <w:rPr>
          <w:b/>
        </w:rPr>
        <w:t xml:space="preserve"> </w:t>
      </w:r>
    </w:p>
    <w:p w14:paraId="1E443EC4" w14:textId="4D74D5A7" w:rsidR="004D610D" w:rsidRDefault="004D610D" w:rsidP="004D610D">
      <w:pPr>
        <w:rPr>
          <w:b/>
        </w:rPr>
      </w:pPr>
    </w:p>
    <w:p w14:paraId="3B28B18E" w14:textId="77777777" w:rsidR="004D610D" w:rsidRPr="00C97BC7" w:rsidRDefault="004E672B" w:rsidP="004D610D">
      <w:pPr>
        <w:rPr>
          <w:b/>
        </w:rPr>
      </w:pPr>
      <w:r w:rsidRPr="00120F39">
        <w:rPr>
          <w:b/>
        </w:rPr>
        <w:t xml:space="preserve">DOE Financial Assistance Rules 2 CFR Part 200 as amended by 2 CFR Part 910 </w:t>
      </w:r>
    </w:p>
    <w:p w14:paraId="233071F3" w14:textId="77777777" w:rsidR="004D610D" w:rsidRDefault="004D610D" w:rsidP="004D610D"/>
    <w:p w14:paraId="14903732" w14:textId="77777777" w:rsidR="004D610D" w:rsidRDefault="004E672B" w:rsidP="004D610D">
      <w:r>
        <w:t xml:space="preserve">As stated above, the rules associated with what is allowable cost share are generally the same for all types of organizations. Following are the rules found to be common, but again, the specifics are contained in the regulations and cost principles specific to the type of entity: </w:t>
      </w:r>
    </w:p>
    <w:p w14:paraId="7BA22A50" w14:textId="77777777" w:rsidR="004D610D" w:rsidRDefault="004D610D" w:rsidP="004D610D"/>
    <w:p w14:paraId="173E4543" w14:textId="77777777" w:rsidR="004D610D" w:rsidRDefault="004E672B" w:rsidP="00F836F4">
      <w:pPr>
        <w:pStyle w:val="ListParagraph"/>
        <w:numPr>
          <w:ilvl w:val="0"/>
          <w:numId w:val="44"/>
        </w:numPr>
      </w:pPr>
      <w:r>
        <w:t xml:space="preserve">Acceptable contributions. All contributions, including cash contributions and </w:t>
      </w:r>
      <w:proofErr w:type="gramStart"/>
      <w:r>
        <w:t>third party</w:t>
      </w:r>
      <w:proofErr w:type="gramEnd"/>
      <w:r>
        <w:t xml:space="preserve"> in-kind contributions, must be accepted as part of the prime recipient's cost sharing if such contributions meet all of the following criteria: </w:t>
      </w:r>
    </w:p>
    <w:p w14:paraId="4AF3DB1A" w14:textId="77777777" w:rsidR="004D610D" w:rsidRDefault="004D610D" w:rsidP="004D610D"/>
    <w:p w14:paraId="08296464" w14:textId="77777777" w:rsidR="004D610D" w:rsidRDefault="004E672B" w:rsidP="00F836F4">
      <w:pPr>
        <w:pStyle w:val="ListParagraph"/>
        <w:numPr>
          <w:ilvl w:val="0"/>
          <w:numId w:val="45"/>
        </w:numPr>
        <w:ind w:left="1080"/>
      </w:pPr>
      <w:r>
        <w:t xml:space="preserve">They are verifiable from the recipient's records. </w:t>
      </w:r>
    </w:p>
    <w:p w14:paraId="36FD120B" w14:textId="77777777" w:rsidR="004D610D" w:rsidRDefault="004D610D" w:rsidP="004D610D">
      <w:pPr>
        <w:ind w:left="720"/>
      </w:pPr>
    </w:p>
    <w:p w14:paraId="25A9EEF0" w14:textId="7C7C7133" w:rsidR="004D610D" w:rsidRDefault="004E672B" w:rsidP="00F836F4">
      <w:pPr>
        <w:pStyle w:val="ListParagraph"/>
        <w:numPr>
          <w:ilvl w:val="0"/>
          <w:numId w:val="45"/>
        </w:numPr>
        <w:ind w:left="1080"/>
      </w:pPr>
      <w:r>
        <w:t xml:space="preserve">They are not included as contributions for any other </w:t>
      </w:r>
      <w:proofErr w:type="gramStart"/>
      <w:r>
        <w:t>federally-assisted</w:t>
      </w:r>
      <w:proofErr w:type="gramEnd"/>
      <w:r>
        <w:t xml:space="preserve"> project or program. </w:t>
      </w:r>
    </w:p>
    <w:p w14:paraId="034036D9" w14:textId="77777777" w:rsidR="004D610D" w:rsidRDefault="004D610D" w:rsidP="004D610D">
      <w:pPr>
        <w:ind w:left="720"/>
      </w:pPr>
    </w:p>
    <w:p w14:paraId="5184C526" w14:textId="77777777" w:rsidR="004D610D" w:rsidRDefault="004E672B" w:rsidP="00F836F4">
      <w:pPr>
        <w:pStyle w:val="ListParagraph"/>
        <w:numPr>
          <w:ilvl w:val="0"/>
          <w:numId w:val="45"/>
        </w:numPr>
        <w:ind w:left="1080"/>
      </w:pPr>
      <w:r>
        <w:t xml:space="preserve">They are necessary and reasonable for the proper and efficient accomplishment of project or program objectives. </w:t>
      </w:r>
    </w:p>
    <w:p w14:paraId="6D8C23FD" w14:textId="77777777" w:rsidR="004D610D" w:rsidRDefault="004D610D" w:rsidP="004D610D">
      <w:pPr>
        <w:ind w:left="720" w:firstLine="1440"/>
      </w:pPr>
    </w:p>
    <w:p w14:paraId="344D81F1" w14:textId="77777777" w:rsidR="004D610D" w:rsidRDefault="004E672B" w:rsidP="00F836F4">
      <w:pPr>
        <w:pStyle w:val="ListParagraph"/>
        <w:numPr>
          <w:ilvl w:val="0"/>
          <w:numId w:val="45"/>
        </w:numPr>
        <w:ind w:left="1080"/>
      </w:pPr>
      <w:r>
        <w:t xml:space="preserve">They are allowable under the cost principles applicable to the type of entity incurring the cost as follows: </w:t>
      </w:r>
    </w:p>
    <w:p w14:paraId="1C7EDD15" w14:textId="77777777" w:rsidR="004D610D" w:rsidRDefault="004D610D" w:rsidP="004D610D"/>
    <w:p w14:paraId="49F442FF" w14:textId="77777777" w:rsidR="004D610D" w:rsidRDefault="004E672B" w:rsidP="00F836F4">
      <w:pPr>
        <w:pStyle w:val="ListParagraph"/>
        <w:numPr>
          <w:ilvl w:val="0"/>
          <w:numId w:val="46"/>
        </w:numPr>
        <w:ind w:left="1440"/>
      </w:pPr>
      <w:r>
        <w:t xml:space="preserve">For-profit organizations. Allowability of costs incurred by for-profit organizations and those nonprofit organizations listed in Attachment C to OMB Circular A–122 is determined in accordance with the for-profit cost principles in 48 CFR Part 31 in the FAR, except that patent prosecution costs are not allowable unless specifically authorized in the award document. (v) Commercial Organizations. FAR Subpart 31.2—Contracts with Commercial Organizations; and </w:t>
      </w:r>
    </w:p>
    <w:p w14:paraId="3ABB1EB5" w14:textId="77777777" w:rsidR="004D610D" w:rsidRDefault="004D610D" w:rsidP="004D610D"/>
    <w:p w14:paraId="3795D913" w14:textId="77777777" w:rsidR="004D610D" w:rsidRPr="00EF6DC5" w:rsidRDefault="004E672B" w:rsidP="00F836F4">
      <w:pPr>
        <w:pStyle w:val="ListParagraph"/>
        <w:numPr>
          <w:ilvl w:val="0"/>
          <w:numId w:val="46"/>
        </w:numPr>
        <w:ind w:left="1440"/>
      </w:pPr>
      <w:r w:rsidRPr="00EF6DC5">
        <w:t xml:space="preserve">Other types of organizations. </w:t>
      </w:r>
      <w:r>
        <w:t>For all other non-federal entities, a</w:t>
      </w:r>
      <w:r w:rsidRPr="00EF6DC5">
        <w:t>llowability of costs i</w:t>
      </w:r>
      <w:r>
        <w:t>s determined in accordance with</w:t>
      </w:r>
      <w:r w:rsidRPr="00EF6DC5">
        <w:t xml:space="preserve"> 2 CFR Part 200 Subpart E</w:t>
      </w:r>
      <w:r>
        <w:t>.</w:t>
      </w:r>
    </w:p>
    <w:p w14:paraId="0AB58725" w14:textId="77777777" w:rsidR="004D610D" w:rsidRDefault="004D610D" w:rsidP="004D610D"/>
    <w:p w14:paraId="710E56BA" w14:textId="77777777" w:rsidR="004D610D" w:rsidRDefault="004E672B" w:rsidP="00F836F4">
      <w:pPr>
        <w:pStyle w:val="ListParagraph"/>
        <w:numPr>
          <w:ilvl w:val="0"/>
          <w:numId w:val="45"/>
        </w:numPr>
        <w:ind w:left="1080"/>
      </w:pPr>
      <w:r>
        <w:t xml:space="preserve">They are not paid by the federal government under another award unless authorized by federal statute to be used for cost sharing or matching. </w:t>
      </w:r>
    </w:p>
    <w:p w14:paraId="4E2217ED" w14:textId="77777777" w:rsidR="004D610D" w:rsidRDefault="004D610D" w:rsidP="004D610D">
      <w:pPr>
        <w:ind w:left="1080"/>
      </w:pPr>
    </w:p>
    <w:p w14:paraId="0CFCD0C4" w14:textId="77777777" w:rsidR="004D610D" w:rsidRDefault="004E672B" w:rsidP="00F836F4">
      <w:pPr>
        <w:pStyle w:val="ListParagraph"/>
        <w:numPr>
          <w:ilvl w:val="0"/>
          <w:numId w:val="45"/>
        </w:numPr>
        <w:ind w:left="1080"/>
      </w:pPr>
      <w:r>
        <w:t xml:space="preserve">They are provided for in the approved budget. </w:t>
      </w:r>
    </w:p>
    <w:p w14:paraId="59E1B7BC" w14:textId="77777777" w:rsidR="004D610D" w:rsidRDefault="004D610D" w:rsidP="004D610D"/>
    <w:p w14:paraId="43527A8B" w14:textId="77777777" w:rsidR="004D610D" w:rsidRDefault="004E672B" w:rsidP="00F836F4">
      <w:pPr>
        <w:pStyle w:val="ListParagraph"/>
        <w:numPr>
          <w:ilvl w:val="0"/>
          <w:numId w:val="44"/>
        </w:numPr>
      </w:pPr>
      <w:r>
        <w:t xml:space="preserve">Valuing and documenting contributions </w:t>
      </w:r>
    </w:p>
    <w:p w14:paraId="4E33F8C4" w14:textId="77777777" w:rsidR="004D610D" w:rsidRDefault="004D610D" w:rsidP="004D610D"/>
    <w:p w14:paraId="3ADB61FA" w14:textId="77777777" w:rsidR="004D610D" w:rsidRDefault="004E672B" w:rsidP="00F836F4">
      <w:pPr>
        <w:pStyle w:val="ListParagraph"/>
        <w:numPr>
          <w:ilvl w:val="0"/>
          <w:numId w:val="47"/>
        </w:numPr>
        <w:ind w:left="1080"/>
      </w:pPr>
      <w:r>
        <w:t xml:space="preserve">Valuing recipient's property or services of recipient's employees. Values are established in accordance with the applicable cost principles, which mean that amounts chargeable to the project are determined </w:t>
      </w:r>
      <w:proofErr w:type="gramStart"/>
      <w:r>
        <w:t>on the basis of</w:t>
      </w:r>
      <w:proofErr w:type="gramEnd"/>
      <w:r>
        <w:t xml:space="preserve"> costs incurred. For real property or equipment used on the project, the cost principles authorize depreciation or use charges. The full value of the item may be applied when the item will be consumed in the performance of the award or fully depreciated by the end of the award. In cases where the full value of a donated capital asset is to be applied as cost sharing or matching, that full value must be the lesser or the following: </w:t>
      </w:r>
    </w:p>
    <w:p w14:paraId="0D4A8772" w14:textId="77777777" w:rsidR="004D610D" w:rsidRDefault="004D610D" w:rsidP="004D610D">
      <w:pPr>
        <w:ind w:left="360"/>
      </w:pPr>
    </w:p>
    <w:p w14:paraId="7F3AC8CC" w14:textId="77777777" w:rsidR="004D610D" w:rsidRDefault="004E672B" w:rsidP="00F836F4">
      <w:pPr>
        <w:pStyle w:val="ListParagraph"/>
        <w:numPr>
          <w:ilvl w:val="0"/>
          <w:numId w:val="48"/>
        </w:numPr>
      </w:pPr>
      <w:r>
        <w:t xml:space="preserve">The certified value of the remaining life of the property recorded in the recipient's accounting records at the time of donation; or </w:t>
      </w:r>
    </w:p>
    <w:p w14:paraId="0D3636A5" w14:textId="77777777" w:rsidR="004D610D" w:rsidRDefault="004E672B" w:rsidP="00F836F4">
      <w:pPr>
        <w:pStyle w:val="ListParagraph"/>
        <w:numPr>
          <w:ilvl w:val="0"/>
          <w:numId w:val="48"/>
        </w:numPr>
      </w:pPr>
      <w:r>
        <w:t xml:space="preserve">The current fair market value. If there is sufficient justification, the Contracting Officer may approve the use of the current fair market value of the donated property, even if it exceeds the certified value at the time of donation to the project. The Contracting Officer may accept the use of any reasonable basis for determining the fair market value of the property. </w:t>
      </w:r>
    </w:p>
    <w:p w14:paraId="73DB0738" w14:textId="77777777" w:rsidR="004D610D" w:rsidRDefault="004D610D" w:rsidP="004D610D">
      <w:pPr>
        <w:ind w:left="360" w:firstLine="60"/>
      </w:pPr>
    </w:p>
    <w:p w14:paraId="34B0E0C9" w14:textId="77777777" w:rsidR="004D610D" w:rsidRDefault="004E672B" w:rsidP="00F836F4">
      <w:pPr>
        <w:pStyle w:val="ListParagraph"/>
        <w:numPr>
          <w:ilvl w:val="0"/>
          <w:numId w:val="47"/>
        </w:numPr>
        <w:ind w:left="1080"/>
      </w:pPr>
      <w:r>
        <w:t xml:space="preserve">Valuing services of others' employees. If an employer other than the recipient furnishes the services of an employee, those services are valued at the employee's regular rate of pay, provided these services are for the same skill level for which the employee is normally paid. </w:t>
      </w:r>
    </w:p>
    <w:p w14:paraId="00AC592A" w14:textId="77777777" w:rsidR="004D610D" w:rsidRDefault="004D610D" w:rsidP="004D610D">
      <w:pPr>
        <w:ind w:left="360"/>
      </w:pPr>
    </w:p>
    <w:p w14:paraId="6EE54113" w14:textId="77777777" w:rsidR="004D610D" w:rsidRDefault="004E672B" w:rsidP="00F836F4">
      <w:pPr>
        <w:pStyle w:val="ListParagraph"/>
        <w:numPr>
          <w:ilvl w:val="0"/>
          <w:numId w:val="47"/>
        </w:numPr>
        <w:ind w:left="1080"/>
      </w:pPr>
      <w:r>
        <w:t xml:space="preserve">Valuing volunteer services. Volunteer services furnished by professional and technical personnel, consultants, and other skilled and unskilled labor may be counted as cost sharing or matching if the service is an integral and necessary part of an approved project or program. Rates for volunteer services must be consistent with those paid for similar work in the recipient's organization. In those markets in which the required skills are not found in the recipient organization, rates must be consistent with those paid for similar work in the labor market in which the recipient competes for the kind of services involved. In either case, paid fringe benefits that are reasonable, allowable, and allocable may be included in the valuation. </w:t>
      </w:r>
    </w:p>
    <w:p w14:paraId="6BFE652B" w14:textId="77777777" w:rsidR="004D610D" w:rsidRDefault="004D610D" w:rsidP="004D610D">
      <w:pPr>
        <w:ind w:left="360"/>
      </w:pPr>
    </w:p>
    <w:p w14:paraId="197C2453" w14:textId="77777777" w:rsidR="004D610D" w:rsidRDefault="004E672B" w:rsidP="00F836F4">
      <w:pPr>
        <w:pStyle w:val="ListParagraph"/>
        <w:numPr>
          <w:ilvl w:val="0"/>
          <w:numId w:val="47"/>
        </w:numPr>
        <w:ind w:left="1080"/>
      </w:pPr>
      <w:r>
        <w:t xml:space="preserve">Valuing property donated by third parties. </w:t>
      </w:r>
    </w:p>
    <w:p w14:paraId="4A8A47D0" w14:textId="77777777" w:rsidR="004D610D" w:rsidRDefault="004D610D" w:rsidP="004D610D">
      <w:pPr>
        <w:ind w:left="360"/>
      </w:pPr>
    </w:p>
    <w:p w14:paraId="35F1D13A" w14:textId="77777777" w:rsidR="004D610D" w:rsidRDefault="004E672B" w:rsidP="00F836F4">
      <w:pPr>
        <w:pStyle w:val="ListParagraph"/>
        <w:numPr>
          <w:ilvl w:val="0"/>
          <w:numId w:val="49"/>
        </w:numPr>
        <w:ind w:left="1440"/>
      </w:pPr>
      <w:r>
        <w:t xml:space="preserve">Donated supplies may include such items as office supplies or laboratory supplies. Value assessed to donated supplies included in the cost sharing or matching share must be reasonable and must not exceed the fair market value of the property at the time of the donation. </w:t>
      </w:r>
    </w:p>
    <w:p w14:paraId="18F46FAC" w14:textId="77777777" w:rsidR="004D610D" w:rsidRDefault="004D610D" w:rsidP="004D610D">
      <w:pPr>
        <w:ind w:left="1080"/>
      </w:pPr>
    </w:p>
    <w:p w14:paraId="746CC58A" w14:textId="77777777" w:rsidR="004D610D" w:rsidRDefault="004E672B" w:rsidP="00F836F4">
      <w:pPr>
        <w:pStyle w:val="ListParagraph"/>
        <w:numPr>
          <w:ilvl w:val="0"/>
          <w:numId w:val="49"/>
        </w:numPr>
        <w:ind w:left="1440"/>
      </w:pPr>
      <w:r>
        <w:t xml:space="preserve">Normally only depreciation or use charges for equipment and buildings may be applied. However, the fair rental charges for land and the full value of equipment or other capital assets may be allowed, when they will be consumed in the performance of the award or fully depreciated by the end of the award, provided that the Contracting Officer has approved the charges. When use charges are applied, values must be determined in accordance with the usual accounting policies of the recipient, with the following qualifications: </w:t>
      </w:r>
    </w:p>
    <w:p w14:paraId="0BE337D9" w14:textId="77777777" w:rsidR="004D610D" w:rsidRDefault="004D610D" w:rsidP="004D610D">
      <w:pPr>
        <w:ind w:left="1080"/>
      </w:pPr>
    </w:p>
    <w:p w14:paraId="26E224EC" w14:textId="77777777" w:rsidR="004D610D" w:rsidRDefault="004E672B" w:rsidP="00F836F4">
      <w:pPr>
        <w:pStyle w:val="ListParagraph"/>
        <w:numPr>
          <w:ilvl w:val="0"/>
          <w:numId w:val="50"/>
        </w:numPr>
        <w:ind w:left="2160"/>
      </w:pPr>
      <w:r>
        <w:t xml:space="preserve">The value of donated space must not exceed the fair rental value of comparable space as established by an independent appraisal of comparable space and facilities in a privately-owned building in the same locality. </w:t>
      </w:r>
    </w:p>
    <w:p w14:paraId="4CAF4834" w14:textId="77777777" w:rsidR="004D610D" w:rsidRDefault="004E672B" w:rsidP="00F836F4">
      <w:pPr>
        <w:pStyle w:val="ListParagraph"/>
        <w:numPr>
          <w:ilvl w:val="0"/>
          <w:numId w:val="50"/>
        </w:numPr>
        <w:ind w:left="2160"/>
      </w:pPr>
      <w:r>
        <w:t xml:space="preserve">The value of loaned equipment must not exceed its fair rental value. </w:t>
      </w:r>
    </w:p>
    <w:p w14:paraId="7B71BDE4" w14:textId="77777777" w:rsidR="004D610D" w:rsidRDefault="004D610D" w:rsidP="004D610D">
      <w:pPr>
        <w:ind w:left="360"/>
      </w:pPr>
    </w:p>
    <w:p w14:paraId="558ECD36" w14:textId="77777777" w:rsidR="004D610D" w:rsidRDefault="004E672B" w:rsidP="00F836F4">
      <w:pPr>
        <w:pStyle w:val="ListParagraph"/>
        <w:numPr>
          <w:ilvl w:val="0"/>
          <w:numId w:val="47"/>
        </w:numPr>
        <w:ind w:left="1080"/>
      </w:pPr>
      <w:r>
        <w:t xml:space="preserve">Documentation. The following requirements pertain to the recipient's supporting records for in-kind contributions from third parties: </w:t>
      </w:r>
    </w:p>
    <w:p w14:paraId="62637458" w14:textId="77777777" w:rsidR="004D610D" w:rsidRDefault="004D610D" w:rsidP="004D610D">
      <w:pPr>
        <w:ind w:left="360"/>
      </w:pPr>
    </w:p>
    <w:p w14:paraId="1C734B1B" w14:textId="77777777" w:rsidR="004D610D" w:rsidRDefault="004E672B" w:rsidP="00F836F4">
      <w:pPr>
        <w:pStyle w:val="ListParagraph"/>
        <w:numPr>
          <w:ilvl w:val="0"/>
          <w:numId w:val="51"/>
        </w:numPr>
        <w:ind w:left="1440"/>
      </w:pPr>
      <w:r>
        <w:t xml:space="preserve">Volunteer services must be documented and, to the extent feasible, supported by the same methods used by the recipient for its own employees. </w:t>
      </w:r>
    </w:p>
    <w:p w14:paraId="0E151D4F" w14:textId="77777777" w:rsidR="004D610D" w:rsidRDefault="004D610D" w:rsidP="004D610D">
      <w:pPr>
        <w:ind w:left="1080"/>
      </w:pPr>
    </w:p>
    <w:p w14:paraId="1BBD8D96" w14:textId="667FA22A" w:rsidR="004D610D" w:rsidRDefault="004E672B" w:rsidP="00F836F4">
      <w:pPr>
        <w:pStyle w:val="ListParagraph"/>
        <w:numPr>
          <w:ilvl w:val="0"/>
          <w:numId w:val="51"/>
        </w:numPr>
        <w:ind w:left="1440"/>
        <w:sectPr w:rsidR="004D610D" w:rsidSect="002C2703">
          <w:headerReference w:type="default" r:id="rId89"/>
          <w:footerReference w:type="default" r:id="rId90"/>
          <w:pgSz w:w="12240" w:h="15840" w:code="1"/>
          <w:pgMar w:top="1440" w:right="1440" w:bottom="1440" w:left="1440" w:header="720" w:footer="432" w:gutter="0"/>
          <w:cols w:space="720"/>
          <w:docGrid w:linePitch="360"/>
        </w:sectPr>
      </w:pPr>
      <w:r>
        <w:t xml:space="preserve">The basis for determining the valuation for personal services </w:t>
      </w:r>
      <w:r w:rsidR="00692E84">
        <w:t>and property must be docume</w:t>
      </w:r>
      <w:r w:rsidR="00010F14">
        <w:t>nted.</w:t>
      </w:r>
    </w:p>
    <w:p w14:paraId="6C2508DA" w14:textId="637FA94F" w:rsidR="00AB7EC1" w:rsidRDefault="00AB7EC1" w:rsidP="007863EC">
      <w:pPr>
        <w:rPr>
          <w:szCs w:val="24"/>
        </w:rPr>
      </w:pPr>
    </w:p>
    <w:p w14:paraId="3151FEA4" w14:textId="77777777" w:rsidR="0094370A" w:rsidRPr="00686859" w:rsidRDefault="004E672B" w:rsidP="0094370A">
      <w:pPr>
        <w:pStyle w:val="AppendixHeading"/>
        <w:outlineLvl w:val="0"/>
      </w:pPr>
      <w:bookmarkStart w:id="695" w:name="_Toc427134258"/>
      <w:bookmarkStart w:id="696" w:name="_Toc517798961"/>
      <w:bookmarkStart w:id="697" w:name="_Toc519602289"/>
      <w:bookmarkStart w:id="698" w:name="_Toc519602461"/>
      <w:bookmarkStart w:id="699" w:name="_Toc109921794"/>
      <w:r w:rsidRPr="00686859">
        <w:t>Appendix B – Sample Cost Share Calculation for Blended Cost Share Percentage</w:t>
      </w:r>
      <w:bookmarkEnd w:id="695"/>
      <w:bookmarkEnd w:id="696"/>
      <w:bookmarkEnd w:id="697"/>
      <w:bookmarkEnd w:id="698"/>
      <w:bookmarkEnd w:id="699"/>
    </w:p>
    <w:p w14:paraId="31A2A542" w14:textId="77777777" w:rsidR="0094370A" w:rsidRDefault="0094370A" w:rsidP="0094370A"/>
    <w:p w14:paraId="47AA99FC" w14:textId="77777777" w:rsidR="0094370A" w:rsidRPr="007D7654" w:rsidRDefault="004E672B" w:rsidP="0094370A">
      <w:pPr>
        <w:rPr>
          <w:szCs w:val="24"/>
        </w:rPr>
      </w:pPr>
      <w:r w:rsidRPr="00120F39">
        <w:t xml:space="preserve">The following example shows the math for calculating required cost share for a project with $2,000,000 </w:t>
      </w:r>
      <w:r w:rsidRPr="009061D6">
        <w:t xml:space="preserve">in </w:t>
      </w:r>
      <w:r>
        <w:t>f</w:t>
      </w:r>
      <w:r w:rsidRPr="009061D6">
        <w:t xml:space="preserve">ederal funds with four tasks requiring different </w:t>
      </w:r>
      <w:r>
        <w:t>n</w:t>
      </w:r>
      <w:r w:rsidRPr="009061D6">
        <w:t>on-federal cost share percentages:</w:t>
      </w:r>
    </w:p>
    <w:p w14:paraId="76E23D8C" w14:textId="77777777" w:rsidR="0094370A" w:rsidRPr="007D7654" w:rsidRDefault="0094370A" w:rsidP="0094370A">
      <w:pPr>
        <w:rPr>
          <w:szCs w:val="24"/>
        </w:rPr>
      </w:pPr>
    </w:p>
    <w:tbl>
      <w:tblPr>
        <w:tblStyle w:val="TableGrid"/>
        <w:tblW w:w="9360" w:type="dxa"/>
        <w:tblInd w:w="360" w:type="dxa"/>
        <w:tblLook w:val="04A0" w:firstRow="1" w:lastRow="0" w:firstColumn="1" w:lastColumn="0" w:noHBand="0" w:noVBand="1"/>
      </w:tblPr>
      <w:tblGrid>
        <w:gridCol w:w="2933"/>
        <w:gridCol w:w="2209"/>
        <w:gridCol w:w="2009"/>
        <w:gridCol w:w="2209"/>
      </w:tblGrid>
      <w:tr w:rsidR="00BF65D1" w14:paraId="12E08FFF" w14:textId="77777777" w:rsidTr="003D6558">
        <w:tc>
          <w:tcPr>
            <w:tcW w:w="2628" w:type="dxa"/>
            <w:tcBorders>
              <w:bottom w:val="single" w:sz="4" w:space="0" w:color="auto"/>
            </w:tcBorders>
            <w:shd w:val="clear" w:color="auto" w:fill="C6D9F1" w:themeFill="text2" w:themeFillTint="33"/>
          </w:tcPr>
          <w:p w14:paraId="60601E5E" w14:textId="77777777" w:rsidR="0094370A" w:rsidRPr="007D7654" w:rsidRDefault="004E672B" w:rsidP="003D6558">
            <w:pPr>
              <w:jc w:val="center"/>
              <w:rPr>
                <w:szCs w:val="24"/>
              </w:rPr>
            </w:pPr>
            <w:r w:rsidRPr="00120F39">
              <w:rPr>
                <w:szCs w:val="20"/>
              </w:rPr>
              <w:t>Task</w:t>
            </w:r>
          </w:p>
        </w:tc>
        <w:tc>
          <w:tcPr>
            <w:tcW w:w="1980" w:type="dxa"/>
            <w:shd w:val="clear" w:color="auto" w:fill="C6D9F1" w:themeFill="text2" w:themeFillTint="33"/>
          </w:tcPr>
          <w:p w14:paraId="6279D563" w14:textId="77777777" w:rsidR="0094370A" w:rsidRPr="007D7654" w:rsidRDefault="004E672B" w:rsidP="003D6558">
            <w:pPr>
              <w:jc w:val="center"/>
              <w:rPr>
                <w:szCs w:val="24"/>
              </w:rPr>
            </w:pPr>
            <w:r w:rsidRPr="00120F39">
              <w:rPr>
                <w:szCs w:val="20"/>
              </w:rPr>
              <w:t>Proposed Federal Share</w:t>
            </w:r>
          </w:p>
        </w:tc>
        <w:tc>
          <w:tcPr>
            <w:tcW w:w="1800" w:type="dxa"/>
            <w:shd w:val="clear" w:color="auto" w:fill="C6D9F1" w:themeFill="text2" w:themeFillTint="33"/>
          </w:tcPr>
          <w:p w14:paraId="76FC1D9D" w14:textId="77777777" w:rsidR="0094370A" w:rsidRPr="007D7654" w:rsidRDefault="004E672B" w:rsidP="003D6558">
            <w:pPr>
              <w:jc w:val="center"/>
              <w:rPr>
                <w:szCs w:val="24"/>
              </w:rPr>
            </w:pPr>
            <w:r w:rsidRPr="00120F39">
              <w:rPr>
                <w:szCs w:val="20"/>
              </w:rPr>
              <w:t>Federal Share %</w:t>
            </w:r>
          </w:p>
        </w:tc>
        <w:tc>
          <w:tcPr>
            <w:tcW w:w="1980" w:type="dxa"/>
            <w:shd w:val="clear" w:color="auto" w:fill="C6D9F1" w:themeFill="text2" w:themeFillTint="33"/>
          </w:tcPr>
          <w:p w14:paraId="41090A65" w14:textId="77777777" w:rsidR="0094370A" w:rsidRPr="007D7654" w:rsidRDefault="004E672B" w:rsidP="003D6558">
            <w:pPr>
              <w:jc w:val="center"/>
              <w:rPr>
                <w:szCs w:val="24"/>
              </w:rPr>
            </w:pPr>
            <w:r w:rsidRPr="00120F39">
              <w:rPr>
                <w:szCs w:val="20"/>
              </w:rPr>
              <w:t>Recipient Share %</w:t>
            </w:r>
          </w:p>
        </w:tc>
      </w:tr>
      <w:tr w:rsidR="00BF65D1" w14:paraId="36ABE510" w14:textId="77777777" w:rsidTr="003D6558">
        <w:tc>
          <w:tcPr>
            <w:tcW w:w="2628" w:type="dxa"/>
            <w:shd w:val="clear" w:color="auto" w:fill="EAF1DD" w:themeFill="accent3" w:themeFillTint="33"/>
          </w:tcPr>
          <w:p w14:paraId="4C00F22B" w14:textId="77777777" w:rsidR="0094370A" w:rsidRPr="007D7654" w:rsidRDefault="004E672B" w:rsidP="003D6558">
            <w:pPr>
              <w:rPr>
                <w:szCs w:val="24"/>
              </w:rPr>
            </w:pPr>
            <w:r w:rsidRPr="00120F39">
              <w:rPr>
                <w:szCs w:val="20"/>
              </w:rPr>
              <w:t>Task 1 (R&amp;D)</w:t>
            </w:r>
          </w:p>
        </w:tc>
        <w:tc>
          <w:tcPr>
            <w:tcW w:w="1980" w:type="dxa"/>
          </w:tcPr>
          <w:p w14:paraId="5B572EDD" w14:textId="77777777" w:rsidR="0094370A" w:rsidRPr="007D7654" w:rsidRDefault="004E672B" w:rsidP="003D6558">
            <w:pPr>
              <w:jc w:val="right"/>
              <w:rPr>
                <w:szCs w:val="24"/>
              </w:rPr>
            </w:pPr>
            <w:r w:rsidRPr="00120F39">
              <w:rPr>
                <w:szCs w:val="20"/>
              </w:rPr>
              <w:t>$1,000,000</w:t>
            </w:r>
          </w:p>
        </w:tc>
        <w:tc>
          <w:tcPr>
            <w:tcW w:w="1800" w:type="dxa"/>
          </w:tcPr>
          <w:p w14:paraId="3AADCCEC" w14:textId="77777777" w:rsidR="0094370A" w:rsidRPr="007D7654" w:rsidRDefault="004E672B" w:rsidP="003D6558">
            <w:pPr>
              <w:jc w:val="center"/>
              <w:rPr>
                <w:szCs w:val="24"/>
              </w:rPr>
            </w:pPr>
            <w:r w:rsidRPr="00120F39">
              <w:rPr>
                <w:szCs w:val="20"/>
              </w:rPr>
              <w:t>80%</w:t>
            </w:r>
          </w:p>
        </w:tc>
        <w:tc>
          <w:tcPr>
            <w:tcW w:w="1980" w:type="dxa"/>
          </w:tcPr>
          <w:p w14:paraId="389B3E25" w14:textId="77777777" w:rsidR="0094370A" w:rsidRPr="007D7654" w:rsidRDefault="004E672B" w:rsidP="003D6558">
            <w:pPr>
              <w:jc w:val="center"/>
              <w:rPr>
                <w:szCs w:val="24"/>
              </w:rPr>
            </w:pPr>
            <w:r w:rsidRPr="00120F39">
              <w:rPr>
                <w:szCs w:val="20"/>
              </w:rPr>
              <w:t>20%</w:t>
            </w:r>
          </w:p>
        </w:tc>
      </w:tr>
      <w:tr w:rsidR="00BF65D1" w14:paraId="51A2C95B" w14:textId="77777777" w:rsidTr="003D6558">
        <w:tc>
          <w:tcPr>
            <w:tcW w:w="2628" w:type="dxa"/>
            <w:shd w:val="clear" w:color="auto" w:fill="EAF1DD" w:themeFill="accent3" w:themeFillTint="33"/>
          </w:tcPr>
          <w:p w14:paraId="7B7F658F" w14:textId="77777777" w:rsidR="0094370A" w:rsidRPr="007D7654" w:rsidRDefault="004E672B" w:rsidP="003D6558">
            <w:pPr>
              <w:rPr>
                <w:szCs w:val="24"/>
              </w:rPr>
            </w:pPr>
            <w:r w:rsidRPr="00120F39">
              <w:rPr>
                <w:szCs w:val="20"/>
              </w:rPr>
              <w:t>Task 2 (R&amp;D)</w:t>
            </w:r>
          </w:p>
        </w:tc>
        <w:tc>
          <w:tcPr>
            <w:tcW w:w="1980" w:type="dxa"/>
          </w:tcPr>
          <w:p w14:paraId="61681B7A" w14:textId="77777777" w:rsidR="0094370A" w:rsidRPr="007D7654" w:rsidRDefault="004E672B" w:rsidP="003D6558">
            <w:pPr>
              <w:jc w:val="right"/>
              <w:rPr>
                <w:szCs w:val="24"/>
              </w:rPr>
            </w:pPr>
            <w:r w:rsidRPr="00120F39">
              <w:rPr>
                <w:szCs w:val="20"/>
              </w:rPr>
              <w:t>$500,000</w:t>
            </w:r>
          </w:p>
        </w:tc>
        <w:tc>
          <w:tcPr>
            <w:tcW w:w="1800" w:type="dxa"/>
          </w:tcPr>
          <w:p w14:paraId="71F31353" w14:textId="77777777" w:rsidR="0094370A" w:rsidRPr="007D7654" w:rsidRDefault="004E672B" w:rsidP="003D6558">
            <w:pPr>
              <w:jc w:val="center"/>
              <w:rPr>
                <w:szCs w:val="24"/>
              </w:rPr>
            </w:pPr>
            <w:r w:rsidRPr="00120F39">
              <w:rPr>
                <w:szCs w:val="20"/>
              </w:rPr>
              <w:t>80%</w:t>
            </w:r>
          </w:p>
        </w:tc>
        <w:tc>
          <w:tcPr>
            <w:tcW w:w="1980" w:type="dxa"/>
          </w:tcPr>
          <w:p w14:paraId="15394899" w14:textId="77777777" w:rsidR="0094370A" w:rsidRPr="007D7654" w:rsidRDefault="004E672B" w:rsidP="003D6558">
            <w:pPr>
              <w:jc w:val="center"/>
              <w:rPr>
                <w:szCs w:val="24"/>
              </w:rPr>
            </w:pPr>
            <w:r w:rsidRPr="00120F39">
              <w:rPr>
                <w:szCs w:val="20"/>
              </w:rPr>
              <w:t>20%</w:t>
            </w:r>
          </w:p>
        </w:tc>
      </w:tr>
      <w:tr w:rsidR="00BF65D1" w14:paraId="03C89169" w14:textId="77777777" w:rsidTr="003D6558">
        <w:tc>
          <w:tcPr>
            <w:tcW w:w="2628" w:type="dxa"/>
            <w:shd w:val="clear" w:color="auto" w:fill="EAF1DD" w:themeFill="accent3" w:themeFillTint="33"/>
          </w:tcPr>
          <w:p w14:paraId="6D13959A" w14:textId="77777777" w:rsidR="0094370A" w:rsidRPr="007D7654" w:rsidRDefault="004E672B" w:rsidP="003D6558">
            <w:pPr>
              <w:rPr>
                <w:szCs w:val="24"/>
              </w:rPr>
            </w:pPr>
            <w:r w:rsidRPr="00120F39">
              <w:rPr>
                <w:szCs w:val="20"/>
              </w:rPr>
              <w:t>Task 3 (Demonstration)</w:t>
            </w:r>
          </w:p>
        </w:tc>
        <w:tc>
          <w:tcPr>
            <w:tcW w:w="1980" w:type="dxa"/>
          </w:tcPr>
          <w:p w14:paraId="235F2437" w14:textId="77777777" w:rsidR="0094370A" w:rsidRPr="007D7654" w:rsidRDefault="004E672B" w:rsidP="003D6558">
            <w:pPr>
              <w:jc w:val="right"/>
              <w:rPr>
                <w:szCs w:val="24"/>
              </w:rPr>
            </w:pPr>
            <w:r w:rsidRPr="00120F39">
              <w:rPr>
                <w:szCs w:val="20"/>
              </w:rPr>
              <w:t>$400,000</w:t>
            </w:r>
          </w:p>
        </w:tc>
        <w:tc>
          <w:tcPr>
            <w:tcW w:w="1800" w:type="dxa"/>
          </w:tcPr>
          <w:p w14:paraId="13FD21C8" w14:textId="77777777" w:rsidR="0094370A" w:rsidRPr="007D7654" w:rsidRDefault="004E672B" w:rsidP="003D6558">
            <w:pPr>
              <w:jc w:val="center"/>
              <w:rPr>
                <w:szCs w:val="24"/>
              </w:rPr>
            </w:pPr>
            <w:r w:rsidRPr="00120F39">
              <w:rPr>
                <w:szCs w:val="20"/>
              </w:rPr>
              <w:t>50%</w:t>
            </w:r>
          </w:p>
        </w:tc>
        <w:tc>
          <w:tcPr>
            <w:tcW w:w="1980" w:type="dxa"/>
          </w:tcPr>
          <w:p w14:paraId="7105BA4A" w14:textId="77777777" w:rsidR="0094370A" w:rsidRPr="007D7654" w:rsidRDefault="004E672B" w:rsidP="003D6558">
            <w:pPr>
              <w:jc w:val="center"/>
              <w:rPr>
                <w:szCs w:val="24"/>
              </w:rPr>
            </w:pPr>
            <w:r w:rsidRPr="00120F39">
              <w:rPr>
                <w:szCs w:val="20"/>
              </w:rPr>
              <w:t>50%</w:t>
            </w:r>
          </w:p>
        </w:tc>
      </w:tr>
      <w:tr w:rsidR="00BF65D1" w14:paraId="65A6E74E" w14:textId="77777777" w:rsidTr="003D6558">
        <w:tc>
          <w:tcPr>
            <w:tcW w:w="2628" w:type="dxa"/>
            <w:shd w:val="clear" w:color="auto" w:fill="EAF1DD" w:themeFill="accent3" w:themeFillTint="33"/>
          </w:tcPr>
          <w:p w14:paraId="407F2B9B" w14:textId="77777777" w:rsidR="0094370A" w:rsidRPr="007D7654" w:rsidRDefault="004E672B" w:rsidP="003D6558">
            <w:pPr>
              <w:rPr>
                <w:szCs w:val="24"/>
              </w:rPr>
            </w:pPr>
            <w:r w:rsidRPr="00120F39">
              <w:rPr>
                <w:szCs w:val="20"/>
              </w:rPr>
              <w:t>Task 4 (Outreach)</w:t>
            </w:r>
          </w:p>
        </w:tc>
        <w:tc>
          <w:tcPr>
            <w:tcW w:w="1980" w:type="dxa"/>
          </w:tcPr>
          <w:p w14:paraId="69B8B791" w14:textId="77777777" w:rsidR="0094370A" w:rsidRPr="007D7654" w:rsidRDefault="004E672B" w:rsidP="003D6558">
            <w:pPr>
              <w:jc w:val="right"/>
              <w:rPr>
                <w:szCs w:val="24"/>
              </w:rPr>
            </w:pPr>
            <w:r w:rsidRPr="00120F39">
              <w:rPr>
                <w:szCs w:val="20"/>
              </w:rPr>
              <w:t>$100,000</w:t>
            </w:r>
          </w:p>
        </w:tc>
        <w:tc>
          <w:tcPr>
            <w:tcW w:w="1800" w:type="dxa"/>
          </w:tcPr>
          <w:p w14:paraId="6E6722D8" w14:textId="77777777" w:rsidR="0094370A" w:rsidRPr="007D7654" w:rsidRDefault="004E672B" w:rsidP="003D6558">
            <w:pPr>
              <w:jc w:val="center"/>
              <w:rPr>
                <w:szCs w:val="24"/>
              </w:rPr>
            </w:pPr>
            <w:r w:rsidRPr="00120F39">
              <w:rPr>
                <w:szCs w:val="20"/>
              </w:rPr>
              <w:t>100%</w:t>
            </w:r>
          </w:p>
        </w:tc>
        <w:tc>
          <w:tcPr>
            <w:tcW w:w="1980" w:type="dxa"/>
          </w:tcPr>
          <w:p w14:paraId="05B0AB43" w14:textId="77777777" w:rsidR="0094370A" w:rsidRPr="007D7654" w:rsidRDefault="004E672B" w:rsidP="003D6558">
            <w:pPr>
              <w:jc w:val="center"/>
              <w:rPr>
                <w:szCs w:val="24"/>
              </w:rPr>
            </w:pPr>
            <w:r w:rsidRPr="00120F39">
              <w:rPr>
                <w:szCs w:val="20"/>
              </w:rPr>
              <w:t>0%</w:t>
            </w:r>
          </w:p>
        </w:tc>
      </w:tr>
    </w:tbl>
    <w:p w14:paraId="4F047D7E" w14:textId="77777777" w:rsidR="0094370A" w:rsidRPr="007D7654" w:rsidRDefault="0094370A" w:rsidP="0094370A">
      <w:pPr>
        <w:rPr>
          <w:szCs w:val="24"/>
        </w:rPr>
      </w:pPr>
    </w:p>
    <w:p w14:paraId="7A4F22A9" w14:textId="77777777" w:rsidR="0094370A" w:rsidRPr="007D7654" w:rsidRDefault="004E672B" w:rsidP="0094370A">
      <w:pPr>
        <w:rPr>
          <w:szCs w:val="24"/>
        </w:rPr>
      </w:pPr>
      <w:r w:rsidRPr="00120F39">
        <w:t xml:space="preserve">Federal share ($) divided by </w:t>
      </w:r>
      <w:r>
        <w:t>f</w:t>
      </w:r>
      <w:r w:rsidRPr="00120F39">
        <w:t>ederal share (%) = Task Cost</w:t>
      </w:r>
    </w:p>
    <w:p w14:paraId="48F1B012" w14:textId="77777777" w:rsidR="0094370A" w:rsidRPr="007D7654" w:rsidRDefault="0094370A" w:rsidP="0094370A">
      <w:pPr>
        <w:rPr>
          <w:szCs w:val="24"/>
        </w:rPr>
      </w:pPr>
    </w:p>
    <w:p w14:paraId="7AFC73FC" w14:textId="77777777" w:rsidR="0094370A" w:rsidRPr="007D7654" w:rsidRDefault="004E672B" w:rsidP="0094370A">
      <w:pPr>
        <w:rPr>
          <w:szCs w:val="24"/>
        </w:rPr>
      </w:pPr>
      <w:r w:rsidRPr="00120F39">
        <w:t>Each task must be calculated individually as follows:</w:t>
      </w:r>
    </w:p>
    <w:p w14:paraId="41FA7565" w14:textId="77777777" w:rsidR="0094370A" w:rsidRPr="007D7654" w:rsidRDefault="0094370A" w:rsidP="0094370A">
      <w:pPr>
        <w:rPr>
          <w:szCs w:val="24"/>
        </w:rPr>
      </w:pPr>
    </w:p>
    <w:p w14:paraId="40767E6E" w14:textId="77777777" w:rsidR="0094370A" w:rsidRPr="007D7654" w:rsidRDefault="004E672B" w:rsidP="0094370A">
      <w:pPr>
        <w:rPr>
          <w:szCs w:val="24"/>
        </w:rPr>
      </w:pPr>
      <w:r w:rsidRPr="00120F39">
        <w:t>Task 1</w:t>
      </w:r>
    </w:p>
    <w:p w14:paraId="1CDD1A87" w14:textId="77777777" w:rsidR="0094370A" w:rsidRPr="007D7654" w:rsidRDefault="004E672B" w:rsidP="0094370A">
      <w:pPr>
        <w:rPr>
          <w:szCs w:val="24"/>
        </w:rPr>
      </w:pPr>
      <w:r w:rsidRPr="00120F39">
        <w:t>$1,000,000 divided by 80% = $1,250,000 (Task 1 Cost)</w:t>
      </w:r>
    </w:p>
    <w:p w14:paraId="694F7B57" w14:textId="0A962080" w:rsidR="0094370A" w:rsidRPr="007D7654" w:rsidRDefault="004E672B" w:rsidP="0094370A">
      <w:pPr>
        <w:rPr>
          <w:szCs w:val="24"/>
        </w:rPr>
      </w:pPr>
      <w:r w:rsidRPr="00120F39">
        <w:t xml:space="preserve">Task 1 Cost minus federal share = </w:t>
      </w:r>
      <w:r w:rsidR="004C76A0">
        <w:t>n</w:t>
      </w:r>
      <w:r w:rsidRPr="00120F39">
        <w:t>on-fede</w:t>
      </w:r>
      <w:r w:rsidRPr="009061D6">
        <w:t>ral share</w:t>
      </w:r>
    </w:p>
    <w:p w14:paraId="293BB1B1" w14:textId="3A98E6C3" w:rsidR="0094370A" w:rsidRPr="007D7654" w:rsidRDefault="004E672B" w:rsidP="0094370A">
      <w:pPr>
        <w:rPr>
          <w:szCs w:val="24"/>
        </w:rPr>
      </w:pPr>
      <w:r w:rsidRPr="00120F39">
        <w:t>$1,25</w:t>
      </w:r>
      <w:r w:rsidR="004C76A0">
        <w:t>0,000 - $1,000,000 = $250,000 (n</w:t>
      </w:r>
      <w:r w:rsidRPr="00120F39">
        <w:t>on-federal share)</w:t>
      </w:r>
    </w:p>
    <w:p w14:paraId="721C9B27" w14:textId="77777777" w:rsidR="0094370A" w:rsidRPr="007D7654" w:rsidRDefault="0094370A" w:rsidP="0094370A">
      <w:pPr>
        <w:rPr>
          <w:szCs w:val="24"/>
        </w:rPr>
      </w:pPr>
    </w:p>
    <w:p w14:paraId="4E792ECA" w14:textId="77777777" w:rsidR="0094370A" w:rsidRPr="007D7654" w:rsidRDefault="004E672B" w:rsidP="0094370A">
      <w:pPr>
        <w:rPr>
          <w:szCs w:val="24"/>
        </w:rPr>
      </w:pPr>
      <w:r w:rsidRPr="00120F39">
        <w:t>Task 2</w:t>
      </w:r>
    </w:p>
    <w:p w14:paraId="1A04CC88" w14:textId="77777777" w:rsidR="0094370A" w:rsidRPr="007D7654" w:rsidRDefault="004E672B" w:rsidP="0094370A">
      <w:pPr>
        <w:rPr>
          <w:szCs w:val="24"/>
        </w:rPr>
      </w:pPr>
      <w:r w:rsidRPr="00120F39">
        <w:t>$500,000 divided 80% = $625,000 (Task 2 Cost)</w:t>
      </w:r>
    </w:p>
    <w:p w14:paraId="45274C61" w14:textId="010F0623" w:rsidR="0094370A" w:rsidRPr="007D7654" w:rsidRDefault="004E672B" w:rsidP="0094370A">
      <w:pPr>
        <w:rPr>
          <w:szCs w:val="24"/>
        </w:rPr>
      </w:pPr>
      <w:r w:rsidRPr="00120F39">
        <w:t>Tas</w:t>
      </w:r>
      <w:r w:rsidR="004C76A0">
        <w:t>k 2 Cost minus federal share = n</w:t>
      </w:r>
      <w:r w:rsidRPr="00120F39">
        <w:t>on-federal share</w:t>
      </w:r>
    </w:p>
    <w:p w14:paraId="0FAA1050" w14:textId="2C782C3D" w:rsidR="0094370A" w:rsidRPr="007D7654" w:rsidRDefault="004E672B" w:rsidP="0094370A">
      <w:pPr>
        <w:rPr>
          <w:szCs w:val="24"/>
        </w:rPr>
      </w:pPr>
      <w:r w:rsidRPr="00120F39">
        <w:t>$</w:t>
      </w:r>
      <w:r w:rsidR="004C76A0">
        <w:t>625,000 - $500,000 = $125,000 (n</w:t>
      </w:r>
      <w:r w:rsidRPr="00120F39">
        <w:t>on-federal share)</w:t>
      </w:r>
    </w:p>
    <w:p w14:paraId="0A409632" w14:textId="77777777" w:rsidR="0094370A" w:rsidRPr="007D7654" w:rsidRDefault="0094370A" w:rsidP="0094370A">
      <w:pPr>
        <w:rPr>
          <w:szCs w:val="24"/>
        </w:rPr>
      </w:pPr>
    </w:p>
    <w:p w14:paraId="6ACEBA6D" w14:textId="77777777" w:rsidR="0094370A" w:rsidRPr="007D7654" w:rsidRDefault="004E672B" w:rsidP="0094370A">
      <w:pPr>
        <w:rPr>
          <w:szCs w:val="24"/>
        </w:rPr>
      </w:pPr>
      <w:r w:rsidRPr="00120F39">
        <w:t>Task 3</w:t>
      </w:r>
    </w:p>
    <w:p w14:paraId="17D2E5A1" w14:textId="77777777" w:rsidR="0094370A" w:rsidRPr="007D7654" w:rsidRDefault="004E672B" w:rsidP="0094370A">
      <w:pPr>
        <w:rPr>
          <w:szCs w:val="24"/>
        </w:rPr>
      </w:pPr>
      <w:r w:rsidRPr="00120F39">
        <w:t xml:space="preserve">$400,000 / 50% = $800,000 </w:t>
      </w:r>
      <w:r w:rsidRPr="009061D6">
        <w:t>(Task 3 Cost)</w:t>
      </w:r>
    </w:p>
    <w:p w14:paraId="10C0190C" w14:textId="7506F0AD" w:rsidR="0094370A" w:rsidRPr="007D7654" w:rsidRDefault="004E672B" w:rsidP="0094370A">
      <w:pPr>
        <w:rPr>
          <w:szCs w:val="24"/>
        </w:rPr>
      </w:pPr>
      <w:r w:rsidRPr="00120F39">
        <w:t>Tas</w:t>
      </w:r>
      <w:r w:rsidR="004C76A0">
        <w:t>k 3 Cost minus federal share = n</w:t>
      </w:r>
      <w:r w:rsidRPr="00120F39">
        <w:t>on-federal share</w:t>
      </w:r>
    </w:p>
    <w:p w14:paraId="348DA6BE" w14:textId="0C5AD74F" w:rsidR="0094370A" w:rsidRPr="007D7654" w:rsidRDefault="004E672B" w:rsidP="0094370A">
      <w:pPr>
        <w:rPr>
          <w:szCs w:val="24"/>
        </w:rPr>
      </w:pPr>
      <w:r w:rsidRPr="00120F39">
        <w:t>$</w:t>
      </w:r>
      <w:r w:rsidR="004C76A0">
        <w:t>800,000 - $400,000 = $400,000 (n</w:t>
      </w:r>
      <w:r w:rsidRPr="00120F39">
        <w:t>on-federal share)</w:t>
      </w:r>
    </w:p>
    <w:p w14:paraId="3942A882" w14:textId="77777777" w:rsidR="0094370A" w:rsidRPr="007D7654" w:rsidRDefault="0094370A" w:rsidP="0094370A">
      <w:pPr>
        <w:rPr>
          <w:szCs w:val="24"/>
        </w:rPr>
      </w:pPr>
    </w:p>
    <w:p w14:paraId="4D4742C4" w14:textId="77777777" w:rsidR="0094370A" w:rsidRPr="007D7654" w:rsidRDefault="004E672B" w:rsidP="0094370A">
      <w:pPr>
        <w:rPr>
          <w:szCs w:val="24"/>
        </w:rPr>
      </w:pPr>
      <w:r w:rsidRPr="00120F39">
        <w:t>Task 4</w:t>
      </w:r>
    </w:p>
    <w:p w14:paraId="41D9343E" w14:textId="77777777" w:rsidR="0094370A" w:rsidRPr="007D7654" w:rsidRDefault="004E672B" w:rsidP="0094370A">
      <w:pPr>
        <w:rPr>
          <w:szCs w:val="24"/>
        </w:rPr>
      </w:pPr>
      <w:r w:rsidRPr="00120F39">
        <w:t>Federal share = $100,000</w:t>
      </w:r>
    </w:p>
    <w:p w14:paraId="44B5FC99" w14:textId="11ED0743" w:rsidR="0094370A" w:rsidRPr="007D7654" w:rsidRDefault="004E672B" w:rsidP="0094370A">
      <w:pPr>
        <w:rPr>
          <w:szCs w:val="24"/>
        </w:rPr>
      </w:pPr>
      <w:r w:rsidRPr="00120F39">
        <w:t>Non-federal cost share is n</w:t>
      </w:r>
      <w:r w:rsidR="004C76A0">
        <w:t>ot mandated for outreach = $0 (n</w:t>
      </w:r>
      <w:r w:rsidRPr="00120F39">
        <w:t>on-federal share)</w:t>
      </w:r>
    </w:p>
    <w:p w14:paraId="14A85DC4" w14:textId="77777777" w:rsidR="0094370A" w:rsidRPr="007D7654" w:rsidRDefault="0094370A" w:rsidP="0094370A">
      <w:pPr>
        <w:rPr>
          <w:szCs w:val="24"/>
        </w:rPr>
      </w:pPr>
    </w:p>
    <w:p w14:paraId="1A21D610" w14:textId="77777777" w:rsidR="0094370A" w:rsidRDefault="004E672B" w:rsidP="0094370A">
      <w:pPr>
        <w:rPr>
          <w:szCs w:val="24"/>
        </w:rPr>
      </w:pPr>
      <w:r>
        <w:rPr>
          <w:szCs w:val="24"/>
        </w:rPr>
        <w:br w:type="page"/>
      </w:r>
    </w:p>
    <w:p w14:paraId="1F1DDD96" w14:textId="77777777" w:rsidR="0094370A" w:rsidRDefault="0094370A" w:rsidP="0094370A">
      <w:pPr>
        <w:rPr>
          <w:szCs w:val="24"/>
        </w:rPr>
      </w:pPr>
    </w:p>
    <w:p w14:paraId="57CA78B1" w14:textId="77777777" w:rsidR="0094370A" w:rsidRDefault="004E672B" w:rsidP="0094370A">
      <w:pPr>
        <w:rPr>
          <w:szCs w:val="24"/>
        </w:rPr>
      </w:pPr>
      <w:r w:rsidRPr="00120F39">
        <w:t xml:space="preserve">The calculation may then </w:t>
      </w:r>
      <w:r w:rsidRPr="009061D6">
        <w:t>be completed as follows:</w:t>
      </w:r>
    </w:p>
    <w:p w14:paraId="0D84F6CB" w14:textId="77777777" w:rsidR="0094370A" w:rsidRPr="007D7654" w:rsidRDefault="0094370A" w:rsidP="0094370A">
      <w:pPr>
        <w:rPr>
          <w:szCs w:val="24"/>
        </w:rPr>
      </w:pPr>
    </w:p>
    <w:tbl>
      <w:tblPr>
        <w:tblStyle w:val="TableGrid"/>
        <w:tblW w:w="9360" w:type="dxa"/>
        <w:tblInd w:w="360" w:type="dxa"/>
        <w:tblLook w:val="04A0" w:firstRow="1" w:lastRow="0" w:firstColumn="1" w:lastColumn="0" w:noHBand="0" w:noVBand="1"/>
      </w:tblPr>
      <w:tblGrid>
        <w:gridCol w:w="1458"/>
        <w:gridCol w:w="1530"/>
        <w:gridCol w:w="1530"/>
        <w:gridCol w:w="1620"/>
        <w:gridCol w:w="1710"/>
        <w:gridCol w:w="1512"/>
      </w:tblGrid>
      <w:tr w:rsidR="00BF65D1" w14:paraId="7B97E5A1" w14:textId="77777777" w:rsidTr="003D6558">
        <w:tc>
          <w:tcPr>
            <w:tcW w:w="1458" w:type="dxa"/>
            <w:tcBorders>
              <w:bottom w:val="single" w:sz="4" w:space="0" w:color="auto"/>
            </w:tcBorders>
            <w:shd w:val="clear" w:color="auto" w:fill="C6D9F1" w:themeFill="text2" w:themeFillTint="33"/>
          </w:tcPr>
          <w:p w14:paraId="40FC9114" w14:textId="77777777" w:rsidR="0094370A" w:rsidRPr="007D7654" w:rsidRDefault="004E672B" w:rsidP="003D6558">
            <w:pPr>
              <w:jc w:val="center"/>
              <w:rPr>
                <w:szCs w:val="24"/>
              </w:rPr>
            </w:pPr>
            <w:r w:rsidRPr="00120F39">
              <w:rPr>
                <w:szCs w:val="20"/>
              </w:rPr>
              <w:t>Tasks</w:t>
            </w:r>
          </w:p>
        </w:tc>
        <w:tc>
          <w:tcPr>
            <w:tcW w:w="1530" w:type="dxa"/>
            <w:shd w:val="clear" w:color="auto" w:fill="C6D9F1" w:themeFill="text2" w:themeFillTint="33"/>
          </w:tcPr>
          <w:p w14:paraId="3456831C" w14:textId="77777777" w:rsidR="0094370A" w:rsidRPr="007D7654" w:rsidRDefault="004E672B" w:rsidP="003D6558">
            <w:pPr>
              <w:jc w:val="center"/>
              <w:rPr>
                <w:szCs w:val="24"/>
              </w:rPr>
            </w:pPr>
            <w:r w:rsidRPr="00120F39">
              <w:rPr>
                <w:szCs w:val="20"/>
              </w:rPr>
              <w:t>$ Federal Share</w:t>
            </w:r>
          </w:p>
        </w:tc>
        <w:tc>
          <w:tcPr>
            <w:tcW w:w="1530" w:type="dxa"/>
            <w:shd w:val="clear" w:color="auto" w:fill="C6D9F1" w:themeFill="text2" w:themeFillTint="33"/>
          </w:tcPr>
          <w:p w14:paraId="75F090A7" w14:textId="77777777" w:rsidR="0094370A" w:rsidRPr="007D7654" w:rsidRDefault="004E672B" w:rsidP="003D6558">
            <w:pPr>
              <w:jc w:val="center"/>
              <w:rPr>
                <w:szCs w:val="24"/>
              </w:rPr>
            </w:pPr>
            <w:r w:rsidRPr="00120F39">
              <w:rPr>
                <w:szCs w:val="20"/>
              </w:rPr>
              <w:t>% Federal Share</w:t>
            </w:r>
          </w:p>
        </w:tc>
        <w:tc>
          <w:tcPr>
            <w:tcW w:w="1620" w:type="dxa"/>
            <w:shd w:val="clear" w:color="auto" w:fill="C6D9F1" w:themeFill="text2" w:themeFillTint="33"/>
          </w:tcPr>
          <w:p w14:paraId="28EA3B73" w14:textId="77777777" w:rsidR="0094370A" w:rsidRPr="007D7654" w:rsidRDefault="004E672B" w:rsidP="003D6558">
            <w:pPr>
              <w:jc w:val="center"/>
              <w:rPr>
                <w:szCs w:val="24"/>
              </w:rPr>
            </w:pPr>
            <w:r w:rsidRPr="00120F39">
              <w:rPr>
                <w:szCs w:val="20"/>
              </w:rPr>
              <w:t>$ Non-Federal Share</w:t>
            </w:r>
          </w:p>
        </w:tc>
        <w:tc>
          <w:tcPr>
            <w:tcW w:w="1710" w:type="dxa"/>
            <w:shd w:val="clear" w:color="auto" w:fill="C6D9F1" w:themeFill="text2" w:themeFillTint="33"/>
          </w:tcPr>
          <w:p w14:paraId="3CF76A18" w14:textId="77777777" w:rsidR="0094370A" w:rsidRPr="007D7654" w:rsidRDefault="004E672B" w:rsidP="003D6558">
            <w:pPr>
              <w:jc w:val="center"/>
              <w:rPr>
                <w:szCs w:val="24"/>
              </w:rPr>
            </w:pPr>
            <w:r w:rsidRPr="00120F39">
              <w:rPr>
                <w:szCs w:val="20"/>
              </w:rPr>
              <w:t>% Non-Federal Share</w:t>
            </w:r>
          </w:p>
        </w:tc>
        <w:tc>
          <w:tcPr>
            <w:tcW w:w="1512" w:type="dxa"/>
            <w:shd w:val="clear" w:color="auto" w:fill="C6D9F1" w:themeFill="text2" w:themeFillTint="33"/>
          </w:tcPr>
          <w:p w14:paraId="7AADE0D9" w14:textId="77777777" w:rsidR="0094370A" w:rsidRPr="007D7654" w:rsidRDefault="004E672B" w:rsidP="003D6558">
            <w:pPr>
              <w:jc w:val="center"/>
              <w:rPr>
                <w:szCs w:val="24"/>
              </w:rPr>
            </w:pPr>
            <w:r w:rsidRPr="00120F39">
              <w:rPr>
                <w:szCs w:val="20"/>
              </w:rPr>
              <w:t>Total Project Cost</w:t>
            </w:r>
          </w:p>
        </w:tc>
      </w:tr>
      <w:tr w:rsidR="00BF65D1" w14:paraId="6E8C2896" w14:textId="77777777" w:rsidTr="003D6558">
        <w:tc>
          <w:tcPr>
            <w:tcW w:w="1458" w:type="dxa"/>
            <w:shd w:val="clear" w:color="auto" w:fill="EAF1DD" w:themeFill="accent3" w:themeFillTint="33"/>
          </w:tcPr>
          <w:p w14:paraId="0D515AFC" w14:textId="77777777" w:rsidR="0094370A" w:rsidRPr="007D7654" w:rsidRDefault="004E672B" w:rsidP="003D6558">
            <w:pPr>
              <w:rPr>
                <w:szCs w:val="24"/>
              </w:rPr>
            </w:pPr>
            <w:r w:rsidRPr="00120F39">
              <w:rPr>
                <w:szCs w:val="20"/>
              </w:rPr>
              <w:t>Task 1</w:t>
            </w:r>
          </w:p>
        </w:tc>
        <w:tc>
          <w:tcPr>
            <w:tcW w:w="1530" w:type="dxa"/>
          </w:tcPr>
          <w:p w14:paraId="051C3504" w14:textId="77777777" w:rsidR="0094370A" w:rsidRPr="007D7654" w:rsidRDefault="004E672B" w:rsidP="003D6558">
            <w:pPr>
              <w:tabs>
                <w:tab w:val="left" w:pos="1129"/>
              </w:tabs>
              <w:ind w:right="185"/>
              <w:jc w:val="right"/>
              <w:rPr>
                <w:szCs w:val="24"/>
              </w:rPr>
            </w:pPr>
            <w:r w:rsidRPr="00120F39">
              <w:rPr>
                <w:szCs w:val="20"/>
              </w:rPr>
              <w:t>$1,000,000</w:t>
            </w:r>
          </w:p>
        </w:tc>
        <w:tc>
          <w:tcPr>
            <w:tcW w:w="1530" w:type="dxa"/>
          </w:tcPr>
          <w:p w14:paraId="262A8829" w14:textId="77777777" w:rsidR="0094370A" w:rsidRPr="007D7654" w:rsidRDefault="004E672B" w:rsidP="003D6558">
            <w:pPr>
              <w:jc w:val="center"/>
              <w:rPr>
                <w:szCs w:val="24"/>
              </w:rPr>
            </w:pPr>
            <w:r w:rsidRPr="00120F39">
              <w:rPr>
                <w:szCs w:val="20"/>
              </w:rPr>
              <w:t>80%</w:t>
            </w:r>
          </w:p>
        </w:tc>
        <w:tc>
          <w:tcPr>
            <w:tcW w:w="1620" w:type="dxa"/>
          </w:tcPr>
          <w:p w14:paraId="48B65F17" w14:textId="77777777" w:rsidR="0094370A" w:rsidRPr="007D7654" w:rsidRDefault="004E672B" w:rsidP="003D6558">
            <w:pPr>
              <w:ind w:right="185"/>
              <w:jc w:val="right"/>
              <w:rPr>
                <w:szCs w:val="24"/>
              </w:rPr>
            </w:pPr>
            <w:r w:rsidRPr="00120F39">
              <w:rPr>
                <w:szCs w:val="20"/>
              </w:rPr>
              <w:t>$250,000</w:t>
            </w:r>
          </w:p>
        </w:tc>
        <w:tc>
          <w:tcPr>
            <w:tcW w:w="1710" w:type="dxa"/>
          </w:tcPr>
          <w:p w14:paraId="176AD92A" w14:textId="77777777" w:rsidR="0094370A" w:rsidRPr="007D7654" w:rsidRDefault="004E672B" w:rsidP="003D6558">
            <w:pPr>
              <w:jc w:val="center"/>
              <w:rPr>
                <w:szCs w:val="24"/>
              </w:rPr>
            </w:pPr>
            <w:r w:rsidRPr="00120F39">
              <w:rPr>
                <w:szCs w:val="20"/>
              </w:rPr>
              <w:t>20%</w:t>
            </w:r>
          </w:p>
        </w:tc>
        <w:tc>
          <w:tcPr>
            <w:tcW w:w="1512" w:type="dxa"/>
          </w:tcPr>
          <w:p w14:paraId="7919D1A2" w14:textId="77777777" w:rsidR="0094370A" w:rsidRPr="007D7654" w:rsidRDefault="004E672B" w:rsidP="003D6558">
            <w:pPr>
              <w:ind w:right="167"/>
              <w:jc w:val="right"/>
              <w:rPr>
                <w:szCs w:val="24"/>
              </w:rPr>
            </w:pPr>
            <w:r w:rsidRPr="00120F39">
              <w:rPr>
                <w:szCs w:val="20"/>
              </w:rPr>
              <w:t>$1,250,000</w:t>
            </w:r>
          </w:p>
        </w:tc>
      </w:tr>
      <w:tr w:rsidR="00BF65D1" w14:paraId="44F8986D" w14:textId="77777777" w:rsidTr="003D6558">
        <w:tc>
          <w:tcPr>
            <w:tcW w:w="1458" w:type="dxa"/>
            <w:shd w:val="clear" w:color="auto" w:fill="EAF1DD" w:themeFill="accent3" w:themeFillTint="33"/>
          </w:tcPr>
          <w:p w14:paraId="11FE02B3" w14:textId="77777777" w:rsidR="0094370A" w:rsidRPr="007D7654" w:rsidRDefault="004E672B" w:rsidP="003D6558">
            <w:pPr>
              <w:rPr>
                <w:szCs w:val="24"/>
              </w:rPr>
            </w:pPr>
            <w:r w:rsidRPr="00120F39">
              <w:rPr>
                <w:szCs w:val="20"/>
              </w:rPr>
              <w:t>Task 2</w:t>
            </w:r>
          </w:p>
        </w:tc>
        <w:tc>
          <w:tcPr>
            <w:tcW w:w="1530" w:type="dxa"/>
          </w:tcPr>
          <w:p w14:paraId="58BA3869" w14:textId="77777777" w:rsidR="0094370A" w:rsidRPr="007D7654" w:rsidRDefault="004E672B" w:rsidP="003D6558">
            <w:pPr>
              <w:tabs>
                <w:tab w:val="left" w:pos="1129"/>
              </w:tabs>
              <w:ind w:right="185"/>
              <w:jc w:val="right"/>
              <w:rPr>
                <w:szCs w:val="24"/>
              </w:rPr>
            </w:pPr>
            <w:r w:rsidRPr="00120F39">
              <w:rPr>
                <w:szCs w:val="20"/>
              </w:rPr>
              <w:t>$500,000</w:t>
            </w:r>
          </w:p>
        </w:tc>
        <w:tc>
          <w:tcPr>
            <w:tcW w:w="1530" w:type="dxa"/>
          </w:tcPr>
          <w:p w14:paraId="7B12F480" w14:textId="77777777" w:rsidR="0094370A" w:rsidRPr="007D7654" w:rsidRDefault="004E672B" w:rsidP="003D6558">
            <w:pPr>
              <w:jc w:val="center"/>
              <w:rPr>
                <w:szCs w:val="24"/>
              </w:rPr>
            </w:pPr>
            <w:r w:rsidRPr="00120F39">
              <w:rPr>
                <w:szCs w:val="20"/>
              </w:rPr>
              <w:t>80%</w:t>
            </w:r>
          </w:p>
        </w:tc>
        <w:tc>
          <w:tcPr>
            <w:tcW w:w="1620" w:type="dxa"/>
          </w:tcPr>
          <w:p w14:paraId="213AC2F8" w14:textId="77777777" w:rsidR="0094370A" w:rsidRPr="007D7654" w:rsidRDefault="004E672B" w:rsidP="003D6558">
            <w:pPr>
              <w:ind w:right="185"/>
              <w:jc w:val="right"/>
              <w:rPr>
                <w:szCs w:val="24"/>
              </w:rPr>
            </w:pPr>
            <w:r w:rsidRPr="00120F39">
              <w:rPr>
                <w:szCs w:val="20"/>
              </w:rPr>
              <w:t>$125,000</w:t>
            </w:r>
          </w:p>
        </w:tc>
        <w:tc>
          <w:tcPr>
            <w:tcW w:w="1710" w:type="dxa"/>
          </w:tcPr>
          <w:p w14:paraId="6656704B" w14:textId="77777777" w:rsidR="0094370A" w:rsidRPr="007D7654" w:rsidRDefault="004E672B" w:rsidP="003D6558">
            <w:pPr>
              <w:jc w:val="center"/>
              <w:rPr>
                <w:szCs w:val="24"/>
              </w:rPr>
            </w:pPr>
            <w:r w:rsidRPr="00120F39">
              <w:rPr>
                <w:szCs w:val="20"/>
              </w:rPr>
              <w:t>20%</w:t>
            </w:r>
          </w:p>
        </w:tc>
        <w:tc>
          <w:tcPr>
            <w:tcW w:w="1512" w:type="dxa"/>
          </w:tcPr>
          <w:p w14:paraId="1D1EE309" w14:textId="77777777" w:rsidR="0094370A" w:rsidRPr="007D7654" w:rsidRDefault="004E672B" w:rsidP="003D6558">
            <w:pPr>
              <w:ind w:right="167"/>
              <w:jc w:val="right"/>
              <w:rPr>
                <w:szCs w:val="24"/>
              </w:rPr>
            </w:pPr>
            <w:r w:rsidRPr="00120F39">
              <w:rPr>
                <w:szCs w:val="20"/>
              </w:rPr>
              <w:t>$625,000</w:t>
            </w:r>
          </w:p>
        </w:tc>
      </w:tr>
      <w:tr w:rsidR="00BF65D1" w14:paraId="04A7C5BF" w14:textId="77777777" w:rsidTr="003D6558">
        <w:tc>
          <w:tcPr>
            <w:tcW w:w="1458" w:type="dxa"/>
            <w:shd w:val="clear" w:color="auto" w:fill="EAF1DD" w:themeFill="accent3" w:themeFillTint="33"/>
          </w:tcPr>
          <w:p w14:paraId="0FFC645E" w14:textId="77777777" w:rsidR="0094370A" w:rsidRPr="007D7654" w:rsidRDefault="004E672B" w:rsidP="003D6558">
            <w:pPr>
              <w:rPr>
                <w:szCs w:val="24"/>
              </w:rPr>
            </w:pPr>
            <w:r w:rsidRPr="00120F39">
              <w:rPr>
                <w:szCs w:val="20"/>
              </w:rPr>
              <w:t>Task 3</w:t>
            </w:r>
          </w:p>
        </w:tc>
        <w:tc>
          <w:tcPr>
            <w:tcW w:w="1530" w:type="dxa"/>
          </w:tcPr>
          <w:p w14:paraId="60A32AA9" w14:textId="77777777" w:rsidR="0094370A" w:rsidRPr="007D7654" w:rsidRDefault="004E672B" w:rsidP="003D6558">
            <w:pPr>
              <w:tabs>
                <w:tab w:val="left" w:pos="1129"/>
              </w:tabs>
              <w:ind w:right="185"/>
              <w:jc w:val="right"/>
              <w:rPr>
                <w:szCs w:val="24"/>
              </w:rPr>
            </w:pPr>
            <w:r w:rsidRPr="00120F39">
              <w:rPr>
                <w:szCs w:val="20"/>
              </w:rPr>
              <w:t>$400,000</w:t>
            </w:r>
          </w:p>
        </w:tc>
        <w:tc>
          <w:tcPr>
            <w:tcW w:w="1530" w:type="dxa"/>
          </w:tcPr>
          <w:p w14:paraId="6EA87E4B" w14:textId="77777777" w:rsidR="0094370A" w:rsidRPr="007D7654" w:rsidRDefault="004E672B" w:rsidP="003D6558">
            <w:pPr>
              <w:jc w:val="center"/>
              <w:rPr>
                <w:szCs w:val="24"/>
              </w:rPr>
            </w:pPr>
            <w:r w:rsidRPr="00120F39">
              <w:rPr>
                <w:szCs w:val="20"/>
              </w:rPr>
              <w:t>50%</w:t>
            </w:r>
          </w:p>
        </w:tc>
        <w:tc>
          <w:tcPr>
            <w:tcW w:w="1620" w:type="dxa"/>
          </w:tcPr>
          <w:p w14:paraId="5101E879" w14:textId="77777777" w:rsidR="0094370A" w:rsidRPr="007D7654" w:rsidRDefault="004E672B" w:rsidP="003D6558">
            <w:pPr>
              <w:ind w:right="185"/>
              <w:jc w:val="right"/>
              <w:rPr>
                <w:szCs w:val="24"/>
              </w:rPr>
            </w:pPr>
            <w:r w:rsidRPr="00120F39">
              <w:rPr>
                <w:szCs w:val="20"/>
              </w:rPr>
              <w:t>$400,000</w:t>
            </w:r>
          </w:p>
        </w:tc>
        <w:tc>
          <w:tcPr>
            <w:tcW w:w="1710" w:type="dxa"/>
          </w:tcPr>
          <w:p w14:paraId="51405315" w14:textId="77777777" w:rsidR="0094370A" w:rsidRPr="007D7654" w:rsidRDefault="004E672B" w:rsidP="003D6558">
            <w:pPr>
              <w:jc w:val="center"/>
              <w:rPr>
                <w:szCs w:val="24"/>
              </w:rPr>
            </w:pPr>
            <w:r w:rsidRPr="00120F39">
              <w:rPr>
                <w:szCs w:val="20"/>
              </w:rPr>
              <w:t>50%</w:t>
            </w:r>
          </w:p>
        </w:tc>
        <w:tc>
          <w:tcPr>
            <w:tcW w:w="1512" w:type="dxa"/>
          </w:tcPr>
          <w:p w14:paraId="2BC02066" w14:textId="77777777" w:rsidR="0094370A" w:rsidRPr="007D7654" w:rsidRDefault="004E672B" w:rsidP="003D6558">
            <w:pPr>
              <w:ind w:right="167"/>
              <w:jc w:val="right"/>
              <w:rPr>
                <w:szCs w:val="24"/>
              </w:rPr>
            </w:pPr>
            <w:r w:rsidRPr="00120F39">
              <w:rPr>
                <w:szCs w:val="20"/>
              </w:rPr>
              <w:t>$800,000</w:t>
            </w:r>
          </w:p>
        </w:tc>
      </w:tr>
      <w:tr w:rsidR="00BF65D1" w14:paraId="44AB8045" w14:textId="77777777" w:rsidTr="003D6558">
        <w:tc>
          <w:tcPr>
            <w:tcW w:w="1458" w:type="dxa"/>
            <w:shd w:val="clear" w:color="auto" w:fill="EAF1DD" w:themeFill="accent3" w:themeFillTint="33"/>
          </w:tcPr>
          <w:p w14:paraId="3359D7F3" w14:textId="77777777" w:rsidR="0094370A" w:rsidRPr="007D7654" w:rsidRDefault="004E672B" w:rsidP="003D6558">
            <w:pPr>
              <w:rPr>
                <w:szCs w:val="24"/>
              </w:rPr>
            </w:pPr>
            <w:r w:rsidRPr="00120F39">
              <w:rPr>
                <w:szCs w:val="20"/>
              </w:rPr>
              <w:t>Task 4</w:t>
            </w:r>
          </w:p>
        </w:tc>
        <w:tc>
          <w:tcPr>
            <w:tcW w:w="1530" w:type="dxa"/>
          </w:tcPr>
          <w:p w14:paraId="18BE5B86" w14:textId="77777777" w:rsidR="0094370A" w:rsidRPr="007D7654" w:rsidRDefault="004E672B" w:rsidP="003D6558">
            <w:pPr>
              <w:tabs>
                <w:tab w:val="left" w:pos="1129"/>
              </w:tabs>
              <w:ind w:right="185"/>
              <w:jc w:val="right"/>
              <w:rPr>
                <w:szCs w:val="24"/>
              </w:rPr>
            </w:pPr>
            <w:r w:rsidRPr="00120F39">
              <w:rPr>
                <w:szCs w:val="20"/>
              </w:rPr>
              <w:t>$100,000</w:t>
            </w:r>
          </w:p>
        </w:tc>
        <w:tc>
          <w:tcPr>
            <w:tcW w:w="1530" w:type="dxa"/>
          </w:tcPr>
          <w:p w14:paraId="59C9D9C7" w14:textId="77777777" w:rsidR="0094370A" w:rsidRPr="007D7654" w:rsidRDefault="004E672B" w:rsidP="003D6558">
            <w:pPr>
              <w:jc w:val="center"/>
              <w:rPr>
                <w:szCs w:val="24"/>
              </w:rPr>
            </w:pPr>
            <w:r w:rsidRPr="00120F39">
              <w:rPr>
                <w:szCs w:val="20"/>
              </w:rPr>
              <w:t>100%</w:t>
            </w:r>
          </w:p>
        </w:tc>
        <w:tc>
          <w:tcPr>
            <w:tcW w:w="1620" w:type="dxa"/>
          </w:tcPr>
          <w:p w14:paraId="2FB486AE" w14:textId="77777777" w:rsidR="0094370A" w:rsidRPr="007D7654" w:rsidRDefault="004E672B" w:rsidP="003D6558">
            <w:pPr>
              <w:ind w:right="185"/>
              <w:jc w:val="right"/>
              <w:rPr>
                <w:szCs w:val="24"/>
              </w:rPr>
            </w:pPr>
            <w:r w:rsidRPr="00120F39">
              <w:rPr>
                <w:szCs w:val="20"/>
              </w:rPr>
              <w:t>$0</w:t>
            </w:r>
          </w:p>
        </w:tc>
        <w:tc>
          <w:tcPr>
            <w:tcW w:w="1710" w:type="dxa"/>
          </w:tcPr>
          <w:p w14:paraId="3B9F7D74" w14:textId="77777777" w:rsidR="0094370A" w:rsidRPr="007D7654" w:rsidRDefault="004E672B" w:rsidP="003D6558">
            <w:pPr>
              <w:jc w:val="center"/>
              <w:rPr>
                <w:szCs w:val="24"/>
              </w:rPr>
            </w:pPr>
            <w:r w:rsidRPr="00120F39">
              <w:rPr>
                <w:szCs w:val="20"/>
              </w:rPr>
              <w:t>0%</w:t>
            </w:r>
          </w:p>
        </w:tc>
        <w:tc>
          <w:tcPr>
            <w:tcW w:w="1512" w:type="dxa"/>
          </w:tcPr>
          <w:p w14:paraId="709CA67A" w14:textId="77777777" w:rsidR="0094370A" w:rsidRPr="007D7654" w:rsidRDefault="004E672B" w:rsidP="003D6558">
            <w:pPr>
              <w:ind w:right="167"/>
              <w:jc w:val="right"/>
              <w:rPr>
                <w:szCs w:val="24"/>
              </w:rPr>
            </w:pPr>
            <w:r w:rsidRPr="00120F39">
              <w:rPr>
                <w:szCs w:val="20"/>
              </w:rPr>
              <w:t>$100,000</w:t>
            </w:r>
          </w:p>
        </w:tc>
      </w:tr>
      <w:tr w:rsidR="00BF65D1" w14:paraId="7DF4F0CB" w14:textId="77777777" w:rsidTr="003D6558">
        <w:tc>
          <w:tcPr>
            <w:tcW w:w="1458" w:type="dxa"/>
            <w:shd w:val="clear" w:color="auto" w:fill="EAF1DD" w:themeFill="accent3" w:themeFillTint="33"/>
          </w:tcPr>
          <w:p w14:paraId="0264AAEA" w14:textId="77777777" w:rsidR="0094370A" w:rsidRPr="007D7654" w:rsidRDefault="004E672B" w:rsidP="003D6558">
            <w:pPr>
              <w:rPr>
                <w:szCs w:val="24"/>
              </w:rPr>
            </w:pPr>
            <w:r w:rsidRPr="00120F39">
              <w:rPr>
                <w:szCs w:val="20"/>
              </w:rPr>
              <w:t>Totals</w:t>
            </w:r>
          </w:p>
        </w:tc>
        <w:tc>
          <w:tcPr>
            <w:tcW w:w="1530" w:type="dxa"/>
          </w:tcPr>
          <w:p w14:paraId="6AFD904C" w14:textId="77777777" w:rsidR="0094370A" w:rsidRPr="007D7654" w:rsidRDefault="004E672B" w:rsidP="003D6558">
            <w:pPr>
              <w:tabs>
                <w:tab w:val="left" w:pos="1129"/>
              </w:tabs>
              <w:ind w:right="185"/>
              <w:jc w:val="right"/>
              <w:rPr>
                <w:szCs w:val="24"/>
              </w:rPr>
            </w:pPr>
            <w:r w:rsidRPr="00120F39">
              <w:rPr>
                <w:szCs w:val="20"/>
              </w:rPr>
              <w:t>$2,000,000</w:t>
            </w:r>
          </w:p>
        </w:tc>
        <w:tc>
          <w:tcPr>
            <w:tcW w:w="1530" w:type="dxa"/>
          </w:tcPr>
          <w:p w14:paraId="1C95A3C8" w14:textId="77777777" w:rsidR="0094370A" w:rsidRPr="007D7654" w:rsidRDefault="0094370A" w:rsidP="003D6558">
            <w:pPr>
              <w:jc w:val="center"/>
              <w:rPr>
                <w:szCs w:val="24"/>
              </w:rPr>
            </w:pPr>
          </w:p>
        </w:tc>
        <w:tc>
          <w:tcPr>
            <w:tcW w:w="1620" w:type="dxa"/>
          </w:tcPr>
          <w:p w14:paraId="33B8F6EA" w14:textId="77777777" w:rsidR="0094370A" w:rsidRPr="007D7654" w:rsidRDefault="004E672B" w:rsidP="003D6558">
            <w:pPr>
              <w:ind w:right="185"/>
              <w:jc w:val="right"/>
              <w:rPr>
                <w:szCs w:val="24"/>
              </w:rPr>
            </w:pPr>
            <w:r w:rsidRPr="00120F39">
              <w:rPr>
                <w:szCs w:val="20"/>
              </w:rPr>
              <w:t>$775,000</w:t>
            </w:r>
          </w:p>
        </w:tc>
        <w:tc>
          <w:tcPr>
            <w:tcW w:w="1710" w:type="dxa"/>
          </w:tcPr>
          <w:p w14:paraId="59E53EE1" w14:textId="77777777" w:rsidR="0094370A" w:rsidRPr="007D7654" w:rsidRDefault="0094370A" w:rsidP="003D6558">
            <w:pPr>
              <w:jc w:val="center"/>
              <w:rPr>
                <w:szCs w:val="24"/>
              </w:rPr>
            </w:pPr>
          </w:p>
        </w:tc>
        <w:tc>
          <w:tcPr>
            <w:tcW w:w="1512" w:type="dxa"/>
          </w:tcPr>
          <w:p w14:paraId="4AAA2FB4" w14:textId="77777777" w:rsidR="0094370A" w:rsidRPr="007D7654" w:rsidRDefault="004E672B" w:rsidP="003D6558">
            <w:pPr>
              <w:ind w:right="167"/>
              <w:jc w:val="right"/>
              <w:rPr>
                <w:szCs w:val="24"/>
              </w:rPr>
            </w:pPr>
            <w:r w:rsidRPr="00120F39">
              <w:rPr>
                <w:szCs w:val="20"/>
              </w:rPr>
              <w:t>$2,775,000</w:t>
            </w:r>
          </w:p>
        </w:tc>
      </w:tr>
    </w:tbl>
    <w:p w14:paraId="38C684DF" w14:textId="77777777" w:rsidR="0094370A" w:rsidRPr="007D7654" w:rsidRDefault="0094370A" w:rsidP="0094370A">
      <w:pPr>
        <w:rPr>
          <w:szCs w:val="24"/>
        </w:rPr>
      </w:pPr>
    </w:p>
    <w:p w14:paraId="32E432DC" w14:textId="77777777" w:rsidR="0094370A" w:rsidRPr="007D7654" w:rsidRDefault="004E672B" w:rsidP="0094370A">
      <w:pPr>
        <w:rPr>
          <w:szCs w:val="24"/>
        </w:rPr>
      </w:pPr>
      <w:r w:rsidRPr="00120F39">
        <w:t>Blended Cost Share %</w:t>
      </w:r>
    </w:p>
    <w:p w14:paraId="777FDF36" w14:textId="77777777" w:rsidR="0094370A" w:rsidRPr="007D7654" w:rsidRDefault="004E672B" w:rsidP="0094370A">
      <w:pPr>
        <w:rPr>
          <w:szCs w:val="24"/>
        </w:rPr>
      </w:pPr>
      <w:r w:rsidRPr="00120F39">
        <w:t>Non-federal share ($775,000) divided by Total Project Cost ($2,775,000) = 27.9% (</w:t>
      </w:r>
      <w:r>
        <w:t>n</w:t>
      </w:r>
      <w:r w:rsidRPr="00120F39">
        <w:t>on-federal)</w:t>
      </w:r>
    </w:p>
    <w:p w14:paraId="338F3516" w14:textId="7FA30AC8" w:rsidR="0094370A" w:rsidRPr="007D7654" w:rsidRDefault="004E672B" w:rsidP="0094370A">
      <w:pPr>
        <w:rPr>
          <w:szCs w:val="24"/>
        </w:rPr>
        <w:sectPr w:rsidR="0094370A" w:rsidRPr="007D7654" w:rsidSect="00A53BBC">
          <w:pgSz w:w="12240" w:h="15840" w:code="1"/>
          <w:pgMar w:top="1440" w:right="1440" w:bottom="1584" w:left="1440" w:header="720" w:footer="720" w:gutter="0"/>
          <w:cols w:space="720"/>
          <w:docGrid w:linePitch="360"/>
        </w:sectPr>
      </w:pPr>
      <w:r w:rsidRPr="00120F39">
        <w:t>Federal share ($2,000,000) divided by Total Project Cost ($2,</w:t>
      </w:r>
      <w:r w:rsidRPr="009061D6">
        <w:t>775,000) = 72.1% (</w:t>
      </w:r>
      <w:r>
        <w:t>f</w:t>
      </w:r>
      <w:r w:rsidRPr="009061D6">
        <w:t>ederal)</w:t>
      </w:r>
    </w:p>
    <w:p w14:paraId="46C5B555" w14:textId="77777777" w:rsidR="001871BD" w:rsidRPr="001871BD" w:rsidRDefault="001871BD" w:rsidP="001B4E3C">
      <w:pPr>
        <w:pStyle w:val="AppendixHeading"/>
        <w:outlineLvl w:val="0"/>
      </w:pPr>
      <w:bookmarkStart w:id="700" w:name="A._Waiver_for_Foreign_Entity_Participati"/>
      <w:bookmarkStart w:id="701" w:name="_bookmark167"/>
      <w:bookmarkStart w:id="702" w:name="_Toc103174942"/>
      <w:bookmarkStart w:id="703" w:name="_Toc109921795"/>
      <w:bookmarkStart w:id="704" w:name="_Toc427134259"/>
      <w:bookmarkStart w:id="705" w:name="_Toc517798962"/>
      <w:bookmarkStart w:id="706" w:name="_Toc519602290"/>
      <w:bookmarkStart w:id="707" w:name="_Toc519602462"/>
      <w:bookmarkStart w:id="708" w:name="_Hlk102493970"/>
      <w:bookmarkEnd w:id="700"/>
      <w:bookmarkEnd w:id="701"/>
      <w:r w:rsidRPr="001871BD">
        <w:t>Appendix C – Waiver Requests For:</w:t>
      </w:r>
      <w:bookmarkEnd w:id="702"/>
      <w:bookmarkEnd w:id="703"/>
      <w:r w:rsidRPr="001871BD">
        <w:t xml:space="preserve"> </w:t>
      </w:r>
    </w:p>
    <w:p w14:paraId="29CA5625" w14:textId="77777777" w:rsidR="001871BD" w:rsidRPr="001871BD" w:rsidRDefault="001871BD" w:rsidP="00AA4320">
      <w:pPr>
        <w:jc w:val="center"/>
        <w:rPr>
          <w:rFonts w:ascii="Calibri" w:eastAsiaTheme="minorHAnsi" w:hAnsi="Calibri" w:cstheme="minorBidi"/>
          <w:b/>
          <w:smallCaps/>
          <w:sz w:val="36"/>
          <w:szCs w:val="40"/>
        </w:rPr>
      </w:pPr>
      <w:bookmarkStart w:id="709" w:name="_Toc103174943"/>
      <w:r w:rsidRPr="001871BD">
        <w:rPr>
          <w:rFonts w:ascii="Calibri" w:eastAsiaTheme="minorHAnsi" w:hAnsi="Calibri" w:cstheme="minorBidi"/>
          <w:b/>
          <w:smallCaps/>
          <w:sz w:val="36"/>
          <w:szCs w:val="40"/>
        </w:rPr>
        <w:t>1. Foreign Entity Participation; and</w:t>
      </w:r>
      <w:bookmarkEnd w:id="709"/>
    </w:p>
    <w:p w14:paraId="5257A23B" w14:textId="54722F3B" w:rsidR="001871BD" w:rsidRPr="001871BD" w:rsidRDefault="001871BD" w:rsidP="00AA4320">
      <w:pPr>
        <w:jc w:val="center"/>
        <w:rPr>
          <w:rFonts w:ascii="Calibri" w:eastAsiaTheme="minorHAnsi" w:hAnsi="Calibri" w:cstheme="minorBidi"/>
          <w:b/>
          <w:smallCaps/>
          <w:sz w:val="36"/>
          <w:szCs w:val="40"/>
        </w:rPr>
      </w:pPr>
      <w:bookmarkStart w:id="710" w:name="_Toc103174944"/>
      <w:r w:rsidRPr="001871BD">
        <w:rPr>
          <w:rFonts w:ascii="Calibri" w:eastAsiaTheme="minorHAnsi" w:hAnsi="Calibri" w:cstheme="minorBidi"/>
          <w:b/>
          <w:smallCaps/>
          <w:sz w:val="36"/>
          <w:szCs w:val="40"/>
        </w:rPr>
        <w:t xml:space="preserve">2. </w:t>
      </w:r>
      <w:bookmarkEnd w:id="704"/>
      <w:bookmarkEnd w:id="705"/>
      <w:bookmarkEnd w:id="706"/>
      <w:bookmarkEnd w:id="707"/>
      <w:r w:rsidRPr="001871BD">
        <w:rPr>
          <w:rFonts w:ascii="Calibri" w:eastAsiaTheme="minorHAnsi" w:hAnsi="Calibri" w:cstheme="minorBidi"/>
          <w:b/>
          <w:smallCaps/>
          <w:sz w:val="36"/>
          <w:szCs w:val="40"/>
        </w:rPr>
        <w:t>Foreign Work</w:t>
      </w:r>
      <w:bookmarkEnd w:id="710"/>
    </w:p>
    <w:p w14:paraId="06F794A4" w14:textId="77777777" w:rsidR="001871BD" w:rsidRPr="00AA4320" w:rsidRDefault="001871BD" w:rsidP="00AA4320"/>
    <w:p w14:paraId="0CC6CD51" w14:textId="77777777" w:rsidR="001871BD" w:rsidRPr="001871BD" w:rsidRDefault="001871BD" w:rsidP="00F836F4">
      <w:pPr>
        <w:numPr>
          <w:ilvl w:val="0"/>
          <w:numId w:val="107"/>
        </w:numPr>
        <w:ind w:hanging="720"/>
        <w:contextualSpacing/>
        <w:jc w:val="center"/>
      </w:pPr>
      <w:r w:rsidRPr="001871BD">
        <w:rPr>
          <w:b/>
          <w:sz w:val="28"/>
          <w:szCs w:val="28"/>
        </w:rPr>
        <w:t xml:space="preserve">Waiver for Foreign Entity Participation </w:t>
      </w:r>
    </w:p>
    <w:p w14:paraId="41BF55F9" w14:textId="77777777" w:rsidR="001871BD" w:rsidRPr="001871BD" w:rsidRDefault="001871BD" w:rsidP="001871BD">
      <w:pPr>
        <w:ind w:left="720"/>
        <w:contextualSpacing/>
      </w:pPr>
      <w:r w:rsidRPr="001871BD">
        <w:t xml:space="preserve">For projects selected under this FOA, all recipients and subrecipients must be organized, </w:t>
      </w:r>
      <w:proofErr w:type="gramStart"/>
      <w:r w:rsidRPr="001871BD">
        <w:t>chartered</w:t>
      </w:r>
      <w:proofErr w:type="gramEnd"/>
      <w:r w:rsidRPr="001871BD">
        <w:t xml:space="preserve"> or incorporated (or otherwise formed) under the laws of a state or territory of the United States; have majority domestic ownership and control; and have a physical location for business operations in the United States. To request a waiver of this requirement, an applicant must submit an explicit waiver request in the Full Application. </w:t>
      </w:r>
    </w:p>
    <w:p w14:paraId="6451F81D" w14:textId="77777777" w:rsidR="001871BD" w:rsidRPr="001871BD" w:rsidRDefault="001871BD" w:rsidP="001871BD">
      <w:pPr>
        <w:ind w:left="720"/>
      </w:pPr>
    </w:p>
    <w:p w14:paraId="37A85564" w14:textId="77777777" w:rsidR="001871BD" w:rsidRPr="001871BD" w:rsidRDefault="001871BD" w:rsidP="001871BD">
      <w:pPr>
        <w:ind w:left="720"/>
        <w:jc w:val="center"/>
      </w:pPr>
      <w:r w:rsidRPr="001871BD">
        <w:rPr>
          <w:b/>
          <w:bCs/>
        </w:rPr>
        <w:t>Waiver Criteria</w:t>
      </w:r>
    </w:p>
    <w:p w14:paraId="4FE0A389" w14:textId="77777777" w:rsidR="001871BD" w:rsidRPr="001871BD" w:rsidRDefault="001871BD" w:rsidP="001871BD">
      <w:pPr>
        <w:ind w:left="720"/>
        <w:rPr>
          <w:sz w:val="23"/>
          <w:szCs w:val="23"/>
        </w:rPr>
      </w:pPr>
      <w:r w:rsidRPr="001871BD">
        <w:t xml:space="preserve">Foreign </w:t>
      </w:r>
      <w:r w:rsidRPr="001871BD">
        <w:rPr>
          <w:sz w:val="23"/>
          <w:szCs w:val="23"/>
        </w:rPr>
        <w:t xml:space="preserve">entities seeking to participate in a project funded under this FOA must demonstrate to the satisfaction of DOE that: </w:t>
      </w:r>
    </w:p>
    <w:p w14:paraId="77EEA02C" w14:textId="77777777" w:rsidR="001871BD" w:rsidRPr="001871BD" w:rsidRDefault="001871BD" w:rsidP="001871BD">
      <w:pPr>
        <w:ind w:left="720"/>
        <w:rPr>
          <w:sz w:val="23"/>
          <w:szCs w:val="23"/>
        </w:rPr>
      </w:pPr>
    </w:p>
    <w:p w14:paraId="1883BD49" w14:textId="77777777" w:rsidR="001871BD" w:rsidRPr="001871BD" w:rsidRDefault="001871BD" w:rsidP="00F836F4">
      <w:pPr>
        <w:numPr>
          <w:ilvl w:val="0"/>
          <w:numId w:val="108"/>
        </w:numPr>
        <w:contextualSpacing/>
      </w:pPr>
      <w:proofErr w:type="gramStart"/>
      <w:r w:rsidRPr="001871BD">
        <w:rPr>
          <w:sz w:val="23"/>
          <w:szCs w:val="23"/>
        </w:rPr>
        <w:t xml:space="preserve">Its </w:t>
      </w:r>
      <w:r w:rsidRPr="001871BD">
        <w:rPr>
          <w:szCs w:val="24"/>
        </w:rPr>
        <w:t xml:space="preserve"> participation</w:t>
      </w:r>
      <w:proofErr w:type="gramEnd"/>
      <w:r w:rsidRPr="001871BD">
        <w:rPr>
          <w:szCs w:val="24"/>
        </w:rPr>
        <w:t xml:space="preserve"> is in the best interest of the U.S. industry and U.S. economic development; </w:t>
      </w:r>
    </w:p>
    <w:p w14:paraId="11015265" w14:textId="77777777" w:rsidR="001871BD" w:rsidRPr="001871BD" w:rsidRDefault="001871BD" w:rsidP="00F836F4">
      <w:pPr>
        <w:numPr>
          <w:ilvl w:val="0"/>
          <w:numId w:val="108"/>
        </w:numPr>
        <w:contextualSpacing/>
      </w:pPr>
      <w:r w:rsidRPr="001871BD">
        <w:rPr>
          <w:szCs w:val="24"/>
        </w:rPr>
        <w:t xml:space="preserve">The project team has appropriate measures in place to control sensitive information and protect against unauthorized transfer of scientific and technical </w:t>
      </w:r>
      <w:proofErr w:type="gramStart"/>
      <w:r w:rsidRPr="001871BD">
        <w:rPr>
          <w:szCs w:val="24"/>
        </w:rPr>
        <w:t>information;</w:t>
      </w:r>
      <w:proofErr w:type="gramEnd"/>
    </w:p>
    <w:p w14:paraId="7AC29AFE" w14:textId="77777777" w:rsidR="001871BD" w:rsidRPr="001871BD" w:rsidRDefault="001871BD" w:rsidP="00F836F4">
      <w:pPr>
        <w:numPr>
          <w:ilvl w:val="0"/>
          <w:numId w:val="108"/>
        </w:numPr>
        <w:contextualSpacing/>
      </w:pPr>
      <w:r w:rsidRPr="001871BD">
        <w:rPr>
          <w:rFonts w:ascii="Calibri" w:hAnsi="Calibri" w:cs="Calibri"/>
          <w:color w:val="000000"/>
          <w:szCs w:val="24"/>
        </w:rPr>
        <w:t xml:space="preserve">Adequate protocols exist between the U.S. subsidiary and its foreign parent organization to comply with export control laws and any obligations to protect proprietary information from the foreign parent </w:t>
      </w:r>
      <w:proofErr w:type="gramStart"/>
      <w:r w:rsidRPr="001871BD">
        <w:rPr>
          <w:rFonts w:ascii="Calibri" w:hAnsi="Calibri" w:cs="Calibri"/>
          <w:color w:val="000000"/>
          <w:szCs w:val="24"/>
        </w:rPr>
        <w:t>organization;</w:t>
      </w:r>
      <w:proofErr w:type="gramEnd"/>
    </w:p>
    <w:p w14:paraId="16C10C38" w14:textId="77777777" w:rsidR="001871BD" w:rsidRPr="001871BD" w:rsidRDefault="001871BD" w:rsidP="00F836F4">
      <w:pPr>
        <w:numPr>
          <w:ilvl w:val="0"/>
          <w:numId w:val="108"/>
        </w:numPr>
        <w:contextualSpacing/>
      </w:pPr>
      <w:r w:rsidRPr="001871BD">
        <w:rPr>
          <w:rFonts w:ascii="Calibri" w:hAnsi="Calibri" w:cs="Calibri"/>
          <w:color w:val="000000"/>
          <w:szCs w:val="24"/>
        </w:rPr>
        <w:t>The work is conducted within the U.S. and the entity acknowledges and demonstrates that it has the intent and ability to comply with the U.S. Manufacturing Plan; and</w:t>
      </w:r>
    </w:p>
    <w:p w14:paraId="06FE8342" w14:textId="77777777" w:rsidR="001871BD" w:rsidRPr="001871BD" w:rsidRDefault="001871BD" w:rsidP="00F836F4">
      <w:pPr>
        <w:numPr>
          <w:ilvl w:val="0"/>
          <w:numId w:val="108"/>
        </w:numPr>
        <w:contextualSpacing/>
      </w:pPr>
      <w:r w:rsidRPr="001871BD">
        <w:rPr>
          <w:szCs w:val="24"/>
        </w:rPr>
        <w:t>The foreign entity will satisfy other conditions that may be deemed necessary by DOE to protect U.S. government interests.</w:t>
      </w:r>
    </w:p>
    <w:p w14:paraId="6CFE3651" w14:textId="77777777" w:rsidR="001871BD" w:rsidRPr="001871BD" w:rsidRDefault="001871BD" w:rsidP="001871BD">
      <w:pPr>
        <w:ind w:left="720"/>
      </w:pPr>
    </w:p>
    <w:p w14:paraId="6F76BC3B" w14:textId="77777777" w:rsidR="001871BD" w:rsidRPr="001871BD" w:rsidRDefault="001871BD" w:rsidP="001871BD">
      <w:pPr>
        <w:autoSpaceDE w:val="0"/>
        <w:autoSpaceDN w:val="0"/>
        <w:adjustRightInd w:val="0"/>
        <w:jc w:val="center"/>
        <w:rPr>
          <w:rFonts w:ascii="Calibri" w:hAnsi="Calibri" w:cs="Calibri"/>
          <w:color w:val="000000"/>
          <w:szCs w:val="24"/>
        </w:rPr>
      </w:pPr>
      <w:r w:rsidRPr="001871BD">
        <w:rPr>
          <w:rFonts w:ascii="Calibri" w:hAnsi="Calibri" w:cs="Calibri"/>
          <w:b/>
          <w:bCs/>
          <w:color w:val="000000"/>
          <w:szCs w:val="24"/>
        </w:rPr>
        <w:t>Content for Waiver Request</w:t>
      </w:r>
    </w:p>
    <w:p w14:paraId="3920188C" w14:textId="77777777" w:rsidR="001871BD" w:rsidRPr="001871BD" w:rsidRDefault="001871BD" w:rsidP="001871BD">
      <w:pPr>
        <w:ind w:left="720"/>
      </w:pPr>
      <w:r w:rsidRPr="001871BD">
        <w:t>A Foreign Entity waiver request must include the following:</w:t>
      </w:r>
    </w:p>
    <w:p w14:paraId="1F5A891B" w14:textId="77777777" w:rsidR="001871BD" w:rsidRPr="001871BD" w:rsidRDefault="001871BD" w:rsidP="001871BD"/>
    <w:p w14:paraId="6F4A86E7" w14:textId="77777777" w:rsidR="001871BD" w:rsidRPr="001871BD" w:rsidRDefault="001871BD" w:rsidP="00F836F4">
      <w:pPr>
        <w:numPr>
          <w:ilvl w:val="0"/>
          <w:numId w:val="110"/>
        </w:numPr>
        <w:contextualSpacing/>
        <w:rPr>
          <w:szCs w:val="24"/>
        </w:rPr>
      </w:pPr>
      <w:r w:rsidRPr="001871BD">
        <w:t>Information</w:t>
      </w:r>
      <w:r w:rsidRPr="001871BD">
        <w:rPr>
          <w:rFonts w:ascii="Calibri" w:hAnsi="Calibri" w:cs="Calibri"/>
          <w:color w:val="000000"/>
          <w:szCs w:val="24"/>
        </w:rPr>
        <w:t xml:space="preserve"> about the entity: name, point of contact, and proposed type of </w:t>
      </w:r>
      <w:r w:rsidRPr="001871BD">
        <w:rPr>
          <w:szCs w:val="24"/>
        </w:rPr>
        <w:t xml:space="preserve">involvement in the </w:t>
      </w:r>
      <w:proofErr w:type="gramStart"/>
      <w:r w:rsidRPr="001871BD">
        <w:rPr>
          <w:szCs w:val="24"/>
        </w:rPr>
        <w:t>project;</w:t>
      </w:r>
      <w:proofErr w:type="gramEnd"/>
    </w:p>
    <w:p w14:paraId="192651AB" w14:textId="77777777" w:rsidR="001871BD" w:rsidRPr="001871BD" w:rsidRDefault="001871BD" w:rsidP="00F836F4">
      <w:pPr>
        <w:numPr>
          <w:ilvl w:val="0"/>
          <w:numId w:val="110"/>
        </w:numPr>
        <w:contextualSpacing/>
        <w:rPr>
          <w:szCs w:val="24"/>
        </w:rPr>
      </w:pPr>
      <w:r w:rsidRPr="001871BD">
        <w:rPr>
          <w:rFonts w:ascii="Calibri" w:hAnsi="Calibri" w:cs="Calibri"/>
          <w:color w:val="000000"/>
          <w:szCs w:val="24"/>
        </w:rPr>
        <w:t xml:space="preserve">Country of incorporation, the extent of the ownership/level control by foreign entities, whether the entity is state owned or controlled, a summary of the ownership breakdown of the foreign entity and the percentage of ownership/control by foreign entities, foreign shareholders, foreign state or foreign </w:t>
      </w:r>
      <w:proofErr w:type="gramStart"/>
      <w:r w:rsidRPr="001871BD">
        <w:rPr>
          <w:rFonts w:ascii="Calibri" w:hAnsi="Calibri" w:cs="Calibri"/>
          <w:color w:val="000000"/>
          <w:szCs w:val="24"/>
        </w:rPr>
        <w:t>individuals;</w:t>
      </w:r>
      <w:proofErr w:type="gramEnd"/>
      <w:r w:rsidRPr="001871BD">
        <w:rPr>
          <w:rFonts w:ascii="Calibri" w:hAnsi="Calibri" w:cs="Calibri"/>
          <w:color w:val="000000"/>
          <w:szCs w:val="24"/>
        </w:rPr>
        <w:t xml:space="preserve"> </w:t>
      </w:r>
    </w:p>
    <w:p w14:paraId="6E17C970" w14:textId="77777777" w:rsidR="001871BD" w:rsidRPr="001871BD" w:rsidRDefault="001871BD" w:rsidP="00F836F4">
      <w:pPr>
        <w:numPr>
          <w:ilvl w:val="0"/>
          <w:numId w:val="110"/>
        </w:numPr>
        <w:contextualSpacing/>
      </w:pPr>
      <w:r w:rsidRPr="001871BD">
        <w:t>The</w:t>
      </w:r>
      <w:r w:rsidRPr="001871BD">
        <w:rPr>
          <w:szCs w:val="24"/>
        </w:rPr>
        <w:t xml:space="preserve"> rationale for proposing a foreign entity</w:t>
      </w:r>
      <w:r w:rsidRPr="001871BD">
        <w:t xml:space="preserve"> participate (must address criteria above</w:t>
      </w:r>
      <w:proofErr w:type="gramStart"/>
      <w:r w:rsidRPr="001871BD">
        <w:t>);</w:t>
      </w:r>
      <w:proofErr w:type="gramEnd"/>
    </w:p>
    <w:p w14:paraId="2197AFFF" w14:textId="77777777" w:rsidR="001871BD" w:rsidRPr="001871BD" w:rsidRDefault="001871BD" w:rsidP="00F836F4">
      <w:pPr>
        <w:numPr>
          <w:ilvl w:val="0"/>
          <w:numId w:val="110"/>
        </w:numPr>
        <w:contextualSpacing/>
      </w:pPr>
      <w:r w:rsidRPr="001871BD">
        <w:t xml:space="preserve">A description of the project’s anticipated contributions to the U.S. </w:t>
      </w:r>
      <w:proofErr w:type="gramStart"/>
      <w:r w:rsidRPr="001871BD">
        <w:t>economy;</w:t>
      </w:r>
      <w:proofErr w:type="gramEnd"/>
    </w:p>
    <w:p w14:paraId="5347891A" w14:textId="77777777" w:rsidR="001871BD" w:rsidRPr="001871BD" w:rsidRDefault="001871BD" w:rsidP="00F836F4">
      <w:pPr>
        <w:numPr>
          <w:ilvl w:val="2"/>
          <w:numId w:val="106"/>
        </w:numPr>
        <w:contextualSpacing/>
      </w:pPr>
      <w:r w:rsidRPr="001871BD">
        <w:t xml:space="preserve">How the project will benefit U.S. research, development and manufacturing, including contributions to employment in the U.S. and growth in new markets and jobs in the </w:t>
      </w:r>
      <w:proofErr w:type="gramStart"/>
      <w:r w:rsidRPr="001871BD">
        <w:t>U.S.;</w:t>
      </w:r>
      <w:proofErr w:type="gramEnd"/>
    </w:p>
    <w:p w14:paraId="7A637E83" w14:textId="77777777" w:rsidR="001871BD" w:rsidRPr="001871BD" w:rsidRDefault="001871BD" w:rsidP="00F836F4">
      <w:pPr>
        <w:numPr>
          <w:ilvl w:val="2"/>
          <w:numId w:val="106"/>
        </w:numPr>
        <w:contextualSpacing/>
      </w:pPr>
      <w:r w:rsidRPr="001871BD">
        <w:t xml:space="preserve">How the project will promote domestic American manufacturing of products and/or </w:t>
      </w:r>
      <w:proofErr w:type="gramStart"/>
      <w:r w:rsidRPr="001871BD">
        <w:t>services;</w:t>
      </w:r>
      <w:proofErr w:type="gramEnd"/>
    </w:p>
    <w:p w14:paraId="55F96026" w14:textId="77777777" w:rsidR="001871BD" w:rsidRPr="001871BD" w:rsidRDefault="001871BD" w:rsidP="00F836F4">
      <w:pPr>
        <w:numPr>
          <w:ilvl w:val="0"/>
          <w:numId w:val="110"/>
        </w:numPr>
        <w:contextualSpacing/>
      </w:pPr>
      <w:r w:rsidRPr="001871BD">
        <w:t xml:space="preserve">A description of how the foreign entity’s participation is essential to the </w:t>
      </w:r>
      <w:proofErr w:type="gramStart"/>
      <w:r w:rsidRPr="001871BD">
        <w:t>project;</w:t>
      </w:r>
      <w:proofErr w:type="gramEnd"/>
    </w:p>
    <w:p w14:paraId="5AEA75AF" w14:textId="77777777" w:rsidR="001871BD" w:rsidRPr="001871BD" w:rsidRDefault="001871BD" w:rsidP="00F836F4">
      <w:pPr>
        <w:numPr>
          <w:ilvl w:val="0"/>
          <w:numId w:val="110"/>
        </w:numPr>
        <w:contextualSpacing/>
      </w:pPr>
      <w:r w:rsidRPr="001871BD">
        <w:t>A description of the likelihood of Intellectual Property (IP) being created from the work and the treatment of any such IP; and</w:t>
      </w:r>
    </w:p>
    <w:p w14:paraId="6FB19948" w14:textId="77777777" w:rsidR="001871BD" w:rsidRPr="001871BD" w:rsidRDefault="001871BD" w:rsidP="00F836F4">
      <w:pPr>
        <w:numPr>
          <w:ilvl w:val="0"/>
          <w:numId w:val="110"/>
        </w:numPr>
        <w:contextualSpacing/>
      </w:pPr>
      <w:r w:rsidRPr="001871BD">
        <w:t>Countries where the work will be performed (Note: if any work is proposed to be conducted outside the U.S., the applicant must also complete a separate request foreign work waiver).</w:t>
      </w:r>
    </w:p>
    <w:p w14:paraId="0B524FC7" w14:textId="77777777" w:rsidR="001871BD" w:rsidRPr="001871BD" w:rsidRDefault="001871BD" w:rsidP="001871BD"/>
    <w:p w14:paraId="6FCB3911" w14:textId="77777777" w:rsidR="001871BD" w:rsidRPr="001871BD" w:rsidRDefault="001871BD" w:rsidP="001871BD">
      <w:pPr>
        <w:autoSpaceDE w:val="0"/>
        <w:autoSpaceDN w:val="0"/>
        <w:adjustRightInd w:val="0"/>
        <w:ind w:left="720"/>
        <w:rPr>
          <w:rFonts w:ascii="Calibri" w:hAnsi="Calibri" w:cs="Calibri"/>
          <w:color w:val="000000"/>
          <w:szCs w:val="24"/>
        </w:rPr>
      </w:pPr>
      <w:r w:rsidRPr="001871BD">
        <w:rPr>
          <w:rFonts w:ascii="Calibri" w:hAnsi="Calibri" w:cs="Calibri"/>
          <w:color w:val="000000"/>
          <w:szCs w:val="24"/>
        </w:rPr>
        <w:t xml:space="preserve">DOE may also require: </w:t>
      </w:r>
    </w:p>
    <w:p w14:paraId="62592EB8" w14:textId="77777777" w:rsidR="001871BD" w:rsidRPr="001871BD" w:rsidRDefault="001871BD" w:rsidP="00F836F4">
      <w:pPr>
        <w:numPr>
          <w:ilvl w:val="0"/>
          <w:numId w:val="109"/>
        </w:numPr>
        <w:autoSpaceDE w:val="0"/>
        <w:autoSpaceDN w:val="0"/>
        <w:adjustRightInd w:val="0"/>
        <w:ind w:left="1530"/>
        <w:contextualSpacing/>
        <w:rPr>
          <w:rFonts w:ascii="Calibri" w:hAnsi="Calibri" w:cs="Calibri"/>
          <w:color w:val="000000"/>
          <w:szCs w:val="24"/>
        </w:rPr>
      </w:pPr>
      <w:r w:rsidRPr="001871BD">
        <w:rPr>
          <w:rFonts w:ascii="Calibri" w:hAnsi="Calibri" w:cs="Calibri"/>
          <w:color w:val="000000"/>
          <w:szCs w:val="24"/>
        </w:rPr>
        <w:t xml:space="preserve">A risk assessment with respect to IP and data protection protocols that includes the export control risk based on the data protection protocols, the technology being developed and the foreign entity and country. These submissions could be prepared by the project lead, but the prime recipient must make a representation to DOE as to whether it believes the data protection protocols are adequate and make a representation of the risk assessment – high, </w:t>
      </w:r>
      <w:proofErr w:type="gramStart"/>
      <w:r w:rsidRPr="001871BD">
        <w:rPr>
          <w:rFonts w:ascii="Calibri" w:hAnsi="Calibri" w:cs="Calibri"/>
          <w:color w:val="000000"/>
          <w:szCs w:val="24"/>
        </w:rPr>
        <w:t>medium</w:t>
      </w:r>
      <w:proofErr w:type="gramEnd"/>
      <w:r w:rsidRPr="001871BD">
        <w:rPr>
          <w:rFonts w:ascii="Calibri" w:hAnsi="Calibri" w:cs="Calibri"/>
          <w:color w:val="000000"/>
          <w:szCs w:val="24"/>
        </w:rPr>
        <w:t xml:space="preserve"> or low risk of data leakage to a foreign entity. </w:t>
      </w:r>
    </w:p>
    <w:p w14:paraId="12623844" w14:textId="77777777" w:rsidR="001871BD" w:rsidRPr="001871BD" w:rsidRDefault="001871BD" w:rsidP="00F836F4">
      <w:pPr>
        <w:numPr>
          <w:ilvl w:val="0"/>
          <w:numId w:val="109"/>
        </w:numPr>
        <w:autoSpaceDE w:val="0"/>
        <w:autoSpaceDN w:val="0"/>
        <w:adjustRightInd w:val="0"/>
        <w:ind w:left="1530"/>
        <w:contextualSpacing/>
        <w:rPr>
          <w:rFonts w:ascii="Calibri" w:hAnsi="Calibri" w:cs="Calibri"/>
          <w:color w:val="000000"/>
          <w:szCs w:val="24"/>
        </w:rPr>
      </w:pPr>
      <w:r w:rsidRPr="001871BD">
        <w:rPr>
          <w:rFonts w:ascii="Calibri" w:hAnsi="Calibri" w:cs="Calibri"/>
          <w:color w:val="000000"/>
          <w:szCs w:val="24"/>
        </w:rPr>
        <w:t xml:space="preserve">Additional language be added to any agreement or </w:t>
      </w:r>
      <w:proofErr w:type="spellStart"/>
      <w:r w:rsidRPr="001871BD">
        <w:rPr>
          <w:rFonts w:ascii="Calibri" w:hAnsi="Calibri" w:cs="Calibri"/>
          <w:color w:val="000000"/>
          <w:szCs w:val="24"/>
        </w:rPr>
        <w:t>subagreement</w:t>
      </w:r>
      <w:proofErr w:type="spellEnd"/>
      <w:r w:rsidRPr="001871BD">
        <w:rPr>
          <w:rFonts w:ascii="Calibri" w:hAnsi="Calibri" w:cs="Calibri"/>
          <w:color w:val="000000"/>
          <w:szCs w:val="24"/>
        </w:rPr>
        <w:t xml:space="preserve"> to protect IP, mitigate risk or other related purposes. </w:t>
      </w:r>
    </w:p>
    <w:p w14:paraId="5D154000" w14:textId="77777777" w:rsidR="001871BD" w:rsidRPr="001871BD" w:rsidRDefault="001871BD" w:rsidP="001871BD"/>
    <w:p w14:paraId="13451BCA" w14:textId="77777777" w:rsidR="001871BD" w:rsidRPr="001871BD" w:rsidRDefault="001871BD" w:rsidP="001871BD">
      <w:pPr>
        <w:ind w:left="720"/>
      </w:pPr>
      <w:r w:rsidRPr="001871BD">
        <w:t xml:space="preserve">DOE may require additional information before considering the waiver request. </w:t>
      </w:r>
    </w:p>
    <w:p w14:paraId="5D47DB6A" w14:textId="77777777" w:rsidR="001871BD" w:rsidRPr="001871BD" w:rsidRDefault="001871BD" w:rsidP="001871BD">
      <w:pPr>
        <w:ind w:left="720"/>
      </w:pPr>
    </w:p>
    <w:p w14:paraId="28B952D7" w14:textId="12F4F1EE" w:rsidR="001871BD" w:rsidRDefault="001871BD" w:rsidP="001871BD">
      <w:pPr>
        <w:ind w:left="720"/>
      </w:pPr>
      <w:r w:rsidRPr="001871BD">
        <w:t>The applicant does not have the right to appeal DOE’s decision concerning a waiver request.</w:t>
      </w:r>
    </w:p>
    <w:p w14:paraId="59F20503" w14:textId="77777777" w:rsidR="00563B4B" w:rsidRPr="001871BD" w:rsidRDefault="00563B4B" w:rsidP="001871BD">
      <w:pPr>
        <w:ind w:left="720"/>
      </w:pPr>
    </w:p>
    <w:bookmarkEnd w:id="708"/>
    <w:p w14:paraId="74D61C49" w14:textId="77777777" w:rsidR="00507AE1" w:rsidRPr="00654C6F" w:rsidRDefault="00507AE1" w:rsidP="00F836F4">
      <w:pPr>
        <w:numPr>
          <w:ilvl w:val="0"/>
          <w:numId w:val="107"/>
        </w:numPr>
        <w:ind w:hanging="720"/>
        <w:contextualSpacing/>
        <w:jc w:val="center"/>
        <w:rPr>
          <w:rFonts w:ascii="Calibri" w:eastAsia="Calibri" w:hAnsi="Calibri" w:cs="Calibri"/>
          <w:b/>
          <w:bCs/>
          <w:sz w:val="28"/>
          <w:szCs w:val="28"/>
        </w:rPr>
      </w:pPr>
      <w:r w:rsidRPr="00654C6F">
        <w:rPr>
          <w:rFonts w:ascii="Calibri" w:eastAsia="Calibri" w:hAnsi="Calibri" w:cs="Calibri"/>
          <w:b/>
          <w:bCs/>
          <w:sz w:val="28"/>
          <w:szCs w:val="28"/>
        </w:rPr>
        <w:t>Waiver</w:t>
      </w:r>
      <w:r w:rsidRPr="00654C6F">
        <w:rPr>
          <w:rFonts w:ascii="Calibri" w:eastAsia="Calibri" w:hAnsi="Calibri" w:cs="Calibri"/>
          <w:b/>
          <w:bCs/>
          <w:spacing w:val="-5"/>
          <w:sz w:val="28"/>
          <w:szCs w:val="28"/>
        </w:rPr>
        <w:t xml:space="preserve"> </w:t>
      </w:r>
      <w:r w:rsidRPr="00654C6F">
        <w:rPr>
          <w:rFonts w:ascii="Calibri" w:eastAsia="Calibri" w:hAnsi="Calibri" w:cs="Calibri"/>
          <w:b/>
          <w:bCs/>
          <w:sz w:val="28"/>
          <w:szCs w:val="28"/>
        </w:rPr>
        <w:t>for</w:t>
      </w:r>
      <w:r w:rsidRPr="00654C6F">
        <w:rPr>
          <w:rFonts w:ascii="Calibri" w:eastAsia="Calibri" w:hAnsi="Calibri" w:cs="Calibri"/>
          <w:b/>
          <w:bCs/>
          <w:spacing w:val="-5"/>
          <w:sz w:val="28"/>
          <w:szCs w:val="28"/>
        </w:rPr>
        <w:t xml:space="preserve"> </w:t>
      </w:r>
      <w:r w:rsidRPr="00654C6F">
        <w:rPr>
          <w:rFonts w:ascii="Calibri" w:eastAsia="Calibri" w:hAnsi="Calibri" w:cs="Calibri"/>
          <w:b/>
          <w:bCs/>
          <w:sz w:val="28"/>
          <w:szCs w:val="28"/>
        </w:rPr>
        <w:t>Performance</w:t>
      </w:r>
      <w:r w:rsidRPr="00654C6F">
        <w:rPr>
          <w:rFonts w:ascii="Calibri" w:eastAsia="Calibri" w:hAnsi="Calibri" w:cs="Calibri"/>
          <w:b/>
          <w:bCs/>
          <w:spacing w:val="-5"/>
          <w:sz w:val="28"/>
          <w:szCs w:val="28"/>
        </w:rPr>
        <w:t xml:space="preserve"> </w:t>
      </w:r>
      <w:r w:rsidRPr="00654C6F">
        <w:rPr>
          <w:rFonts w:ascii="Calibri" w:eastAsia="Calibri" w:hAnsi="Calibri" w:cs="Calibri"/>
          <w:b/>
          <w:bCs/>
          <w:sz w:val="28"/>
          <w:szCs w:val="28"/>
        </w:rPr>
        <w:t>of</w:t>
      </w:r>
      <w:r w:rsidRPr="00654C6F">
        <w:rPr>
          <w:rFonts w:ascii="Calibri" w:eastAsia="Calibri" w:hAnsi="Calibri" w:cs="Calibri"/>
          <w:b/>
          <w:bCs/>
          <w:spacing w:val="-4"/>
          <w:sz w:val="28"/>
          <w:szCs w:val="28"/>
        </w:rPr>
        <w:t xml:space="preserve"> </w:t>
      </w:r>
      <w:r w:rsidRPr="00654C6F">
        <w:rPr>
          <w:rFonts w:ascii="Calibri" w:eastAsia="Calibri" w:hAnsi="Calibri" w:cs="Calibri"/>
          <w:b/>
          <w:bCs/>
          <w:sz w:val="28"/>
          <w:szCs w:val="28"/>
        </w:rPr>
        <w:t>Work</w:t>
      </w:r>
      <w:r w:rsidRPr="00654C6F">
        <w:rPr>
          <w:rFonts w:ascii="Calibri" w:eastAsia="Calibri" w:hAnsi="Calibri" w:cs="Calibri"/>
          <w:b/>
          <w:bCs/>
          <w:spacing w:val="-5"/>
          <w:sz w:val="28"/>
          <w:szCs w:val="28"/>
        </w:rPr>
        <w:t xml:space="preserve"> </w:t>
      </w:r>
      <w:r w:rsidRPr="00654C6F">
        <w:rPr>
          <w:rFonts w:ascii="Calibri" w:eastAsia="Calibri" w:hAnsi="Calibri" w:cs="Calibri"/>
          <w:b/>
          <w:bCs/>
          <w:sz w:val="28"/>
          <w:szCs w:val="28"/>
        </w:rPr>
        <w:t>in</w:t>
      </w:r>
      <w:r w:rsidRPr="00654C6F">
        <w:rPr>
          <w:rFonts w:ascii="Calibri" w:eastAsia="Calibri" w:hAnsi="Calibri" w:cs="Calibri"/>
          <w:b/>
          <w:bCs/>
          <w:spacing w:val="-5"/>
          <w:sz w:val="28"/>
          <w:szCs w:val="28"/>
        </w:rPr>
        <w:t xml:space="preserve"> </w:t>
      </w:r>
      <w:r w:rsidRPr="00654C6F">
        <w:rPr>
          <w:rFonts w:ascii="Calibri" w:eastAsia="Calibri" w:hAnsi="Calibri" w:cs="Calibri"/>
          <w:b/>
          <w:bCs/>
          <w:sz w:val="28"/>
          <w:szCs w:val="28"/>
        </w:rPr>
        <w:t>the</w:t>
      </w:r>
      <w:r w:rsidRPr="00654C6F">
        <w:rPr>
          <w:rFonts w:ascii="Calibri" w:eastAsia="Calibri" w:hAnsi="Calibri" w:cs="Calibri"/>
          <w:b/>
          <w:bCs/>
          <w:spacing w:val="-5"/>
          <w:sz w:val="28"/>
          <w:szCs w:val="28"/>
        </w:rPr>
        <w:t xml:space="preserve"> </w:t>
      </w:r>
      <w:r w:rsidRPr="00654C6F">
        <w:rPr>
          <w:rFonts w:ascii="Calibri" w:eastAsia="Calibri" w:hAnsi="Calibri" w:cs="Calibri"/>
          <w:b/>
          <w:bCs/>
          <w:sz w:val="28"/>
          <w:szCs w:val="28"/>
        </w:rPr>
        <w:t>United</w:t>
      </w:r>
      <w:r w:rsidRPr="00654C6F">
        <w:rPr>
          <w:rFonts w:ascii="Calibri" w:eastAsia="Calibri" w:hAnsi="Calibri" w:cs="Calibri"/>
          <w:b/>
          <w:bCs/>
          <w:spacing w:val="-5"/>
          <w:sz w:val="28"/>
          <w:szCs w:val="28"/>
        </w:rPr>
        <w:t xml:space="preserve"> </w:t>
      </w:r>
      <w:r w:rsidRPr="00654C6F">
        <w:rPr>
          <w:rFonts w:ascii="Calibri" w:eastAsia="Calibri" w:hAnsi="Calibri" w:cs="Calibri"/>
          <w:b/>
          <w:bCs/>
          <w:sz w:val="28"/>
          <w:szCs w:val="28"/>
        </w:rPr>
        <w:t>States</w:t>
      </w:r>
      <w:r w:rsidRPr="00654C6F">
        <w:rPr>
          <w:rFonts w:ascii="Calibri" w:eastAsia="Calibri" w:hAnsi="Calibri" w:cs="Calibri"/>
          <w:b/>
          <w:bCs/>
          <w:spacing w:val="-5"/>
          <w:sz w:val="28"/>
          <w:szCs w:val="28"/>
        </w:rPr>
        <w:t xml:space="preserve"> </w:t>
      </w:r>
      <w:r w:rsidRPr="00654C6F">
        <w:rPr>
          <w:rFonts w:ascii="Calibri" w:eastAsia="Calibri" w:hAnsi="Calibri" w:cs="Calibri"/>
          <w:b/>
          <w:bCs/>
          <w:sz w:val="28"/>
          <w:szCs w:val="28"/>
        </w:rPr>
        <w:t>(Foreign Work Waiver)</w:t>
      </w:r>
    </w:p>
    <w:p w14:paraId="2CA953AE" w14:textId="77777777" w:rsidR="00507AE1" w:rsidRDefault="00507AE1" w:rsidP="00507AE1">
      <w:pPr>
        <w:pStyle w:val="BodyText"/>
        <w:ind w:left="1290"/>
      </w:pPr>
      <w:r w:rsidRPr="00507AE1">
        <w:rPr>
          <w:rFonts w:ascii="Calibri" w:eastAsia="Calibri" w:hAnsi="Calibri" w:cs="Calibri"/>
          <w:szCs w:val="24"/>
        </w:rPr>
        <w:t xml:space="preserve">As set forth in Section </w:t>
      </w:r>
      <w:proofErr w:type="spellStart"/>
      <w:r w:rsidRPr="00563B4B">
        <w:rPr>
          <w:rFonts w:ascii="Calibri" w:eastAsia="Calibri" w:hAnsi="Calibri" w:cs="Calibri"/>
          <w:szCs w:val="24"/>
        </w:rPr>
        <w:t>IV.J.iii</w:t>
      </w:r>
      <w:proofErr w:type="spellEnd"/>
      <w:r w:rsidRPr="00563B4B">
        <w:rPr>
          <w:rFonts w:ascii="Calibri" w:eastAsia="Calibri" w:hAnsi="Calibri" w:cs="Calibri"/>
          <w:szCs w:val="24"/>
        </w:rPr>
        <w:t>.,</w:t>
      </w:r>
      <w:r w:rsidRPr="00507AE1">
        <w:rPr>
          <w:rFonts w:ascii="Calibri" w:eastAsia="Calibri" w:hAnsi="Calibri" w:cs="Calibri"/>
          <w:szCs w:val="24"/>
        </w:rPr>
        <w:t xml:space="preserve"> all work under EERE funding agreements must be performed</w:t>
      </w:r>
      <w:r w:rsidRPr="00507AE1">
        <w:rPr>
          <w:rFonts w:ascii="Calibri" w:eastAsia="Calibri" w:hAnsi="Calibri" w:cs="Calibri"/>
          <w:spacing w:val="-4"/>
          <w:szCs w:val="24"/>
        </w:rPr>
        <w:t xml:space="preserve"> </w:t>
      </w:r>
      <w:r w:rsidRPr="00507AE1">
        <w:rPr>
          <w:rFonts w:ascii="Calibri" w:eastAsia="Calibri" w:hAnsi="Calibri" w:cs="Calibri"/>
          <w:szCs w:val="24"/>
        </w:rPr>
        <w:t>in</w:t>
      </w:r>
      <w:r w:rsidRPr="00507AE1">
        <w:rPr>
          <w:rFonts w:ascii="Calibri" w:eastAsia="Calibri" w:hAnsi="Calibri" w:cs="Calibri"/>
          <w:spacing w:val="-4"/>
          <w:szCs w:val="24"/>
        </w:rPr>
        <w:t xml:space="preserve"> </w:t>
      </w:r>
      <w:r w:rsidRPr="00507AE1">
        <w:rPr>
          <w:rFonts w:ascii="Calibri" w:eastAsia="Calibri" w:hAnsi="Calibri" w:cs="Calibri"/>
          <w:szCs w:val="24"/>
        </w:rPr>
        <w:t>the</w:t>
      </w:r>
      <w:r w:rsidRPr="00507AE1">
        <w:rPr>
          <w:rFonts w:ascii="Calibri" w:eastAsia="Calibri" w:hAnsi="Calibri" w:cs="Calibri"/>
          <w:spacing w:val="-3"/>
          <w:szCs w:val="24"/>
        </w:rPr>
        <w:t xml:space="preserve"> </w:t>
      </w:r>
      <w:r w:rsidRPr="00507AE1">
        <w:rPr>
          <w:rFonts w:ascii="Calibri" w:eastAsia="Calibri" w:hAnsi="Calibri" w:cs="Calibri"/>
          <w:szCs w:val="24"/>
        </w:rPr>
        <w:t>United</w:t>
      </w:r>
      <w:r w:rsidRPr="00507AE1">
        <w:rPr>
          <w:rFonts w:ascii="Calibri" w:eastAsia="Calibri" w:hAnsi="Calibri" w:cs="Calibri"/>
          <w:spacing w:val="-4"/>
          <w:szCs w:val="24"/>
        </w:rPr>
        <w:t xml:space="preserve"> </w:t>
      </w:r>
      <w:r w:rsidRPr="00507AE1">
        <w:rPr>
          <w:rFonts w:ascii="Calibri" w:eastAsia="Calibri" w:hAnsi="Calibri" w:cs="Calibri"/>
          <w:szCs w:val="24"/>
        </w:rPr>
        <w:t>States.</w:t>
      </w:r>
      <w:r w:rsidRPr="00507AE1">
        <w:rPr>
          <w:rFonts w:ascii="Calibri" w:eastAsia="Calibri" w:hAnsi="Calibri" w:cs="Calibri"/>
          <w:spacing w:val="-3"/>
          <w:szCs w:val="24"/>
        </w:rPr>
        <w:t xml:space="preserve"> </w:t>
      </w:r>
      <w:r w:rsidRPr="00507AE1">
        <w:rPr>
          <w:rFonts w:ascii="Calibri" w:eastAsia="Calibri" w:hAnsi="Calibri" w:cs="Calibri"/>
          <w:szCs w:val="24"/>
        </w:rPr>
        <w:t>There</w:t>
      </w:r>
      <w:r w:rsidRPr="00507AE1">
        <w:rPr>
          <w:rFonts w:ascii="Calibri" w:eastAsia="Calibri" w:hAnsi="Calibri" w:cs="Calibri"/>
          <w:spacing w:val="-3"/>
          <w:szCs w:val="24"/>
        </w:rPr>
        <w:t xml:space="preserve"> </w:t>
      </w:r>
      <w:r w:rsidRPr="00507AE1">
        <w:rPr>
          <w:rFonts w:ascii="Calibri" w:eastAsia="Calibri" w:hAnsi="Calibri" w:cs="Calibri"/>
          <w:szCs w:val="24"/>
        </w:rPr>
        <w:t>may</w:t>
      </w:r>
      <w:r w:rsidRPr="00507AE1">
        <w:rPr>
          <w:rFonts w:ascii="Calibri" w:eastAsia="Calibri" w:hAnsi="Calibri" w:cs="Calibri"/>
          <w:spacing w:val="-3"/>
          <w:szCs w:val="24"/>
        </w:rPr>
        <w:t xml:space="preserve"> </w:t>
      </w:r>
      <w:r w:rsidRPr="00507AE1">
        <w:rPr>
          <w:rFonts w:ascii="Calibri" w:eastAsia="Calibri" w:hAnsi="Calibri" w:cs="Calibri"/>
          <w:szCs w:val="24"/>
        </w:rPr>
        <w:t>be</w:t>
      </w:r>
      <w:r w:rsidRPr="00507AE1">
        <w:rPr>
          <w:rFonts w:ascii="Calibri" w:eastAsia="Calibri" w:hAnsi="Calibri" w:cs="Calibri"/>
          <w:spacing w:val="-3"/>
          <w:szCs w:val="24"/>
        </w:rPr>
        <w:t xml:space="preserve"> </w:t>
      </w:r>
      <w:r w:rsidRPr="00507AE1">
        <w:rPr>
          <w:rFonts w:ascii="Calibri" w:eastAsia="Calibri" w:hAnsi="Calibri" w:cs="Calibri"/>
          <w:szCs w:val="24"/>
        </w:rPr>
        <w:t>limited</w:t>
      </w:r>
      <w:r w:rsidRPr="00507AE1">
        <w:rPr>
          <w:rFonts w:ascii="Calibri" w:eastAsia="Calibri" w:hAnsi="Calibri" w:cs="Calibri"/>
          <w:spacing w:val="-4"/>
          <w:szCs w:val="24"/>
        </w:rPr>
        <w:t xml:space="preserve"> </w:t>
      </w:r>
      <w:r w:rsidRPr="00507AE1">
        <w:rPr>
          <w:rFonts w:ascii="Calibri" w:eastAsia="Calibri" w:hAnsi="Calibri" w:cs="Calibri"/>
          <w:szCs w:val="24"/>
        </w:rPr>
        <w:t>circumstances</w:t>
      </w:r>
      <w:r w:rsidRPr="00507AE1">
        <w:rPr>
          <w:rFonts w:ascii="Calibri" w:eastAsia="Calibri" w:hAnsi="Calibri" w:cs="Calibri"/>
          <w:spacing w:val="-4"/>
          <w:szCs w:val="24"/>
        </w:rPr>
        <w:t xml:space="preserve"> </w:t>
      </w:r>
      <w:r w:rsidRPr="00507AE1">
        <w:rPr>
          <w:rFonts w:ascii="Calibri" w:eastAsia="Calibri" w:hAnsi="Calibri" w:cs="Calibri"/>
          <w:szCs w:val="24"/>
        </w:rPr>
        <w:t>where</w:t>
      </w:r>
      <w:r w:rsidRPr="00507AE1">
        <w:rPr>
          <w:rFonts w:ascii="Calibri" w:eastAsia="Calibri" w:hAnsi="Calibri" w:cs="Calibri"/>
          <w:spacing w:val="-3"/>
          <w:szCs w:val="24"/>
        </w:rPr>
        <w:t xml:space="preserve"> </w:t>
      </w:r>
      <w:r w:rsidRPr="00507AE1">
        <w:rPr>
          <w:rFonts w:ascii="Calibri" w:eastAsia="Calibri" w:hAnsi="Calibri" w:cs="Calibri"/>
          <w:szCs w:val="24"/>
        </w:rPr>
        <w:t>it</w:t>
      </w:r>
      <w:r w:rsidRPr="00507AE1">
        <w:rPr>
          <w:rFonts w:ascii="Calibri" w:eastAsia="Calibri" w:hAnsi="Calibri" w:cs="Calibri"/>
          <w:spacing w:val="-4"/>
          <w:szCs w:val="24"/>
        </w:rPr>
        <w:t xml:space="preserve"> </w:t>
      </w:r>
      <w:r w:rsidRPr="00507AE1">
        <w:rPr>
          <w:rFonts w:ascii="Calibri" w:eastAsia="Calibri" w:hAnsi="Calibri" w:cs="Calibri"/>
          <w:szCs w:val="24"/>
        </w:rPr>
        <w:t>is</w:t>
      </w:r>
      <w:r w:rsidRPr="00507AE1">
        <w:rPr>
          <w:rFonts w:ascii="Calibri" w:eastAsia="Calibri" w:hAnsi="Calibri" w:cs="Calibri"/>
          <w:spacing w:val="-4"/>
          <w:szCs w:val="24"/>
        </w:rPr>
        <w:t xml:space="preserve"> </w:t>
      </w:r>
      <w:r w:rsidRPr="00507AE1">
        <w:rPr>
          <w:rFonts w:ascii="Calibri" w:eastAsia="Calibri" w:hAnsi="Calibri" w:cs="Calibri"/>
          <w:szCs w:val="24"/>
        </w:rPr>
        <w:t>in the interest of the project to perform a portion of the work outside the United States. To seek a waiver of the Performance of Work in the United States</w:t>
      </w:r>
      <w:r>
        <w:rPr>
          <w:rFonts w:ascii="Calibri" w:eastAsia="Calibri" w:hAnsi="Calibri" w:cs="Calibri"/>
          <w:szCs w:val="24"/>
        </w:rPr>
        <w:t xml:space="preserve"> </w:t>
      </w:r>
      <w:r>
        <w:t>requirement,</w:t>
      </w:r>
      <w:r>
        <w:rPr>
          <w:spacing w:val="-4"/>
        </w:rPr>
        <w:t xml:space="preserve"> </w:t>
      </w:r>
      <w:r>
        <w:t>the</w:t>
      </w:r>
      <w:r>
        <w:rPr>
          <w:spacing w:val="-3"/>
        </w:rPr>
        <w:t xml:space="preserve"> </w:t>
      </w:r>
      <w:r>
        <w:t>applicant</w:t>
      </w:r>
      <w:r>
        <w:rPr>
          <w:spacing w:val="-4"/>
        </w:rPr>
        <w:t xml:space="preserve"> </w:t>
      </w:r>
      <w:r>
        <w:t>must</w:t>
      </w:r>
      <w:r>
        <w:rPr>
          <w:spacing w:val="-4"/>
        </w:rPr>
        <w:t xml:space="preserve"> </w:t>
      </w:r>
      <w:r>
        <w:t>submit</w:t>
      </w:r>
      <w:r>
        <w:rPr>
          <w:spacing w:val="-4"/>
        </w:rPr>
        <w:t xml:space="preserve"> </w:t>
      </w:r>
      <w:r>
        <w:t>an</w:t>
      </w:r>
      <w:r>
        <w:rPr>
          <w:spacing w:val="-4"/>
        </w:rPr>
        <w:t xml:space="preserve"> </w:t>
      </w:r>
      <w:r>
        <w:t>explicit</w:t>
      </w:r>
      <w:r>
        <w:rPr>
          <w:spacing w:val="-4"/>
        </w:rPr>
        <w:t xml:space="preserve"> </w:t>
      </w:r>
      <w:r>
        <w:t>waiver</w:t>
      </w:r>
      <w:r>
        <w:rPr>
          <w:spacing w:val="-3"/>
        </w:rPr>
        <w:t xml:space="preserve"> </w:t>
      </w:r>
      <w:r>
        <w:t>request</w:t>
      </w:r>
      <w:r>
        <w:rPr>
          <w:spacing w:val="-4"/>
        </w:rPr>
        <w:t xml:space="preserve"> </w:t>
      </w:r>
      <w:r>
        <w:t>in</w:t>
      </w:r>
      <w:r>
        <w:rPr>
          <w:spacing w:val="-4"/>
        </w:rPr>
        <w:t xml:space="preserve"> </w:t>
      </w:r>
      <w:r>
        <w:t>the</w:t>
      </w:r>
      <w:r>
        <w:rPr>
          <w:spacing w:val="-3"/>
        </w:rPr>
        <w:t xml:space="preserve"> </w:t>
      </w:r>
      <w:r>
        <w:t>Full Application. A separate waiver request must be submitted for each entity proposing performance of work outside of the United States.</w:t>
      </w:r>
    </w:p>
    <w:p w14:paraId="76FC17A5" w14:textId="77777777" w:rsidR="00507AE1" w:rsidRDefault="00507AE1" w:rsidP="00507AE1">
      <w:pPr>
        <w:pStyle w:val="BodyText"/>
        <w:spacing w:before="4"/>
        <w:rPr>
          <w:sz w:val="23"/>
        </w:rPr>
      </w:pPr>
    </w:p>
    <w:p w14:paraId="40240230" w14:textId="116FD8B5" w:rsidR="00507AE1" w:rsidRDefault="00507AE1" w:rsidP="00507AE1">
      <w:pPr>
        <w:pStyle w:val="BodyText"/>
        <w:ind w:left="1290"/>
      </w:pPr>
      <w:r>
        <w:t>Overall,</w:t>
      </w:r>
      <w:r>
        <w:rPr>
          <w:spacing w:val="-4"/>
        </w:rPr>
        <w:t xml:space="preserve"> </w:t>
      </w:r>
      <w:r>
        <w:t>a</w:t>
      </w:r>
      <w:r>
        <w:rPr>
          <w:spacing w:val="-4"/>
        </w:rPr>
        <w:t xml:space="preserve"> </w:t>
      </w:r>
      <w:r>
        <w:t>waiver</w:t>
      </w:r>
      <w:r>
        <w:rPr>
          <w:spacing w:val="-3"/>
        </w:rPr>
        <w:t xml:space="preserve"> </w:t>
      </w:r>
      <w:r>
        <w:t>request</w:t>
      </w:r>
      <w:r>
        <w:rPr>
          <w:spacing w:val="-4"/>
        </w:rPr>
        <w:t xml:space="preserve"> </w:t>
      </w:r>
      <w:r>
        <w:t>must</w:t>
      </w:r>
      <w:r>
        <w:rPr>
          <w:spacing w:val="-4"/>
        </w:rPr>
        <w:t xml:space="preserve"> </w:t>
      </w:r>
      <w:r>
        <w:t>demonstrate</w:t>
      </w:r>
      <w:r>
        <w:rPr>
          <w:spacing w:val="-3"/>
        </w:rPr>
        <w:t xml:space="preserve"> </w:t>
      </w:r>
      <w:r>
        <w:t>to</w:t>
      </w:r>
      <w:r>
        <w:rPr>
          <w:spacing w:val="-3"/>
        </w:rPr>
        <w:t xml:space="preserve"> </w:t>
      </w:r>
      <w:r>
        <w:t>the</w:t>
      </w:r>
      <w:r>
        <w:rPr>
          <w:spacing w:val="-3"/>
        </w:rPr>
        <w:t xml:space="preserve"> </w:t>
      </w:r>
      <w:r>
        <w:t>satisfaction</w:t>
      </w:r>
      <w:r>
        <w:rPr>
          <w:spacing w:val="-4"/>
        </w:rPr>
        <w:t xml:space="preserve"> </w:t>
      </w:r>
      <w:r>
        <w:t>of</w:t>
      </w:r>
      <w:r>
        <w:rPr>
          <w:spacing w:val="-4"/>
        </w:rPr>
        <w:t xml:space="preserve"> </w:t>
      </w:r>
      <w:r>
        <w:t>EERE</w:t>
      </w:r>
      <w:r>
        <w:rPr>
          <w:spacing w:val="-3"/>
        </w:rPr>
        <w:t xml:space="preserve"> </w:t>
      </w:r>
      <w:r w:rsidR="00A71885">
        <w:rPr>
          <w:spacing w:val="-3"/>
        </w:rPr>
        <w:t>t</w:t>
      </w:r>
      <w:r>
        <w:t>hat</w:t>
      </w:r>
      <w:r>
        <w:rPr>
          <w:spacing w:val="-4"/>
        </w:rPr>
        <w:t xml:space="preserve"> </w:t>
      </w:r>
      <w:r>
        <w:t>it</w:t>
      </w:r>
      <w:r>
        <w:rPr>
          <w:spacing w:val="-4"/>
        </w:rPr>
        <w:t xml:space="preserve"> </w:t>
      </w:r>
      <w:r>
        <w:t>would further the purposes of this FOA and is otherwise in the economic interests of the United</w:t>
      </w:r>
      <w:r>
        <w:rPr>
          <w:spacing w:val="-1"/>
        </w:rPr>
        <w:t xml:space="preserve"> </w:t>
      </w:r>
      <w:r>
        <w:t>States</w:t>
      </w:r>
      <w:r>
        <w:rPr>
          <w:spacing w:val="-1"/>
        </w:rPr>
        <w:t xml:space="preserve"> </w:t>
      </w:r>
      <w:r>
        <w:t>to perform</w:t>
      </w:r>
      <w:r>
        <w:rPr>
          <w:spacing w:val="-2"/>
        </w:rPr>
        <w:t xml:space="preserve"> </w:t>
      </w:r>
      <w:r>
        <w:t>work</w:t>
      </w:r>
      <w:r>
        <w:rPr>
          <w:spacing w:val="-1"/>
        </w:rPr>
        <w:t xml:space="preserve"> </w:t>
      </w:r>
      <w:r>
        <w:t>outside of</w:t>
      </w:r>
      <w:r>
        <w:rPr>
          <w:spacing w:val="-1"/>
        </w:rPr>
        <w:t xml:space="preserve"> </w:t>
      </w:r>
      <w:r>
        <w:t>the United</w:t>
      </w:r>
      <w:r>
        <w:rPr>
          <w:spacing w:val="-1"/>
        </w:rPr>
        <w:t xml:space="preserve"> </w:t>
      </w:r>
      <w:r>
        <w:t>States. A</w:t>
      </w:r>
      <w:r>
        <w:rPr>
          <w:spacing w:val="-2"/>
        </w:rPr>
        <w:t xml:space="preserve"> </w:t>
      </w:r>
      <w:r>
        <w:t>request</w:t>
      </w:r>
      <w:r>
        <w:rPr>
          <w:spacing w:val="-1"/>
        </w:rPr>
        <w:t xml:space="preserve"> </w:t>
      </w:r>
      <w:r>
        <w:t>to</w:t>
      </w:r>
      <w:r>
        <w:rPr>
          <w:spacing w:val="-1"/>
        </w:rPr>
        <w:t xml:space="preserve"> </w:t>
      </w:r>
      <w:r>
        <w:t>waive the Performance</w:t>
      </w:r>
      <w:r>
        <w:rPr>
          <w:spacing w:val="-4"/>
        </w:rPr>
        <w:t xml:space="preserve"> </w:t>
      </w:r>
      <w:r>
        <w:t>of</w:t>
      </w:r>
      <w:r>
        <w:rPr>
          <w:spacing w:val="-3"/>
        </w:rPr>
        <w:t xml:space="preserve"> </w:t>
      </w:r>
      <w:r>
        <w:t>Work</w:t>
      </w:r>
      <w:r>
        <w:rPr>
          <w:spacing w:val="-3"/>
        </w:rPr>
        <w:t xml:space="preserve"> </w:t>
      </w:r>
      <w:r>
        <w:t>in</w:t>
      </w:r>
      <w:r>
        <w:rPr>
          <w:spacing w:val="-2"/>
        </w:rPr>
        <w:t xml:space="preserve"> </w:t>
      </w:r>
      <w:r>
        <w:t>the</w:t>
      </w:r>
      <w:r>
        <w:rPr>
          <w:spacing w:val="-2"/>
        </w:rPr>
        <w:t xml:space="preserve"> </w:t>
      </w:r>
      <w:r>
        <w:t>United</w:t>
      </w:r>
      <w:r>
        <w:rPr>
          <w:spacing w:val="-3"/>
        </w:rPr>
        <w:t xml:space="preserve"> </w:t>
      </w:r>
      <w:r>
        <w:t>States</w:t>
      </w:r>
      <w:r>
        <w:rPr>
          <w:spacing w:val="-3"/>
        </w:rPr>
        <w:t xml:space="preserve"> </w:t>
      </w:r>
      <w:r>
        <w:t>requirement</w:t>
      </w:r>
      <w:r>
        <w:rPr>
          <w:spacing w:val="-2"/>
        </w:rPr>
        <w:t xml:space="preserve"> </w:t>
      </w:r>
      <w:r>
        <w:t>must</w:t>
      </w:r>
      <w:r>
        <w:rPr>
          <w:spacing w:val="-3"/>
        </w:rPr>
        <w:t xml:space="preserve"> </w:t>
      </w:r>
      <w:r>
        <w:t>include</w:t>
      </w:r>
      <w:r>
        <w:rPr>
          <w:spacing w:val="-2"/>
        </w:rPr>
        <w:t xml:space="preserve"> </w:t>
      </w:r>
      <w:r>
        <w:t>the</w:t>
      </w:r>
      <w:r>
        <w:rPr>
          <w:spacing w:val="-2"/>
        </w:rPr>
        <w:t xml:space="preserve"> following:</w:t>
      </w:r>
    </w:p>
    <w:p w14:paraId="59CF9154" w14:textId="77777777" w:rsidR="00507AE1" w:rsidRDefault="00507AE1" w:rsidP="00F836F4">
      <w:pPr>
        <w:pStyle w:val="ListParagraph"/>
        <w:widowControl w:val="0"/>
        <w:numPr>
          <w:ilvl w:val="1"/>
          <w:numId w:val="101"/>
        </w:numPr>
        <w:tabs>
          <w:tab w:val="left" w:pos="2009"/>
          <w:tab w:val="left" w:pos="2010"/>
        </w:tabs>
        <w:autoSpaceDE w:val="0"/>
        <w:autoSpaceDN w:val="0"/>
        <w:ind w:left="2010"/>
        <w:contextualSpacing w:val="0"/>
      </w:pPr>
      <w:r>
        <w:t>The</w:t>
      </w:r>
      <w:r>
        <w:rPr>
          <w:spacing w:val="-5"/>
        </w:rPr>
        <w:t xml:space="preserve"> </w:t>
      </w:r>
      <w:r>
        <w:t>rationale</w:t>
      </w:r>
      <w:r>
        <w:rPr>
          <w:spacing w:val="-2"/>
        </w:rPr>
        <w:t xml:space="preserve"> </w:t>
      </w:r>
      <w:r>
        <w:t>for</w:t>
      </w:r>
      <w:r>
        <w:rPr>
          <w:spacing w:val="-3"/>
        </w:rPr>
        <w:t xml:space="preserve"> </w:t>
      </w:r>
      <w:r>
        <w:t>performing</w:t>
      </w:r>
      <w:r>
        <w:rPr>
          <w:spacing w:val="-3"/>
        </w:rPr>
        <w:t xml:space="preserve"> </w:t>
      </w:r>
      <w:r>
        <w:t>the</w:t>
      </w:r>
      <w:r>
        <w:rPr>
          <w:spacing w:val="-3"/>
        </w:rPr>
        <w:t xml:space="preserve"> </w:t>
      </w:r>
      <w:r>
        <w:t>work</w:t>
      </w:r>
      <w:r>
        <w:rPr>
          <w:spacing w:val="-3"/>
        </w:rPr>
        <w:t xml:space="preserve"> </w:t>
      </w:r>
      <w:r>
        <w:t>outside</w:t>
      </w:r>
      <w:r>
        <w:rPr>
          <w:spacing w:val="-2"/>
        </w:rPr>
        <w:t xml:space="preserve"> </w:t>
      </w:r>
      <w:r>
        <w:t>the</w:t>
      </w:r>
      <w:r>
        <w:rPr>
          <w:spacing w:val="-3"/>
        </w:rPr>
        <w:t xml:space="preserve"> </w:t>
      </w:r>
      <w:r>
        <w:t>U.S.</w:t>
      </w:r>
      <w:r>
        <w:rPr>
          <w:spacing w:val="-2"/>
        </w:rPr>
        <w:t xml:space="preserve"> </w:t>
      </w:r>
      <w:r>
        <w:t>(“foreign</w:t>
      </w:r>
      <w:r>
        <w:rPr>
          <w:spacing w:val="-3"/>
        </w:rPr>
        <w:t xml:space="preserve"> </w:t>
      </w:r>
      <w:r>
        <w:rPr>
          <w:spacing w:val="-2"/>
        </w:rPr>
        <w:t>work”</w:t>
      </w:r>
      <w:proofErr w:type="gramStart"/>
      <w:r>
        <w:rPr>
          <w:spacing w:val="-2"/>
        </w:rPr>
        <w:t>);</w:t>
      </w:r>
      <w:proofErr w:type="gramEnd"/>
    </w:p>
    <w:p w14:paraId="0B071DCF" w14:textId="77777777" w:rsidR="00507AE1" w:rsidRDefault="00507AE1" w:rsidP="00F836F4">
      <w:pPr>
        <w:pStyle w:val="ListParagraph"/>
        <w:widowControl w:val="0"/>
        <w:numPr>
          <w:ilvl w:val="1"/>
          <w:numId w:val="101"/>
        </w:numPr>
        <w:tabs>
          <w:tab w:val="left" w:pos="2009"/>
          <w:tab w:val="left" w:pos="2010"/>
        </w:tabs>
        <w:autoSpaceDE w:val="0"/>
        <w:autoSpaceDN w:val="0"/>
        <w:ind w:left="2010"/>
        <w:contextualSpacing w:val="0"/>
      </w:pPr>
      <w:r>
        <w:t>A</w:t>
      </w:r>
      <w:r>
        <w:rPr>
          <w:spacing w:val="-5"/>
        </w:rPr>
        <w:t xml:space="preserve"> </w:t>
      </w:r>
      <w:r>
        <w:t>description</w:t>
      </w:r>
      <w:r>
        <w:rPr>
          <w:spacing w:val="-3"/>
        </w:rPr>
        <w:t xml:space="preserve"> </w:t>
      </w:r>
      <w:r>
        <w:t>of</w:t>
      </w:r>
      <w:r>
        <w:rPr>
          <w:spacing w:val="-2"/>
        </w:rPr>
        <w:t xml:space="preserve"> </w:t>
      </w:r>
      <w:r>
        <w:t>the</w:t>
      </w:r>
      <w:r>
        <w:rPr>
          <w:spacing w:val="-3"/>
        </w:rPr>
        <w:t xml:space="preserve"> </w:t>
      </w:r>
      <w:r>
        <w:t>work</w:t>
      </w:r>
      <w:r>
        <w:rPr>
          <w:spacing w:val="-2"/>
        </w:rPr>
        <w:t xml:space="preserve"> </w:t>
      </w:r>
      <w:r>
        <w:t>proposed</w:t>
      </w:r>
      <w:r>
        <w:rPr>
          <w:spacing w:val="-3"/>
        </w:rPr>
        <w:t xml:space="preserve"> </w:t>
      </w:r>
      <w:r>
        <w:t>to</w:t>
      </w:r>
      <w:r>
        <w:rPr>
          <w:spacing w:val="-3"/>
        </w:rPr>
        <w:t xml:space="preserve"> </w:t>
      </w:r>
      <w:r>
        <w:t>be</w:t>
      </w:r>
      <w:r>
        <w:rPr>
          <w:spacing w:val="-2"/>
        </w:rPr>
        <w:t xml:space="preserve"> </w:t>
      </w:r>
      <w:r>
        <w:t>performed</w:t>
      </w:r>
      <w:r>
        <w:rPr>
          <w:spacing w:val="-3"/>
        </w:rPr>
        <w:t xml:space="preserve"> </w:t>
      </w:r>
      <w:r>
        <w:t>outside</w:t>
      </w:r>
      <w:r>
        <w:rPr>
          <w:spacing w:val="-3"/>
        </w:rPr>
        <w:t xml:space="preserve"> </w:t>
      </w:r>
      <w:r>
        <w:t>the</w:t>
      </w:r>
      <w:r>
        <w:rPr>
          <w:spacing w:val="-2"/>
        </w:rPr>
        <w:t xml:space="preserve"> </w:t>
      </w:r>
      <w:proofErr w:type="gramStart"/>
      <w:r>
        <w:rPr>
          <w:spacing w:val="-2"/>
        </w:rPr>
        <w:t>U.S.;</w:t>
      </w:r>
      <w:proofErr w:type="gramEnd"/>
    </w:p>
    <w:p w14:paraId="2B0F3CF5" w14:textId="77777777" w:rsidR="00507AE1" w:rsidRDefault="00507AE1" w:rsidP="00F836F4">
      <w:pPr>
        <w:pStyle w:val="ListParagraph"/>
        <w:widowControl w:val="0"/>
        <w:numPr>
          <w:ilvl w:val="1"/>
          <w:numId w:val="101"/>
        </w:numPr>
        <w:tabs>
          <w:tab w:val="left" w:pos="2009"/>
          <w:tab w:val="left" w:pos="2010"/>
        </w:tabs>
        <w:autoSpaceDE w:val="0"/>
        <w:autoSpaceDN w:val="0"/>
        <w:spacing w:line="305" w:lineRule="exact"/>
        <w:ind w:left="2010"/>
        <w:contextualSpacing w:val="0"/>
      </w:pPr>
      <w:r>
        <w:t>An</w:t>
      </w:r>
      <w:r>
        <w:rPr>
          <w:spacing w:val="-5"/>
        </w:rPr>
        <w:t xml:space="preserve"> </w:t>
      </w:r>
      <w:r>
        <w:t>explanation</w:t>
      </w:r>
      <w:r>
        <w:rPr>
          <w:spacing w:val="-2"/>
        </w:rPr>
        <w:t xml:space="preserve"> </w:t>
      </w:r>
      <w:r>
        <w:t>as</w:t>
      </w:r>
      <w:r>
        <w:rPr>
          <w:spacing w:val="-2"/>
        </w:rPr>
        <w:t xml:space="preserve"> </w:t>
      </w:r>
      <w:r>
        <w:t>to</w:t>
      </w:r>
      <w:r>
        <w:rPr>
          <w:spacing w:val="-1"/>
        </w:rPr>
        <w:t xml:space="preserve"> </w:t>
      </w:r>
      <w:r>
        <w:t>how</w:t>
      </w:r>
      <w:r>
        <w:rPr>
          <w:spacing w:val="-2"/>
        </w:rPr>
        <w:t xml:space="preserve"> </w:t>
      </w:r>
      <w:r>
        <w:t>the</w:t>
      </w:r>
      <w:r>
        <w:rPr>
          <w:spacing w:val="-1"/>
        </w:rPr>
        <w:t xml:space="preserve"> </w:t>
      </w:r>
      <w:r>
        <w:t>foreign</w:t>
      </w:r>
      <w:r>
        <w:rPr>
          <w:spacing w:val="-3"/>
        </w:rPr>
        <w:t xml:space="preserve"> </w:t>
      </w:r>
      <w:r>
        <w:t>work</w:t>
      </w:r>
      <w:r>
        <w:rPr>
          <w:spacing w:val="-2"/>
        </w:rPr>
        <w:t xml:space="preserve"> </w:t>
      </w:r>
      <w:r>
        <w:t>is</w:t>
      </w:r>
      <w:r>
        <w:rPr>
          <w:spacing w:val="-2"/>
        </w:rPr>
        <w:t xml:space="preserve"> </w:t>
      </w:r>
      <w:r>
        <w:t>essential</w:t>
      </w:r>
      <w:r>
        <w:rPr>
          <w:spacing w:val="-2"/>
        </w:rPr>
        <w:t xml:space="preserve"> </w:t>
      </w:r>
      <w:r>
        <w:t>to</w:t>
      </w:r>
      <w:r>
        <w:rPr>
          <w:spacing w:val="-1"/>
        </w:rPr>
        <w:t xml:space="preserve"> </w:t>
      </w:r>
      <w:r>
        <w:t>the</w:t>
      </w:r>
      <w:r>
        <w:rPr>
          <w:spacing w:val="-1"/>
        </w:rPr>
        <w:t xml:space="preserve"> </w:t>
      </w:r>
      <w:proofErr w:type="gramStart"/>
      <w:r>
        <w:rPr>
          <w:spacing w:val="-2"/>
        </w:rPr>
        <w:t>project;</w:t>
      </w:r>
      <w:proofErr w:type="gramEnd"/>
    </w:p>
    <w:p w14:paraId="02A243AC" w14:textId="77777777" w:rsidR="00507AE1" w:rsidRDefault="00507AE1" w:rsidP="00F836F4">
      <w:pPr>
        <w:pStyle w:val="ListParagraph"/>
        <w:widowControl w:val="0"/>
        <w:numPr>
          <w:ilvl w:val="1"/>
          <w:numId w:val="101"/>
        </w:numPr>
        <w:tabs>
          <w:tab w:val="left" w:pos="2009"/>
          <w:tab w:val="left" w:pos="2010"/>
        </w:tabs>
        <w:autoSpaceDE w:val="0"/>
        <w:autoSpaceDN w:val="0"/>
        <w:ind w:left="2010"/>
        <w:contextualSpacing w:val="0"/>
      </w:pPr>
      <w:r>
        <w:t>A</w:t>
      </w:r>
      <w:r>
        <w:rPr>
          <w:spacing w:val="-3"/>
        </w:rPr>
        <w:t xml:space="preserve"> </w:t>
      </w:r>
      <w:r>
        <w:t>description</w:t>
      </w:r>
      <w:r>
        <w:rPr>
          <w:spacing w:val="-4"/>
        </w:rPr>
        <w:t xml:space="preserve"> </w:t>
      </w:r>
      <w:r>
        <w:t>of</w:t>
      </w:r>
      <w:r>
        <w:rPr>
          <w:spacing w:val="-4"/>
        </w:rPr>
        <w:t xml:space="preserve"> </w:t>
      </w:r>
      <w:r>
        <w:t>the</w:t>
      </w:r>
      <w:r>
        <w:rPr>
          <w:spacing w:val="-3"/>
        </w:rPr>
        <w:t xml:space="preserve"> </w:t>
      </w:r>
      <w:r>
        <w:t>anticipated</w:t>
      </w:r>
      <w:r>
        <w:rPr>
          <w:spacing w:val="-4"/>
        </w:rPr>
        <w:t xml:space="preserve"> </w:t>
      </w:r>
      <w:r>
        <w:t>benefits</w:t>
      </w:r>
      <w:r>
        <w:rPr>
          <w:spacing w:val="-4"/>
        </w:rPr>
        <w:t xml:space="preserve"> </w:t>
      </w:r>
      <w:r>
        <w:t>to</w:t>
      </w:r>
      <w:r>
        <w:rPr>
          <w:spacing w:val="-3"/>
        </w:rPr>
        <w:t xml:space="preserve"> </w:t>
      </w:r>
      <w:r>
        <w:t>be</w:t>
      </w:r>
      <w:r>
        <w:rPr>
          <w:spacing w:val="-3"/>
        </w:rPr>
        <w:t xml:space="preserve"> </w:t>
      </w:r>
      <w:r>
        <w:t>realized</w:t>
      </w:r>
      <w:r>
        <w:rPr>
          <w:spacing w:val="-4"/>
        </w:rPr>
        <w:t xml:space="preserve"> </w:t>
      </w:r>
      <w:r>
        <w:t>by</w:t>
      </w:r>
      <w:r>
        <w:rPr>
          <w:spacing w:val="-3"/>
        </w:rPr>
        <w:t xml:space="preserve"> </w:t>
      </w:r>
      <w:r>
        <w:t>the</w:t>
      </w:r>
      <w:r>
        <w:rPr>
          <w:spacing w:val="-3"/>
        </w:rPr>
        <w:t xml:space="preserve"> </w:t>
      </w:r>
      <w:r>
        <w:t xml:space="preserve">proposed foreign work and the anticipated contributions to the U.S. </w:t>
      </w:r>
      <w:proofErr w:type="gramStart"/>
      <w:r>
        <w:t>economy;</w:t>
      </w:r>
      <w:proofErr w:type="gramEnd"/>
    </w:p>
    <w:p w14:paraId="260AC799" w14:textId="77777777" w:rsidR="00507AE1" w:rsidRDefault="00507AE1" w:rsidP="00F836F4">
      <w:pPr>
        <w:pStyle w:val="ListParagraph"/>
        <w:widowControl w:val="0"/>
        <w:numPr>
          <w:ilvl w:val="1"/>
          <w:numId w:val="101"/>
        </w:numPr>
        <w:tabs>
          <w:tab w:val="left" w:pos="2009"/>
          <w:tab w:val="left" w:pos="2010"/>
        </w:tabs>
        <w:autoSpaceDE w:val="0"/>
        <w:autoSpaceDN w:val="0"/>
        <w:ind w:left="2010"/>
        <w:contextualSpacing w:val="0"/>
      </w:pPr>
      <w:r>
        <w:t>The</w:t>
      </w:r>
      <w:r>
        <w:rPr>
          <w:spacing w:val="-4"/>
        </w:rPr>
        <w:t xml:space="preserve"> </w:t>
      </w:r>
      <w:r>
        <w:t>associated</w:t>
      </w:r>
      <w:r>
        <w:rPr>
          <w:spacing w:val="-5"/>
        </w:rPr>
        <w:t xml:space="preserve"> </w:t>
      </w:r>
      <w:r>
        <w:t>benefits</w:t>
      </w:r>
      <w:r>
        <w:rPr>
          <w:spacing w:val="-5"/>
        </w:rPr>
        <w:t xml:space="preserve"> </w:t>
      </w:r>
      <w:r>
        <w:t>to</w:t>
      </w:r>
      <w:r>
        <w:rPr>
          <w:spacing w:val="-4"/>
        </w:rPr>
        <w:t xml:space="preserve"> </w:t>
      </w:r>
      <w:r>
        <w:t>be</w:t>
      </w:r>
      <w:r>
        <w:rPr>
          <w:spacing w:val="-4"/>
        </w:rPr>
        <w:t xml:space="preserve"> </w:t>
      </w:r>
      <w:r>
        <w:t>realized</w:t>
      </w:r>
      <w:r>
        <w:rPr>
          <w:spacing w:val="-5"/>
        </w:rPr>
        <w:t xml:space="preserve"> </w:t>
      </w:r>
      <w:r>
        <w:t>and</w:t>
      </w:r>
      <w:r>
        <w:rPr>
          <w:spacing w:val="-5"/>
        </w:rPr>
        <w:t xml:space="preserve"> </w:t>
      </w:r>
      <w:r>
        <w:t>the</w:t>
      </w:r>
      <w:r>
        <w:rPr>
          <w:spacing w:val="-4"/>
        </w:rPr>
        <w:t xml:space="preserve"> </w:t>
      </w:r>
      <w:r>
        <w:t>contribution</w:t>
      </w:r>
      <w:r>
        <w:rPr>
          <w:spacing w:val="-5"/>
        </w:rPr>
        <w:t xml:space="preserve"> </w:t>
      </w:r>
      <w:r>
        <w:t>to</w:t>
      </w:r>
      <w:r>
        <w:rPr>
          <w:spacing w:val="-4"/>
        </w:rPr>
        <w:t xml:space="preserve"> </w:t>
      </w:r>
      <w:r>
        <w:t>the</w:t>
      </w:r>
      <w:r>
        <w:rPr>
          <w:spacing w:val="-4"/>
        </w:rPr>
        <w:t xml:space="preserve"> </w:t>
      </w:r>
      <w:r>
        <w:t xml:space="preserve">project from the foreign </w:t>
      </w:r>
      <w:proofErr w:type="gramStart"/>
      <w:r>
        <w:t>work;</w:t>
      </w:r>
      <w:proofErr w:type="gramEnd"/>
    </w:p>
    <w:p w14:paraId="0697EF36" w14:textId="77777777" w:rsidR="00507AE1" w:rsidRDefault="00507AE1" w:rsidP="00F836F4">
      <w:pPr>
        <w:pStyle w:val="ListParagraph"/>
        <w:widowControl w:val="0"/>
        <w:numPr>
          <w:ilvl w:val="1"/>
          <w:numId w:val="101"/>
        </w:numPr>
        <w:tabs>
          <w:tab w:val="left" w:pos="2009"/>
          <w:tab w:val="left" w:pos="2010"/>
        </w:tabs>
        <w:autoSpaceDE w:val="0"/>
        <w:autoSpaceDN w:val="0"/>
        <w:ind w:left="2010"/>
        <w:contextualSpacing w:val="0"/>
      </w:pPr>
      <w:r>
        <w:t>How the foreign work will benefit U.S. research, development and manufacturing,</w:t>
      </w:r>
      <w:r>
        <w:rPr>
          <w:spacing w:val="-5"/>
        </w:rPr>
        <w:t xml:space="preserve"> </w:t>
      </w:r>
      <w:r>
        <w:t>including</w:t>
      </w:r>
      <w:r>
        <w:rPr>
          <w:spacing w:val="-5"/>
        </w:rPr>
        <w:t xml:space="preserve"> </w:t>
      </w:r>
      <w:r>
        <w:t>contributions</w:t>
      </w:r>
      <w:r>
        <w:rPr>
          <w:spacing w:val="-5"/>
        </w:rPr>
        <w:t xml:space="preserve"> </w:t>
      </w:r>
      <w:r>
        <w:t>to</w:t>
      </w:r>
      <w:r>
        <w:rPr>
          <w:spacing w:val="-5"/>
        </w:rPr>
        <w:t xml:space="preserve"> </w:t>
      </w:r>
      <w:r>
        <w:t>employment</w:t>
      </w:r>
      <w:r>
        <w:rPr>
          <w:spacing w:val="-5"/>
        </w:rPr>
        <w:t xml:space="preserve"> </w:t>
      </w:r>
      <w:r>
        <w:t>in</w:t>
      </w:r>
      <w:r>
        <w:rPr>
          <w:spacing w:val="-5"/>
        </w:rPr>
        <w:t xml:space="preserve"> </w:t>
      </w:r>
      <w:r>
        <w:t>the</w:t>
      </w:r>
      <w:r>
        <w:rPr>
          <w:spacing w:val="-5"/>
        </w:rPr>
        <w:t xml:space="preserve"> </w:t>
      </w:r>
      <w:r>
        <w:t>U.S.</w:t>
      </w:r>
      <w:r>
        <w:rPr>
          <w:spacing w:val="-5"/>
        </w:rPr>
        <w:t xml:space="preserve"> </w:t>
      </w:r>
      <w:r>
        <w:t xml:space="preserve">and growth in new markets and jobs in the </w:t>
      </w:r>
      <w:proofErr w:type="gramStart"/>
      <w:r>
        <w:t>U.S.;</w:t>
      </w:r>
      <w:proofErr w:type="gramEnd"/>
    </w:p>
    <w:p w14:paraId="0DC09EB2" w14:textId="77777777" w:rsidR="00507AE1" w:rsidRDefault="00507AE1" w:rsidP="00F836F4">
      <w:pPr>
        <w:pStyle w:val="ListParagraph"/>
        <w:widowControl w:val="0"/>
        <w:numPr>
          <w:ilvl w:val="1"/>
          <w:numId w:val="101"/>
        </w:numPr>
        <w:tabs>
          <w:tab w:val="left" w:pos="2009"/>
          <w:tab w:val="left" w:pos="2010"/>
        </w:tabs>
        <w:autoSpaceDE w:val="0"/>
        <w:autoSpaceDN w:val="0"/>
        <w:ind w:left="2010"/>
        <w:contextualSpacing w:val="0"/>
      </w:pPr>
      <w:r>
        <w:t>How</w:t>
      </w:r>
      <w:r>
        <w:rPr>
          <w:spacing w:val="-5"/>
        </w:rPr>
        <w:t xml:space="preserve"> </w:t>
      </w:r>
      <w:r>
        <w:t>the</w:t>
      </w:r>
      <w:r>
        <w:rPr>
          <w:spacing w:val="-4"/>
        </w:rPr>
        <w:t xml:space="preserve"> </w:t>
      </w:r>
      <w:r>
        <w:t>foreign</w:t>
      </w:r>
      <w:r>
        <w:rPr>
          <w:spacing w:val="-5"/>
        </w:rPr>
        <w:t xml:space="preserve"> </w:t>
      </w:r>
      <w:r>
        <w:t>work</w:t>
      </w:r>
      <w:r>
        <w:rPr>
          <w:spacing w:val="-5"/>
        </w:rPr>
        <w:t xml:space="preserve"> </w:t>
      </w:r>
      <w:r>
        <w:t>will</w:t>
      </w:r>
      <w:r>
        <w:rPr>
          <w:spacing w:val="-5"/>
        </w:rPr>
        <w:t xml:space="preserve"> </w:t>
      </w:r>
      <w:r>
        <w:t>promote</w:t>
      </w:r>
      <w:r>
        <w:rPr>
          <w:spacing w:val="-5"/>
        </w:rPr>
        <w:t xml:space="preserve"> </w:t>
      </w:r>
      <w:r>
        <w:t>domestic</w:t>
      </w:r>
      <w:r>
        <w:rPr>
          <w:spacing w:val="-4"/>
        </w:rPr>
        <w:t xml:space="preserve"> </w:t>
      </w:r>
      <w:r>
        <w:t>American</w:t>
      </w:r>
      <w:r>
        <w:rPr>
          <w:spacing w:val="-5"/>
        </w:rPr>
        <w:t xml:space="preserve"> </w:t>
      </w:r>
      <w:r>
        <w:t>manufacturing</w:t>
      </w:r>
      <w:r>
        <w:rPr>
          <w:spacing w:val="-5"/>
        </w:rPr>
        <w:t xml:space="preserve"> </w:t>
      </w:r>
      <w:r>
        <w:t xml:space="preserve">of products and/or </w:t>
      </w:r>
      <w:proofErr w:type="gramStart"/>
      <w:r>
        <w:t>services;</w:t>
      </w:r>
      <w:proofErr w:type="gramEnd"/>
    </w:p>
    <w:p w14:paraId="3194CF5B" w14:textId="77777777" w:rsidR="00507AE1" w:rsidRDefault="00507AE1" w:rsidP="00F836F4">
      <w:pPr>
        <w:pStyle w:val="ListParagraph"/>
        <w:widowControl w:val="0"/>
        <w:numPr>
          <w:ilvl w:val="1"/>
          <w:numId w:val="101"/>
        </w:numPr>
        <w:tabs>
          <w:tab w:val="left" w:pos="2009"/>
          <w:tab w:val="left" w:pos="2010"/>
        </w:tabs>
        <w:autoSpaceDE w:val="0"/>
        <w:autoSpaceDN w:val="0"/>
        <w:ind w:left="2010"/>
        <w:contextualSpacing w:val="0"/>
      </w:pPr>
      <w:r>
        <w:t>A</w:t>
      </w:r>
      <w:r>
        <w:rPr>
          <w:spacing w:val="-4"/>
        </w:rPr>
        <w:t xml:space="preserve"> </w:t>
      </w:r>
      <w:r>
        <w:t>description</w:t>
      </w:r>
      <w:r>
        <w:rPr>
          <w:spacing w:val="-5"/>
        </w:rPr>
        <w:t xml:space="preserve"> </w:t>
      </w:r>
      <w:r>
        <w:t>of</w:t>
      </w:r>
      <w:r>
        <w:rPr>
          <w:spacing w:val="-5"/>
        </w:rPr>
        <w:t xml:space="preserve"> </w:t>
      </w:r>
      <w:r>
        <w:t>the</w:t>
      </w:r>
      <w:r>
        <w:rPr>
          <w:spacing w:val="-4"/>
        </w:rPr>
        <w:t xml:space="preserve"> </w:t>
      </w:r>
      <w:r>
        <w:t>likelihood</w:t>
      </w:r>
      <w:r>
        <w:rPr>
          <w:spacing w:val="-5"/>
        </w:rPr>
        <w:t xml:space="preserve"> </w:t>
      </w:r>
      <w:r>
        <w:t>of</w:t>
      </w:r>
      <w:r>
        <w:rPr>
          <w:spacing w:val="-5"/>
        </w:rPr>
        <w:t xml:space="preserve"> </w:t>
      </w:r>
      <w:r>
        <w:t>Intellectual</w:t>
      </w:r>
      <w:r>
        <w:rPr>
          <w:spacing w:val="-5"/>
        </w:rPr>
        <w:t xml:space="preserve"> </w:t>
      </w:r>
      <w:r>
        <w:t>Property</w:t>
      </w:r>
      <w:r>
        <w:rPr>
          <w:spacing w:val="-4"/>
        </w:rPr>
        <w:t xml:space="preserve"> </w:t>
      </w:r>
      <w:r>
        <w:t>(IP)</w:t>
      </w:r>
      <w:r>
        <w:rPr>
          <w:spacing w:val="-4"/>
        </w:rPr>
        <w:t xml:space="preserve"> </w:t>
      </w:r>
      <w:r>
        <w:t>being</w:t>
      </w:r>
      <w:r>
        <w:rPr>
          <w:spacing w:val="-5"/>
        </w:rPr>
        <w:t xml:space="preserve"> </w:t>
      </w:r>
      <w:r>
        <w:t xml:space="preserve">created from the foreign work and the treatment of any such </w:t>
      </w:r>
      <w:proofErr w:type="gramStart"/>
      <w:r>
        <w:t>IP;</w:t>
      </w:r>
      <w:proofErr w:type="gramEnd"/>
    </w:p>
    <w:p w14:paraId="34E3B4D8" w14:textId="77777777" w:rsidR="00507AE1" w:rsidRDefault="00507AE1" w:rsidP="00F836F4">
      <w:pPr>
        <w:pStyle w:val="ListParagraph"/>
        <w:widowControl w:val="0"/>
        <w:numPr>
          <w:ilvl w:val="1"/>
          <w:numId w:val="101"/>
        </w:numPr>
        <w:tabs>
          <w:tab w:val="left" w:pos="2009"/>
          <w:tab w:val="left" w:pos="2010"/>
        </w:tabs>
        <w:autoSpaceDE w:val="0"/>
        <w:autoSpaceDN w:val="0"/>
        <w:ind w:left="2010"/>
        <w:contextualSpacing w:val="0"/>
      </w:pPr>
      <w:r>
        <w:t>The</w:t>
      </w:r>
      <w:r>
        <w:rPr>
          <w:spacing w:val="-3"/>
        </w:rPr>
        <w:t xml:space="preserve"> </w:t>
      </w:r>
      <w:r>
        <w:t>total</w:t>
      </w:r>
      <w:r>
        <w:rPr>
          <w:spacing w:val="-4"/>
        </w:rPr>
        <w:t xml:space="preserve"> </w:t>
      </w:r>
      <w:r>
        <w:t>estimated</w:t>
      </w:r>
      <w:r>
        <w:rPr>
          <w:spacing w:val="-4"/>
        </w:rPr>
        <w:t xml:space="preserve"> </w:t>
      </w:r>
      <w:r>
        <w:t>cost</w:t>
      </w:r>
      <w:r>
        <w:rPr>
          <w:spacing w:val="-4"/>
        </w:rPr>
        <w:t xml:space="preserve"> </w:t>
      </w:r>
      <w:r>
        <w:t>(DOE</w:t>
      </w:r>
      <w:r>
        <w:rPr>
          <w:spacing w:val="-3"/>
        </w:rPr>
        <w:t xml:space="preserve"> </w:t>
      </w:r>
      <w:r>
        <w:t>and</w:t>
      </w:r>
      <w:r>
        <w:rPr>
          <w:spacing w:val="-4"/>
        </w:rPr>
        <w:t xml:space="preserve"> </w:t>
      </w:r>
      <w:r>
        <w:t>recipient</w:t>
      </w:r>
      <w:r>
        <w:rPr>
          <w:spacing w:val="-4"/>
        </w:rPr>
        <w:t xml:space="preserve"> </w:t>
      </w:r>
      <w:r>
        <w:t>cost</w:t>
      </w:r>
      <w:r>
        <w:rPr>
          <w:spacing w:val="-4"/>
        </w:rPr>
        <w:t xml:space="preserve"> </w:t>
      </w:r>
      <w:r>
        <w:t>share)</w:t>
      </w:r>
      <w:r>
        <w:rPr>
          <w:spacing w:val="-3"/>
        </w:rPr>
        <w:t xml:space="preserve"> </w:t>
      </w:r>
      <w:r>
        <w:t>of</w:t>
      </w:r>
      <w:r>
        <w:rPr>
          <w:spacing w:val="-4"/>
        </w:rPr>
        <w:t xml:space="preserve"> </w:t>
      </w:r>
      <w:r>
        <w:t>the</w:t>
      </w:r>
      <w:r>
        <w:rPr>
          <w:spacing w:val="-3"/>
        </w:rPr>
        <w:t xml:space="preserve"> </w:t>
      </w:r>
      <w:r>
        <w:t xml:space="preserve">proposed foreign </w:t>
      </w:r>
      <w:proofErr w:type="gramStart"/>
      <w:r>
        <w:t>work;</w:t>
      </w:r>
      <w:proofErr w:type="gramEnd"/>
    </w:p>
    <w:p w14:paraId="1E9D93B2" w14:textId="77777777" w:rsidR="00507AE1" w:rsidRDefault="00507AE1" w:rsidP="00F836F4">
      <w:pPr>
        <w:pStyle w:val="ListParagraph"/>
        <w:widowControl w:val="0"/>
        <w:numPr>
          <w:ilvl w:val="1"/>
          <w:numId w:val="101"/>
        </w:numPr>
        <w:tabs>
          <w:tab w:val="left" w:pos="2009"/>
          <w:tab w:val="left" w:pos="2010"/>
        </w:tabs>
        <w:autoSpaceDE w:val="0"/>
        <w:autoSpaceDN w:val="0"/>
        <w:ind w:left="2010"/>
        <w:contextualSpacing w:val="0"/>
      </w:pPr>
      <w:r>
        <w:t>The</w:t>
      </w:r>
      <w:r>
        <w:rPr>
          <w:spacing w:val="-4"/>
        </w:rPr>
        <w:t xml:space="preserve"> </w:t>
      </w:r>
      <w:r>
        <w:t>measures</w:t>
      </w:r>
      <w:r>
        <w:rPr>
          <w:spacing w:val="-5"/>
        </w:rPr>
        <w:t xml:space="preserve"> </w:t>
      </w:r>
      <w:r>
        <w:t>in</w:t>
      </w:r>
      <w:r>
        <w:rPr>
          <w:spacing w:val="-5"/>
        </w:rPr>
        <w:t xml:space="preserve"> </w:t>
      </w:r>
      <w:r>
        <w:t>place</w:t>
      </w:r>
      <w:r>
        <w:rPr>
          <w:spacing w:val="-4"/>
        </w:rPr>
        <w:t xml:space="preserve"> </w:t>
      </w:r>
      <w:r>
        <w:t>to</w:t>
      </w:r>
      <w:r>
        <w:rPr>
          <w:spacing w:val="-4"/>
        </w:rPr>
        <w:t xml:space="preserve"> </w:t>
      </w:r>
      <w:r>
        <w:t>control</w:t>
      </w:r>
      <w:r>
        <w:rPr>
          <w:spacing w:val="-5"/>
        </w:rPr>
        <w:t xml:space="preserve"> </w:t>
      </w:r>
      <w:r>
        <w:t>sensitive</w:t>
      </w:r>
      <w:r>
        <w:rPr>
          <w:spacing w:val="-4"/>
        </w:rPr>
        <w:t xml:space="preserve"> </w:t>
      </w:r>
      <w:r>
        <w:t>information</w:t>
      </w:r>
      <w:r>
        <w:rPr>
          <w:spacing w:val="-5"/>
        </w:rPr>
        <w:t xml:space="preserve"> </w:t>
      </w:r>
      <w:r>
        <w:t>and</w:t>
      </w:r>
      <w:r>
        <w:rPr>
          <w:spacing w:val="-6"/>
        </w:rPr>
        <w:t xml:space="preserve"> </w:t>
      </w:r>
      <w:r>
        <w:t>protect</w:t>
      </w:r>
      <w:r>
        <w:rPr>
          <w:spacing w:val="-5"/>
        </w:rPr>
        <w:t xml:space="preserve"> </w:t>
      </w:r>
      <w:r>
        <w:t xml:space="preserve">against unauthorized transfer of scientific and technical </w:t>
      </w:r>
      <w:proofErr w:type="gramStart"/>
      <w:r>
        <w:t>information;</w:t>
      </w:r>
      <w:proofErr w:type="gramEnd"/>
    </w:p>
    <w:p w14:paraId="1E37C33F" w14:textId="77777777" w:rsidR="00507AE1" w:rsidRDefault="00507AE1" w:rsidP="00F836F4">
      <w:pPr>
        <w:pStyle w:val="ListParagraph"/>
        <w:widowControl w:val="0"/>
        <w:numPr>
          <w:ilvl w:val="1"/>
          <w:numId w:val="101"/>
        </w:numPr>
        <w:tabs>
          <w:tab w:val="left" w:pos="2009"/>
          <w:tab w:val="left" w:pos="2010"/>
        </w:tabs>
        <w:autoSpaceDE w:val="0"/>
        <w:autoSpaceDN w:val="0"/>
        <w:ind w:left="2010"/>
        <w:contextualSpacing w:val="0"/>
      </w:pPr>
      <w:r>
        <w:t>The</w:t>
      </w:r>
      <w:r>
        <w:rPr>
          <w:spacing w:val="-4"/>
        </w:rPr>
        <w:t xml:space="preserve"> </w:t>
      </w:r>
      <w:r>
        <w:t>countries</w:t>
      </w:r>
      <w:r>
        <w:rPr>
          <w:spacing w:val="-3"/>
        </w:rPr>
        <w:t xml:space="preserve"> </w:t>
      </w:r>
      <w:r>
        <w:t>in</w:t>
      </w:r>
      <w:r>
        <w:rPr>
          <w:spacing w:val="-3"/>
        </w:rPr>
        <w:t xml:space="preserve"> </w:t>
      </w:r>
      <w:r>
        <w:t>which</w:t>
      </w:r>
      <w:r>
        <w:rPr>
          <w:spacing w:val="-2"/>
        </w:rPr>
        <w:t xml:space="preserve"> </w:t>
      </w:r>
      <w:r>
        <w:t>the</w:t>
      </w:r>
      <w:r>
        <w:rPr>
          <w:spacing w:val="-2"/>
        </w:rPr>
        <w:t xml:space="preserve"> </w:t>
      </w:r>
      <w:r>
        <w:t>foreign</w:t>
      </w:r>
      <w:r>
        <w:rPr>
          <w:spacing w:val="-3"/>
        </w:rPr>
        <w:t xml:space="preserve"> </w:t>
      </w:r>
      <w:r>
        <w:t>work</w:t>
      </w:r>
      <w:r>
        <w:rPr>
          <w:spacing w:val="-3"/>
        </w:rPr>
        <w:t xml:space="preserve"> </w:t>
      </w:r>
      <w:r>
        <w:t>is</w:t>
      </w:r>
      <w:r>
        <w:rPr>
          <w:spacing w:val="-2"/>
        </w:rPr>
        <w:t xml:space="preserve"> </w:t>
      </w:r>
      <w:r>
        <w:t>proposed</w:t>
      </w:r>
      <w:r>
        <w:rPr>
          <w:spacing w:val="-3"/>
        </w:rPr>
        <w:t xml:space="preserve"> </w:t>
      </w:r>
      <w:r>
        <w:t>to</w:t>
      </w:r>
      <w:r>
        <w:rPr>
          <w:spacing w:val="-2"/>
        </w:rPr>
        <w:t xml:space="preserve"> </w:t>
      </w:r>
      <w:r>
        <w:t>be</w:t>
      </w:r>
      <w:r>
        <w:rPr>
          <w:spacing w:val="-2"/>
        </w:rPr>
        <w:t xml:space="preserve"> </w:t>
      </w:r>
      <w:r>
        <w:t>performed;</w:t>
      </w:r>
      <w:r>
        <w:rPr>
          <w:spacing w:val="-1"/>
        </w:rPr>
        <w:t xml:space="preserve"> </w:t>
      </w:r>
      <w:r>
        <w:rPr>
          <w:spacing w:val="-5"/>
        </w:rPr>
        <w:t>and</w:t>
      </w:r>
    </w:p>
    <w:p w14:paraId="5C4A0879" w14:textId="77777777" w:rsidR="00507AE1" w:rsidRDefault="00507AE1" w:rsidP="00F836F4">
      <w:pPr>
        <w:pStyle w:val="ListParagraph"/>
        <w:widowControl w:val="0"/>
        <w:numPr>
          <w:ilvl w:val="1"/>
          <w:numId w:val="101"/>
        </w:numPr>
        <w:tabs>
          <w:tab w:val="left" w:pos="2009"/>
          <w:tab w:val="left" w:pos="2010"/>
        </w:tabs>
        <w:autoSpaceDE w:val="0"/>
        <w:autoSpaceDN w:val="0"/>
        <w:ind w:left="2010"/>
        <w:contextualSpacing w:val="0"/>
      </w:pPr>
      <w:r>
        <w:t>The</w:t>
      </w:r>
      <w:r>
        <w:rPr>
          <w:spacing w:val="-4"/>
        </w:rPr>
        <w:t xml:space="preserve"> </w:t>
      </w:r>
      <w:r>
        <w:t>name</w:t>
      </w:r>
      <w:r>
        <w:rPr>
          <w:spacing w:val="-2"/>
        </w:rPr>
        <w:t xml:space="preserve"> </w:t>
      </w:r>
      <w:r>
        <w:t>of</w:t>
      </w:r>
      <w:r>
        <w:rPr>
          <w:spacing w:val="-3"/>
        </w:rPr>
        <w:t xml:space="preserve"> </w:t>
      </w:r>
      <w:r>
        <w:t>the</w:t>
      </w:r>
      <w:r>
        <w:rPr>
          <w:spacing w:val="-1"/>
        </w:rPr>
        <w:t xml:space="preserve"> </w:t>
      </w:r>
      <w:r>
        <w:t>entity</w:t>
      </w:r>
      <w:r>
        <w:rPr>
          <w:spacing w:val="-2"/>
        </w:rPr>
        <w:t xml:space="preserve"> </w:t>
      </w:r>
      <w:r>
        <w:t>that</w:t>
      </w:r>
      <w:r>
        <w:rPr>
          <w:spacing w:val="-2"/>
        </w:rPr>
        <w:t xml:space="preserve"> </w:t>
      </w:r>
      <w:r>
        <w:t>would</w:t>
      </w:r>
      <w:r>
        <w:rPr>
          <w:spacing w:val="-2"/>
        </w:rPr>
        <w:t xml:space="preserve"> </w:t>
      </w:r>
      <w:r>
        <w:t>perform</w:t>
      </w:r>
      <w:r>
        <w:rPr>
          <w:spacing w:val="-1"/>
        </w:rPr>
        <w:t xml:space="preserve"> </w:t>
      </w:r>
      <w:r>
        <w:t>the</w:t>
      </w:r>
      <w:r>
        <w:rPr>
          <w:spacing w:val="-2"/>
        </w:rPr>
        <w:t xml:space="preserve"> </w:t>
      </w:r>
      <w:r>
        <w:t>foreign</w:t>
      </w:r>
      <w:r>
        <w:rPr>
          <w:spacing w:val="-2"/>
        </w:rPr>
        <w:t xml:space="preserve"> work.</w:t>
      </w:r>
    </w:p>
    <w:p w14:paraId="1F33F9D4" w14:textId="77777777" w:rsidR="00507AE1" w:rsidRDefault="00507AE1" w:rsidP="00507AE1">
      <w:pPr>
        <w:pStyle w:val="BodyText"/>
      </w:pPr>
    </w:p>
    <w:p w14:paraId="3AD19FE7" w14:textId="60B2BBD5" w:rsidR="00507AE1" w:rsidRDefault="00507AE1" w:rsidP="00A71885">
      <w:pPr>
        <w:pStyle w:val="BodyText"/>
        <w:ind w:left="1380"/>
      </w:pPr>
      <w:r>
        <w:t>EERE</w:t>
      </w:r>
      <w:r>
        <w:rPr>
          <w:spacing w:val="-5"/>
        </w:rPr>
        <w:t xml:space="preserve"> </w:t>
      </w:r>
      <w:r>
        <w:t>may</w:t>
      </w:r>
      <w:r>
        <w:rPr>
          <w:spacing w:val="-2"/>
        </w:rPr>
        <w:t xml:space="preserve"> </w:t>
      </w:r>
      <w:r>
        <w:t>require</w:t>
      </w:r>
      <w:r>
        <w:rPr>
          <w:spacing w:val="-3"/>
        </w:rPr>
        <w:t xml:space="preserve"> </w:t>
      </w:r>
      <w:r>
        <w:t>additional</w:t>
      </w:r>
      <w:r>
        <w:rPr>
          <w:spacing w:val="-3"/>
        </w:rPr>
        <w:t xml:space="preserve"> </w:t>
      </w:r>
      <w:r>
        <w:t>information</w:t>
      </w:r>
      <w:r>
        <w:rPr>
          <w:spacing w:val="-3"/>
        </w:rPr>
        <w:t xml:space="preserve"> </w:t>
      </w:r>
      <w:r>
        <w:t>before</w:t>
      </w:r>
      <w:r>
        <w:rPr>
          <w:spacing w:val="-4"/>
        </w:rPr>
        <w:t xml:space="preserve"> </w:t>
      </w:r>
      <w:r>
        <w:t>considering</w:t>
      </w:r>
      <w:r>
        <w:rPr>
          <w:spacing w:val="-4"/>
        </w:rPr>
        <w:t xml:space="preserve"> </w:t>
      </w:r>
      <w:r>
        <w:t>the</w:t>
      </w:r>
      <w:r>
        <w:rPr>
          <w:spacing w:val="-2"/>
        </w:rPr>
        <w:t xml:space="preserve"> </w:t>
      </w:r>
      <w:r>
        <w:t>waiver</w:t>
      </w:r>
      <w:r>
        <w:rPr>
          <w:spacing w:val="-2"/>
        </w:rPr>
        <w:t xml:space="preserve"> request.</w:t>
      </w:r>
    </w:p>
    <w:p w14:paraId="16F02A33" w14:textId="086719EA" w:rsidR="00507AE1" w:rsidRDefault="00507AE1" w:rsidP="00507AE1">
      <w:pPr>
        <w:pStyle w:val="BodyText"/>
        <w:ind w:left="1380"/>
      </w:pPr>
      <w:r>
        <w:t>The</w:t>
      </w:r>
      <w:r>
        <w:rPr>
          <w:spacing w:val="-3"/>
        </w:rPr>
        <w:t xml:space="preserve"> </w:t>
      </w:r>
      <w:r>
        <w:t>applicant</w:t>
      </w:r>
      <w:r>
        <w:rPr>
          <w:spacing w:val="-4"/>
        </w:rPr>
        <w:t xml:space="preserve"> </w:t>
      </w:r>
      <w:r>
        <w:t>does</w:t>
      </w:r>
      <w:r>
        <w:rPr>
          <w:spacing w:val="-4"/>
        </w:rPr>
        <w:t xml:space="preserve"> </w:t>
      </w:r>
      <w:r>
        <w:t>not</w:t>
      </w:r>
      <w:r>
        <w:rPr>
          <w:spacing w:val="-5"/>
        </w:rPr>
        <w:t xml:space="preserve"> </w:t>
      </w:r>
      <w:r>
        <w:t>have</w:t>
      </w:r>
      <w:r>
        <w:rPr>
          <w:spacing w:val="-3"/>
        </w:rPr>
        <w:t xml:space="preserve"> </w:t>
      </w:r>
      <w:r>
        <w:t>the</w:t>
      </w:r>
      <w:r>
        <w:rPr>
          <w:spacing w:val="-3"/>
        </w:rPr>
        <w:t xml:space="preserve"> </w:t>
      </w:r>
      <w:r>
        <w:t>right</w:t>
      </w:r>
      <w:r>
        <w:rPr>
          <w:spacing w:val="-4"/>
        </w:rPr>
        <w:t xml:space="preserve"> </w:t>
      </w:r>
      <w:r>
        <w:t>to</w:t>
      </w:r>
      <w:r>
        <w:rPr>
          <w:spacing w:val="-3"/>
        </w:rPr>
        <w:t xml:space="preserve"> </w:t>
      </w:r>
      <w:r>
        <w:t>appeal</w:t>
      </w:r>
      <w:r>
        <w:rPr>
          <w:spacing w:val="-5"/>
        </w:rPr>
        <w:t xml:space="preserve"> </w:t>
      </w:r>
      <w:r>
        <w:t>EERE’s</w:t>
      </w:r>
      <w:r>
        <w:rPr>
          <w:spacing w:val="-4"/>
        </w:rPr>
        <w:t xml:space="preserve"> </w:t>
      </w:r>
      <w:r>
        <w:t>decision</w:t>
      </w:r>
      <w:r>
        <w:rPr>
          <w:spacing w:val="-4"/>
        </w:rPr>
        <w:t xml:space="preserve"> </w:t>
      </w:r>
      <w:r>
        <w:t>concerning</w:t>
      </w:r>
      <w:r>
        <w:rPr>
          <w:spacing w:val="-4"/>
        </w:rPr>
        <w:t xml:space="preserve"> </w:t>
      </w:r>
      <w:r>
        <w:t>a waiver request.</w:t>
      </w:r>
    </w:p>
    <w:p w14:paraId="7659E6E5" w14:textId="62ABC546" w:rsidR="00A71885" w:rsidRDefault="00A71885">
      <w:r>
        <w:br w:type="page"/>
      </w:r>
    </w:p>
    <w:p w14:paraId="31A18483" w14:textId="77777777" w:rsidR="00A71885" w:rsidRPr="00563B4B" w:rsidRDefault="00A71885" w:rsidP="00A71885">
      <w:pPr>
        <w:pStyle w:val="AppendixHeading"/>
        <w:outlineLvl w:val="0"/>
      </w:pPr>
      <w:bookmarkStart w:id="711" w:name="_Toc103174945"/>
      <w:bookmarkStart w:id="712" w:name="_Toc109921796"/>
      <w:r w:rsidRPr="00563B4B">
        <w:t>Appendix D – Required Use of American Iron, Steel, Manufactured Products, and Construction Materials</w:t>
      </w:r>
      <w:bookmarkEnd w:id="711"/>
      <w:bookmarkEnd w:id="712"/>
    </w:p>
    <w:p w14:paraId="1C6552A9" w14:textId="01276C3D" w:rsidR="00A71885" w:rsidRPr="001301EF" w:rsidRDefault="002D1715" w:rsidP="00AA4320">
      <w:pPr>
        <w:pStyle w:val="AppendixHeading"/>
      </w:pPr>
      <w:bookmarkStart w:id="713" w:name="_Toc103174946"/>
      <w:r>
        <w:t xml:space="preserve">Build America </w:t>
      </w:r>
      <w:r w:rsidR="00A71885" w:rsidRPr="00563B4B">
        <w:t>Buy America Requirements for Infrastructure Projects</w:t>
      </w:r>
      <w:bookmarkEnd w:id="713"/>
    </w:p>
    <w:p w14:paraId="7620D24A" w14:textId="77777777" w:rsidR="00A71885" w:rsidRDefault="00A71885" w:rsidP="00A71885"/>
    <w:p w14:paraId="64306A39" w14:textId="77777777" w:rsidR="00A71885" w:rsidRPr="00DB312E" w:rsidRDefault="00A71885" w:rsidP="00A71885">
      <w:pPr>
        <w:rPr>
          <w:b/>
          <w:bCs/>
        </w:rPr>
      </w:pPr>
      <w:r w:rsidRPr="006D0D18">
        <w:rPr>
          <w:b/>
          <w:bCs/>
        </w:rPr>
        <w:t>A.</w:t>
      </w:r>
      <w:r>
        <w:rPr>
          <w:b/>
          <w:bCs/>
        </w:rPr>
        <w:t xml:space="preserve"> </w:t>
      </w:r>
      <w:r w:rsidRPr="00DB312E">
        <w:rPr>
          <w:b/>
          <w:bCs/>
        </w:rPr>
        <w:t>Definitions</w:t>
      </w:r>
    </w:p>
    <w:p w14:paraId="30680AF6" w14:textId="77777777" w:rsidR="00A71885" w:rsidRDefault="00A71885" w:rsidP="00A71885">
      <w:r>
        <w:t>For purposes of the Buy America requirements, the following definitions apply:</w:t>
      </w:r>
    </w:p>
    <w:p w14:paraId="22795BAE" w14:textId="77777777" w:rsidR="00A71885" w:rsidRDefault="00A71885" w:rsidP="00A71885"/>
    <w:p w14:paraId="24BEF3A9" w14:textId="77777777" w:rsidR="00A71885" w:rsidRDefault="00A71885" w:rsidP="00A71885">
      <w:r w:rsidRPr="6B59E98D">
        <w:rPr>
          <w:b/>
          <w:bCs/>
          <w:i/>
          <w:iCs/>
        </w:rPr>
        <w:t>Construction materials</w:t>
      </w:r>
      <w:r>
        <w:t xml:space="preserve"> includes an article, material, or supply—other than an item of primarily iron or steel; a manufactured product; cement and cementitious materials; aggregates such as stone, sand, or gravel; or aggregate binding agents or additives</w:t>
      </w:r>
      <w:r>
        <w:rPr>
          <w:rStyle w:val="FootnoteReference"/>
        </w:rPr>
        <w:footnoteReference w:id="89"/>
      </w:r>
      <w:r>
        <w:t xml:space="preserve"> —that is or consists primarily of: </w:t>
      </w:r>
    </w:p>
    <w:p w14:paraId="4C965EE1" w14:textId="77777777" w:rsidR="00A71885" w:rsidRDefault="00A71885" w:rsidP="00A71885">
      <w:pPr>
        <w:ind w:left="720"/>
      </w:pPr>
      <w:r>
        <w:t xml:space="preserve">• non-ferrous </w:t>
      </w:r>
      <w:proofErr w:type="gramStart"/>
      <w:r>
        <w:t>metals;</w:t>
      </w:r>
      <w:proofErr w:type="gramEnd"/>
      <w:r>
        <w:t xml:space="preserve"> </w:t>
      </w:r>
    </w:p>
    <w:p w14:paraId="3FC2B854" w14:textId="77777777" w:rsidR="00A71885" w:rsidRDefault="00A71885" w:rsidP="00A71885">
      <w:pPr>
        <w:ind w:left="720"/>
      </w:pPr>
      <w:r>
        <w:t>• plastic and polymer-based products (including polyvinylchloride, composite building materials, and polymers used in fiber optic cables</w:t>
      </w:r>
      <w:proofErr w:type="gramStart"/>
      <w:r>
        <w:t>);</w:t>
      </w:r>
      <w:proofErr w:type="gramEnd"/>
      <w:r>
        <w:t xml:space="preserve"> </w:t>
      </w:r>
    </w:p>
    <w:p w14:paraId="2C263925" w14:textId="77777777" w:rsidR="00A71885" w:rsidRDefault="00A71885" w:rsidP="00A71885">
      <w:pPr>
        <w:ind w:left="720"/>
      </w:pPr>
      <w:r>
        <w:t>• glass (including optic glass</w:t>
      </w:r>
      <w:proofErr w:type="gramStart"/>
      <w:r>
        <w:t>);</w:t>
      </w:r>
      <w:proofErr w:type="gramEnd"/>
      <w:r>
        <w:t xml:space="preserve"> </w:t>
      </w:r>
    </w:p>
    <w:p w14:paraId="516B16FC" w14:textId="77777777" w:rsidR="00A71885" w:rsidRDefault="00A71885" w:rsidP="00A71885">
      <w:pPr>
        <w:ind w:left="720"/>
      </w:pPr>
      <w:r>
        <w:t xml:space="preserve">• lumber; or </w:t>
      </w:r>
    </w:p>
    <w:p w14:paraId="145D9385" w14:textId="77777777" w:rsidR="00A71885" w:rsidRDefault="00A71885" w:rsidP="00A71885">
      <w:pPr>
        <w:ind w:left="720"/>
      </w:pPr>
      <w:r>
        <w:t>• drywall.</w:t>
      </w:r>
    </w:p>
    <w:p w14:paraId="64F12437" w14:textId="77777777" w:rsidR="00A71885" w:rsidRDefault="00A71885" w:rsidP="00A71885">
      <w:pPr>
        <w:ind w:left="720"/>
      </w:pPr>
    </w:p>
    <w:p w14:paraId="12073616" w14:textId="77777777" w:rsidR="00A71885" w:rsidRDefault="00A71885" w:rsidP="00A71885">
      <w:pPr>
        <w:pStyle w:val="FOATemplateBody"/>
      </w:pPr>
      <w:r w:rsidRPr="000865EC">
        <w:rPr>
          <w:b/>
          <w:bCs/>
          <w:i/>
        </w:rPr>
        <w:t>Infrastructure</w:t>
      </w:r>
      <w:r>
        <w:t xml:space="preserve"> includes, at a minimum,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 Infrastructure includes facilities that generate, transport, and distribute energy. </w:t>
      </w:r>
    </w:p>
    <w:p w14:paraId="39B2B73E" w14:textId="77777777" w:rsidR="00A71885" w:rsidRDefault="00A71885" w:rsidP="00A71885">
      <w:pPr>
        <w:pStyle w:val="FOATemplateBody"/>
      </w:pPr>
    </w:p>
    <w:p w14:paraId="182CA9C8" w14:textId="7E5598A7" w:rsidR="00A71885" w:rsidRDefault="00A71885" w:rsidP="00A71885">
      <w:pPr>
        <w:pStyle w:val="FOATemplateBody"/>
      </w:pPr>
      <w:r>
        <w:t xml:space="preserve">In addition to the above, the infrastructure in question must be </w:t>
      </w:r>
      <w:proofErr w:type="gramStart"/>
      <w:r w:rsidR="004532A3">
        <w:t>publicly</w:t>
      </w:r>
      <w:r>
        <w:t>-owned</w:t>
      </w:r>
      <w:proofErr w:type="gramEnd"/>
      <w:r>
        <w:t xml:space="preserve"> or must serve a public function; privately owned infrastructure that is solely utilized for private use is not considered “infrastructure” for purposes of Buy America applicability. The Agency, not the applicant, will have the final say as to whether a given project includes infrastructure, as defined herein. </w:t>
      </w:r>
      <w:r w:rsidRPr="00076115">
        <w:rPr>
          <w:u w:val="single"/>
        </w:rPr>
        <w:t xml:space="preserve">Accordingly, in cases where the “public” nature of the infrastructure is unclear, DOE strongly recommends that applicants </w:t>
      </w:r>
      <w:r>
        <w:rPr>
          <w:u w:val="single"/>
        </w:rPr>
        <w:t>complete their full application with the assumption that</w:t>
      </w:r>
      <w:r w:rsidRPr="00076115">
        <w:rPr>
          <w:u w:val="single"/>
        </w:rPr>
        <w:t xml:space="preserve"> Buy America requirements </w:t>
      </w:r>
      <w:r>
        <w:rPr>
          <w:u w:val="single"/>
        </w:rPr>
        <w:t>will</w:t>
      </w:r>
      <w:r w:rsidRPr="00076115">
        <w:rPr>
          <w:u w:val="single"/>
        </w:rPr>
        <w:t xml:space="preserve"> apply to the proposed project.</w:t>
      </w:r>
    </w:p>
    <w:p w14:paraId="047A127C" w14:textId="77777777" w:rsidR="00A71885" w:rsidRDefault="00A71885" w:rsidP="00A71885">
      <w:pPr>
        <w:pStyle w:val="FOATemplateBody"/>
      </w:pPr>
    </w:p>
    <w:p w14:paraId="5A23D4B2" w14:textId="77777777" w:rsidR="00A71885" w:rsidRDefault="00A71885" w:rsidP="00A71885">
      <w:pPr>
        <w:pStyle w:val="FOATemplateBody"/>
        <w:rPr>
          <w:b/>
          <w:bCs/>
          <w:highlight w:val="green"/>
        </w:rPr>
      </w:pPr>
      <w:r w:rsidRPr="000865EC">
        <w:rPr>
          <w:b/>
          <w:bCs/>
          <w:i/>
          <w:iCs/>
        </w:rPr>
        <w:t>Project</w:t>
      </w:r>
      <w:r>
        <w:t xml:space="preserve"> means the construction, alteration, maintenance, or repair of infrastructure in the United States.</w:t>
      </w:r>
    </w:p>
    <w:p w14:paraId="2BA38C9A" w14:textId="77777777" w:rsidR="00A71885" w:rsidRDefault="00A71885" w:rsidP="00A71885">
      <w:pPr>
        <w:rPr>
          <w:b/>
          <w:bCs/>
        </w:rPr>
      </w:pPr>
    </w:p>
    <w:p w14:paraId="3C55C4EA" w14:textId="77777777" w:rsidR="00A71885" w:rsidRPr="006432FA" w:rsidRDefault="00A71885" w:rsidP="00A71885">
      <w:pPr>
        <w:rPr>
          <w:b/>
          <w:bCs/>
        </w:rPr>
      </w:pPr>
      <w:r>
        <w:rPr>
          <w:b/>
          <w:bCs/>
        </w:rPr>
        <w:t>B</w:t>
      </w:r>
      <w:r w:rsidRPr="006D0D18">
        <w:rPr>
          <w:b/>
          <w:bCs/>
        </w:rPr>
        <w:t xml:space="preserve">. Buy America </w:t>
      </w:r>
      <w:r>
        <w:rPr>
          <w:b/>
          <w:bCs/>
        </w:rPr>
        <w:t>Requirements for Infrastructure Projects (“Buy America” requirements)</w:t>
      </w:r>
    </w:p>
    <w:p w14:paraId="41701E19" w14:textId="77777777" w:rsidR="00A71885" w:rsidRDefault="00A71885" w:rsidP="00A71885">
      <w:r>
        <w:t xml:space="preserve">In accordance with </w:t>
      </w:r>
      <w:r w:rsidRPr="00667993">
        <w:t>section 70914 of the BIL, none of the project funds (includes federal share and recipient cost share) may be used for a project for infrastructure unless:</w:t>
      </w:r>
      <w:r>
        <w:t xml:space="preserve"> </w:t>
      </w:r>
    </w:p>
    <w:p w14:paraId="053F7DCD" w14:textId="77777777" w:rsidR="00A71885" w:rsidRDefault="00A71885" w:rsidP="00A71885"/>
    <w:p w14:paraId="6FC9D758" w14:textId="77777777" w:rsidR="00A71885" w:rsidRDefault="00A71885" w:rsidP="00A71885">
      <w:pPr>
        <w:ind w:left="720"/>
      </w:pPr>
      <w:r>
        <w:t xml:space="preserve">(1) all iron and steel used in the project are produced in the United States--this means all manufacturing processes, from the initial melting stage through the application of coatings, occurred in the United </w:t>
      </w:r>
      <w:proofErr w:type="gramStart"/>
      <w:r>
        <w:t>States;</w:t>
      </w:r>
      <w:proofErr w:type="gramEnd"/>
      <w:r>
        <w:t xml:space="preserve"> </w:t>
      </w:r>
    </w:p>
    <w:p w14:paraId="2D573BD0" w14:textId="77777777" w:rsidR="00A71885" w:rsidRDefault="00A71885" w:rsidP="00A71885">
      <w:pPr>
        <w:ind w:left="720"/>
      </w:pPr>
    </w:p>
    <w:p w14:paraId="069E6352" w14:textId="77777777" w:rsidR="00A71885" w:rsidRDefault="00A71885" w:rsidP="00A71885">
      <w:pPr>
        <w:ind w:left="720"/>
      </w:pPr>
      <w:r>
        <w:t xml:space="preserve">(2) all manufactured products used in the project are produced in the United States—this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and </w:t>
      </w:r>
    </w:p>
    <w:p w14:paraId="05550294" w14:textId="77777777" w:rsidR="00A71885" w:rsidRDefault="00A71885" w:rsidP="00A71885">
      <w:pPr>
        <w:ind w:left="720"/>
      </w:pPr>
    </w:p>
    <w:p w14:paraId="2950ADAD" w14:textId="77777777" w:rsidR="00A71885" w:rsidRDefault="00A71885" w:rsidP="00A71885">
      <w:pPr>
        <w:ind w:left="720"/>
      </w:pPr>
      <w:r>
        <w:t>(3) all construction materials</w:t>
      </w:r>
      <w:r>
        <w:rPr>
          <w:rStyle w:val="FootnoteReference"/>
        </w:rPr>
        <w:footnoteReference w:id="90"/>
      </w:r>
      <w:r>
        <w:t xml:space="preserve"> are manufactured in the United States—this means that all manufacturing processes for the construction material occurred in the United States. The Buy America requirements only applies to articles, materials, and supplies that are consumed in, incorporated into, or affixed to an infrastructure project. As such, it does not apply to tools, equipment, and supplies, such as temporary scaffolding, brought to the construction site and removed at or before the completion of the infrastructure project. Nor does </w:t>
      </w:r>
      <w:proofErr w:type="gramStart"/>
      <w:r>
        <w:t>a Buy America requirements</w:t>
      </w:r>
      <w:proofErr w:type="gramEnd"/>
      <w:r>
        <w:t xml:space="preserve"> apply to equipment and furnishings, such as movable chairs, desks, and portable computer equipment, that are used at or within the finished infrastructure project, but are not an integral part of the structure or permanently affixed to the infrastructure project.</w:t>
      </w:r>
    </w:p>
    <w:p w14:paraId="17238B62" w14:textId="77777777" w:rsidR="00A71885" w:rsidRDefault="00A71885" w:rsidP="00A71885"/>
    <w:p w14:paraId="49A6F7A8" w14:textId="77777777" w:rsidR="00A71885" w:rsidRDefault="00A71885" w:rsidP="00A71885">
      <w:r>
        <w:t xml:space="preserve">The Buy America requirements only apply to articles, materials, and supplies that are consumed in, incorporated into, or affixed to an infrastructure project. As such, it does not apply to tools, equipment, and supplies, such as temporary scaffolding, brought to the construction site and removed at or before the completion of the infrastructure project. Nor does the Buy America requirements apply to equipment and furnishings, such as movable chairs, desks, and portable computer equipment, that are used at or within the finished infrastructure </w:t>
      </w:r>
      <w:proofErr w:type="gramStart"/>
      <w:r>
        <w:t>project, but</w:t>
      </w:r>
      <w:proofErr w:type="gramEnd"/>
      <w:r>
        <w:t xml:space="preserve"> are not an integral part of the structure or permanently affixed to the infrastructure project.</w:t>
      </w:r>
    </w:p>
    <w:p w14:paraId="2577C5B2" w14:textId="77777777" w:rsidR="00A71885" w:rsidRDefault="00A71885" w:rsidP="00A71885"/>
    <w:p w14:paraId="7EE7F316" w14:textId="77777777" w:rsidR="00A71885" w:rsidRDefault="00A71885" w:rsidP="00A71885">
      <w:r w:rsidRPr="00A355AB">
        <w:t xml:space="preserve">These requirements must flow down to all sub-awards, all contracts, </w:t>
      </w:r>
      <w:proofErr w:type="gramStart"/>
      <w:r w:rsidRPr="00A355AB">
        <w:t>subcontracts</w:t>
      </w:r>
      <w:proofErr w:type="gramEnd"/>
      <w:r w:rsidRPr="00A355AB">
        <w:t xml:space="preserve"> and purchase orders for work performed under the proposed project</w:t>
      </w:r>
      <w:r>
        <w:t>.</w:t>
      </w:r>
    </w:p>
    <w:p w14:paraId="23658064" w14:textId="77777777" w:rsidR="00A71885" w:rsidRDefault="00A71885" w:rsidP="00A71885"/>
    <w:p w14:paraId="07FB374D" w14:textId="59864FE4" w:rsidR="00A71885" w:rsidRDefault="00A71885" w:rsidP="00A71885">
      <w:r>
        <w:rPr>
          <w:rFonts w:ascii="TT13Et00" w:hAnsi="TT13Et00"/>
        </w:rPr>
        <w:t xml:space="preserve">For </w:t>
      </w:r>
      <w:r w:rsidRPr="008E593D">
        <w:rPr>
          <w:rFonts w:ascii="TT13Et00" w:hAnsi="TT13Et00"/>
        </w:rPr>
        <w:t>additional information</w:t>
      </w:r>
      <w:r>
        <w:rPr>
          <w:rFonts w:ascii="TT13Et00" w:hAnsi="TT13Et00"/>
        </w:rPr>
        <w:t>, please see OMB Memorandum M-22-11, issued April 18, 2022</w:t>
      </w:r>
      <w:r w:rsidRPr="008E593D">
        <w:rPr>
          <w:rFonts w:ascii="TT13Et00" w:hAnsi="TT13Et00"/>
        </w:rPr>
        <w:t xml:space="preserve">: </w:t>
      </w:r>
      <w:hyperlink r:id="rId91" w:history="1">
        <w:r w:rsidRPr="008E593D">
          <w:rPr>
            <w:rFonts w:ascii="TT13Et00" w:hAnsi="TT13Et00"/>
            <w:color w:val="0000FF"/>
            <w:u w:val="single"/>
          </w:rPr>
          <w:t>https://www.whitehouse.gov/wp-content/uploads/2022/04/M-22-11.pdf</w:t>
        </w:r>
      </w:hyperlink>
      <w:r w:rsidR="00513B18">
        <w:rPr>
          <w:rFonts w:ascii="TT13Et00" w:hAnsi="TT13Et00"/>
          <w:color w:val="0000FF"/>
          <w:u w:val="single"/>
        </w:rPr>
        <w:t xml:space="preserve">  </w:t>
      </w:r>
      <w:r w:rsidR="00513B18" w:rsidRPr="00513B18">
        <w:rPr>
          <w:rFonts w:ascii="TT13Et00" w:hAnsi="TT13Et00"/>
          <w:color w:val="0000FF"/>
          <w:u w:val="single"/>
        </w:rPr>
        <w:t>Initial Implementation Guidance on Application of Buy America Preference in Federal Financial Assistance Programs for Infrastructure</w:t>
      </w:r>
    </w:p>
    <w:p w14:paraId="4B853693" w14:textId="77777777" w:rsidR="00A71885" w:rsidRDefault="00A71885" w:rsidP="00A71885"/>
    <w:p w14:paraId="508B88AF" w14:textId="77777777" w:rsidR="00A71885" w:rsidRPr="00FE08E2" w:rsidRDefault="00A71885" w:rsidP="00A71885">
      <w:pPr>
        <w:pStyle w:val="FOATemplateBody"/>
        <w:rPr>
          <w:b/>
          <w:bCs/>
        </w:rPr>
      </w:pPr>
      <w:r>
        <w:rPr>
          <w:b/>
          <w:bCs/>
        </w:rPr>
        <w:t>C</w:t>
      </w:r>
      <w:r w:rsidRPr="0064553C">
        <w:rPr>
          <w:b/>
          <w:bCs/>
        </w:rPr>
        <w:t xml:space="preserve">. </w:t>
      </w:r>
      <w:r w:rsidRPr="00FE08E2">
        <w:rPr>
          <w:b/>
          <w:bCs/>
        </w:rPr>
        <w:t>DOE Submission Requirements for Full Application</w:t>
      </w:r>
    </w:p>
    <w:p w14:paraId="14076EE7" w14:textId="77777777" w:rsidR="00A71885" w:rsidRPr="00FE790F" w:rsidRDefault="00A71885" w:rsidP="00A71885">
      <w:pPr>
        <w:spacing w:after="120"/>
      </w:pPr>
      <w:r>
        <w:t xml:space="preserve">Within </w:t>
      </w:r>
      <w:r w:rsidRPr="00996FF2">
        <w:t>the first two pages of the workplan, applicants must provide a short statement on whether the project will involve the construction, alteration, and/or repair of infrastructure in the United States.</w:t>
      </w:r>
      <w:r w:rsidRPr="00996FF2">
        <w:rPr>
          <w:color w:val="000000" w:themeColor="text1"/>
          <w:sz w:val="21"/>
          <w:szCs w:val="21"/>
        </w:rPr>
        <w:t xml:space="preserve"> </w:t>
      </w:r>
      <w:r>
        <w:rPr>
          <w:color w:val="000000" w:themeColor="text1"/>
          <w:sz w:val="21"/>
          <w:szCs w:val="21"/>
        </w:rPr>
        <w:t xml:space="preserve"> </w:t>
      </w:r>
      <w:r w:rsidRPr="00763AC8">
        <w:t>The ultimate determination about whether a project includes infrastructure remains with DOE, but the applicant’s statement will assist project planning and integration of domestic preference requirements, which may impact the project’s proposed budget</w:t>
      </w:r>
      <w:r>
        <w:t>.</w:t>
      </w:r>
    </w:p>
    <w:p w14:paraId="7C3658C6" w14:textId="77777777" w:rsidR="00A71885" w:rsidRDefault="00A71885" w:rsidP="00A71885">
      <w:r>
        <w:rPr>
          <w:b/>
          <w:bCs/>
        </w:rPr>
        <w:t>D</w:t>
      </w:r>
      <w:r w:rsidRPr="0064553C">
        <w:rPr>
          <w:b/>
          <w:bCs/>
        </w:rPr>
        <w:t>. Waivers</w:t>
      </w:r>
      <w:r w:rsidRPr="0064553C">
        <w:t xml:space="preserve"> </w:t>
      </w:r>
    </w:p>
    <w:p w14:paraId="4BF8A15C" w14:textId="77777777" w:rsidR="00A71885" w:rsidRDefault="00A71885" w:rsidP="00A71885">
      <w:r>
        <w:t xml:space="preserve">In limited circumstances, DOE may waive the application of the Buy America requirements where DOE determines that: </w:t>
      </w:r>
    </w:p>
    <w:p w14:paraId="1C5322F6" w14:textId="77777777" w:rsidR="00A71885" w:rsidRDefault="00A71885" w:rsidP="00A71885"/>
    <w:p w14:paraId="3C70F75B" w14:textId="77777777" w:rsidR="00A71885" w:rsidRDefault="00A71885" w:rsidP="00A71885">
      <w:pPr>
        <w:ind w:left="720"/>
      </w:pPr>
      <w:r>
        <w:t xml:space="preserve">(1) applying the Buy America requirements would be inconsistent with the public </w:t>
      </w:r>
      <w:proofErr w:type="gramStart"/>
      <w:r>
        <w:t>interest;</w:t>
      </w:r>
      <w:proofErr w:type="gramEnd"/>
      <w:r>
        <w:t xml:space="preserve"> </w:t>
      </w:r>
    </w:p>
    <w:p w14:paraId="54CE3C8B" w14:textId="77777777" w:rsidR="00A71885" w:rsidRDefault="00A71885" w:rsidP="00A71885">
      <w:pPr>
        <w:ind w:left="720"/>
      </w:pPr>
    </w:p>
    <w:p w14:paraId="06F57C36" w14:textId="77777777" w:rsidR="00A71885" w:rsidRDefault="00A71885" w:rsidP="00A71885">
      <w:pPr>
        <w:ind w:left="720"/>
      </w:pPr>
      <w:r>
        <w:t xml:space="preserve">(2) the types of iron, steel, manufactured products, or construction materials are not produced in the United States in sufficient and reasonably available quantities or of a satisfactory quality; or </w:t>
      </w:r>
    </w:p>
    <w:p w14:paraId="12AAE3AF" w14:textId="77777777" w:rsidR="00A71885" w:rsidRDefault="00A71885" w:rsidP="00A71885">
      <w:pPr>
        <w:ind w:left="720"/>
      </w:pPr>
    </w:p>
    <w:p w14:paraId="40ED6FAA" w14:textId="77777777" w:rsidR="00A71885" w:rsidRDefault="00A71885" w:rsidP="00A71885">
      <w:pPr>
        <w:ind w:left="720"/>
      </w:pPr>
      <w:r>
        <w:t xml:space="preserve">(3) the inclusion of iron, steel, manufactured products, or construction materials produced in the United States will increase the cost of the overall project by more than 25 percent. </w:t>
      </w:r>
    </w:p>
    <w:p w14:paraId="6FE1A459" w14:textId="77777777" w:rsidR="00A71885" w:rsidRDefault="00A71885" w:rsidP="00A71885">
      <w:pPr>
        <w:ind w:left="720"/>
      </w:pPr>
    </w:p>
    <w:p w14:paraId="3E6AD122" w14:textId="77777777" w:rsidR="00A71885" w:rsidRPr="001F7095" w:rsidRDefault="00A71885" w:rsidP="00A71885">
      <w:r w:rsidRPr="00FE08E2">
        <w:t xml:space="preserve">If an applicant is seeking a waiver of the Buy America </w:t>
      </w:r>
      <w:r>
        <w:t>requirements</w:t>
      </w:r>
      <w:r w:rsidRPr="00FE08E2">
        <w:t xml:space="preserve">, it must include a written waiver request with the Full Application. </w:t>
      </w:r>
      <w:r>
        <w:t xml:space="preserve">A waiver </w:t>
      </w:r>
      <w:r w:rsidRPr="001F7095">
        <w:t xml:space="preserve">request </w:t>
      </w:r>
      <w:r w:rsidRPr="001F7095">
        <w:rPr>
          <w:bCs/>
        </w:rPr>
        <w:t>must include:</w:t>
      </w:r>
    </w:p>
    <w:p w14:paraId="22E5E749" w14:textId="77777777" w:rsidR="00A71885" w:rsidRPr="001F7095" w:rsidRDefault="00A71885" w:rsidP="00A71885">
      <w:pPr>
        <w:ind w:left="720"/>
        <w:rPr>
          <w:bCs/>
        </w:rPr>
      </w:pPr>
    </w:p>
    <w:p w14:paraId="68E69E81" w14:textId="77777777" w:rsidR="00A71885" w:rsidRPr="001F7095" w:rsidRDefault="00A71885" w:rsidP="00F836F4">
      <w:pPr>
        <w:pStyle w:val="ListParagraph"/>
        <w:numPr>
          <w:ilvl w:val="0"/>
          <w:numId w:val="112"/>
        </w:numPr>
        <w:ind w:left="1080"/>
        <w:rPr>
          <w:bCs/>
        </w:rPr>
      </w:pPr>
      <w:r w:rsidRPr="001F7095">
        <w:rPr>
          <w:bCs/>
        </w:rPr>
        <w:t>A detailed justification for the use of “non-domestic” iron, steel, manufactured products, or construction materials to include an explanation as to how the non-domestic item(s) is essential to the project</w:t>
      </w:r>
    </w:p>
    <w:p w14:paraId="725BA389" w14:textId="77777777" w:rsidR="00A71885" w:rsidRPr="001F7095" w:rsidRDefault="00A71885" w:rsidP="00F836F4">
      <w:pPr>
        <w:pStyle w:val="ListParagraph"/>
        <w:numPr>
          <w:ilvl w:val="0"/>
          <w:numId w:val="112"/>
        </w:numPr>
        <w:ind w:left="1080"/>
        <w:rPr>
          <w:bCs/>
        </w:rPr>
      </w:pPr>
      <w:r w:rsidRPr="001F7095">
        <w:rPr>
          <w:bCs/>
        </w:rPr>
        <w:t xml:space="preserve">A certification that the applicant or recipient made a good faith effort to solicit bids for domestic products supported by terms included in requests for proposals, contracts, and nonproprietary communications with potential </w:t>
      </w:r>
      <w:proofErr w:type="gramStart"/>
      <w:r w:rsidRPr="001F7095">
        <w:rPr>
          <w:bCs/>
        </w:rPr>
        <w:t>suppliers;</w:t>
      </w:r>
      <w:proofErr w:type="gramEnd"/>
      <w:r w:rsidRPr="001F7095">
        <w:rPr>
          <w:bCs/>
        </w:rPr>
        <w:t xml:space="preserve"> </w:t>
      </w:r>
    </w:p>
    <w:p w14:paraId="409DB575" w14:textId="77777777" w:rsidR="00A71885" w:rsidRPr="001F7095" w:rsidRDefault="00A71885" w:rsidP="00F836F4">
      <w:pPr>
        <w:numPr>
          <w:ilvl w:val="0"/>
          <w:numId w:val="111"/>
        </w:numPr>
        <w:rPr>
          <w:bCs/>
        </w:rPr>
      </w:pPr>
      <w:r w:rsidRPr="001F7095">
        <w:rPr>
          <w:bCs/>
        </w:rPr>
        <w:t>Applicant /Recipient name and Unique Entity Identifier (UEI)</w:t>
      </w:r>
    </w:p>
    <w:p w14:paraId="7D47188D" w14:textId="77777777" w:rsidR="00A71885" w:rsidRPr="001F7095" w:rsidRDefault="00A71885" w:rsidP="00F836F4">
      <w:pPr>
        <w:numPr>
          <w:ilvl w:val="0"/>
          <w:numId w:val="111"/>
        </w:numPr>
        <w:rPr>
          <w:bCs/>
        </w:rPr>
      </w:pPr>
      <w:r w:rsidRPr="001F7095">
        <w:rPr>
          <w:bCs/>
        </w:rPr>
        <w:t xml:space="preserve">Total estimated project cost, </w:t>
      </w:r>
      <w:proofErr w:type="gramStart"/>
      <w:r w:rsidRPr="001F7095">
        <w:rPr>
          <w:bCs/>
        </w:rPr>
        <w:t>DOE</w:t>
      </w:r>
      <w:proofErr w:type="gramEnd"/>
      <w:r w:rsidRPr="001F7095">
        <w:rPr>
          <w:bCs/>
        </w:rPr>
        <w:t xml:space="preserve"> and cost-share amounts </w:t>
      </w:r>
    </w:p>
    <w:p w14:paraId="2B85CB44" w14:textId="77777777" w:rsidR="00A71885" w:rsidRPr="001F7095" w:rsidRDefault="00A71885" w:rsidP="00F836F4">
      <w:pPr>
        <w:numPr>
          <w:ilvl w:val="0"/>
          <w:numId w:val="111"/>
        </w:numPr>
        <w:rPr>
          <w:bCs/>
        </w:rPr>
      </w:pPr>
      <w:r w:rsidRPr="001F7095">
        <w:rPr>
          <w:bCs/>
        </w:rPr>
        <w:t>Project description and location (to the extent known)</w:t>
      </w:r>
    </w:p>
    <w:p w14:paraId="46D3B4DD" w14:textId="77777777" w:rsidR="00A71885" w:rsidRPr="001F7095" w:rsidRDefault="00A71885" w:rsidP="00F836F4">
      <w:pPr>
        <w:numPr>
          <w:ilvl w:val="0"/>
          <w:numId w:val="111"/>
        </w:numPr>
        <w:rPr>
          <w:bCs/>
        </w:rPr>
      </w:pPr>
      <w:r w:rsidRPr="001F7095">
        <w:rPr>
          <w:bCs/>
        </w:rPr>
        <w:t>List and description of iron or steel item(s), manufactured goods, and construction material(s) the applicant or recipient seeks to waive from Domestic Content Procurement Preference requirement, including name, cost, country(</w:t>
      </w:r>
      <w:proofErr w:type="spellStart"/>
      <w:r w:rsidRPr="001F7095">
        <w:rPr>
          <w:bCs/>
        </w:rPr>
        <w:t>ies</w:t>
      </w:r>
      <w:proofErr w:type="spellEnd"/>
      <w:r w:rsidRPr="001F7095">
        <w:rPr>
          <w:bCs/>
        </w:rPr>
        <w:t>) of origin (if known), and relevant PSC and NAICS code for each.</w:t>
      </w:r>
    </w:p>
    <w:p w14:paraId="42CE4EDD" w14:textId="77777777" w:rsidR="00A71885" w:rsidRPr="001F7095" w:rsidRDefault="00A71885" w:rsidP="00F836F4">
      <w:pPr>
        <w:numPr>
          <w:ilvl w:val="0"/>
          <w:numId w:val="111"/>
        </w:numPr>
        <w:rPr>
          <w:bCs/>
        </w:rPr>
      </w:pPr>
      <w:r w:rsidRPr="001F7095">
        <w:rPr>
          <w:bCs/>
        </w:rPr>
        <w:t xml:space="preserve">Waiver justification including due diligence performed (e.g., market research, industry outreach) by the applicant or recipient </w:t>
      </w:r>
    </w:p>
    <w:p w14:paraId="7FB4402F" w14:textId="77777777" w:rsidR="00A71885" w:rsidRPr="001F7095" w:rsidRDefault="00A71885" w:rsidP="00F836F4">
      <w:pPr>
        <w:numPr>
          <w:ilvl w:val="0"/>
          <w:numId w:val="111"/>
        </w:numPr>
        <w:rPr>
          <w:bCs/>
        </w:rPr>
      </w:pPr>
      <w:r w:rsidRPr="001F7095">
        <w:rPr>
          <w:bCs/>
        </w:rPr>
        <w:t xml:space="preserve">Anticipated impact if no waiver is issued </w:t>
      </w:r>
    </w:p>
    <w:p w14:paraId="410F4B5A" w14:textId="77777777" w:rsidR="00A71885" w:rsidRPr="001F7095" w:rsidRDefault="00A71885" w:rsidP="00A71885"/>
    <w:p w14:paraId="02CA9457" w14:textId="77777777" w:rsidR="00A71885" w:rsidRPr="001F7095" w:rsidRDefault="00A71885" w:rsidP="00A71885">
      <w:r w:rsidRPr="001F7095">
        <w:t xml:space="preserve">DOE may require additional information before considering the waiver request. </w:t>
      </w:r>
    </w:p>
    <w:p w14:paraId="30A97C83" w14:textId="77777777" w:rsidR="00A71885" w:rsidRPr="001F7095" w:rsidRDefault="00A71885" w:rsidP="00A71885"/>
    <w:p w14:paraId="711A7C30" w14:textId="44A392EF" w:rsidR="00A71885" w:rsidRDefault="00A71885" w:rsidP="002527E1">
      <w:pPr>
        <w:pStyle w:val="CommentText"/>
      </w:pPr>
      <w:r>
        <w:t xml:space="preserve">Waiver requests are subject to public comment periods of no less than 15 days and must be reviewed by the Made in America Office. There may be instances where an award qualifies, in whole or in part, for an existing waiver described at </w:t>
      </w:r>
      <w:hyperlink r:id="rId92" w:history="1">
        <w:r w:rsidR="002527E1">
          <w:rPr>
            <w:rStyle w:val="Hyperlink"/>
          </w:rPr>
          <w:t>https://www.energy.gov/management/financial-assistance</w:t>
        </w:r>
      </w:hyperlink>
      <w:r w:rsidR="002527E1">
        <w:rPr>
          <w:rStyle w:val="Hyperlink"/>
        </w:rPr>
        <w:t>.</w:t>
      </w:r>
    </w:p>
    <w:p w14:paraId="201B4309" w14:textId="77777777" w:rsidR="00A71885" w:rsidRDefault="00A71885" w:rsidP="00A71885"/>
    <w:p w14:paraId="50E78503" w14:textId="77777777" w:rsidR="00A71885" w:rsidRDefault="00A71885" w:rsidP="00A71885">
      <w:r w:rsidRPr="001F7095">
        <w:t>The applicant does not have the right to appeal DOE’s decision concerning a waiver request.</w:t>
      </w:r>
    </w:p>
    <w:p w14:paraId="5CE6AEA3" w14:textId="77777777" w:rsidR="00A71885" w:rsidRDefault="00A71885" w:rsidP="00A71885"/>
    <w:p w14:paraId="0D8B41CB" w14:textId="58E05372" w:rsidR="00732398" w:rsidRPr="00DB1DE6" w:rsidRDefault="00732398" w:rsidP="00DB1DE6">
      <w:pPr>
        <w:widowControl w:val="0"/>
        <w:autoSpaceDE w:val="0"/>
        <w:autoSpaceDN w:val="0"/>
        <w:spacing w:before="39"/>
        <w:ind w:left="1290"/>
        <w:rPr>
          <w:rFonts w:eastAsia="Calibri" w:cs="Calibri"/>
          <w:szCs w:val="24"/>
        </w:rPr>
        <w:sectPr w:rsidR="00732398" w:rsidRPr="00DB1DE6" w:rsidSect="003F2B17">
          <w:pgSz w:w="12240" w:h="15840" w:code="1"/>
          <w:pgMar w:top="1440" w:right="1440" w:bottom="1440" w:left="1440" w:header="720" w:footer="432" w:gutter="0"/>
          <w:cols w:space="720"/>
          <w:docGrid w:linePitch="360"/>
        </w:sectPr>
      </w:pPr>
    </w:p>
    <w:p w14:paraId="4FDD80DD" w14:textId="77777777" w:rsidR="00AB7EC1" w:rsidRDefault="00AB7EC1" w:rsidP="007863EC">
      <w:pPr>
        <w:spacing w:before="1" w:line="180" w:lineRule="exact"/>
        <w:rPr>
          <w:szCs w:val="24"/>
        </w:rPr>
        <w:sectPr w:rsidR="00AB7EC1" w:rsidSect="00120F39">
          <w:pgSz w:w="12240" w:h="15840" w:code="1"/>
          <w:pgMar w:top="1440" w:right="1440" w:bottom="1440" w:left="1440" w:header="720" w:footer="432" w:gutter="0"/>
          <w:cols w:space="720"/>
          <w:docGrid w:linePitch="360"/>
        </w:sectPr>
      </w:pPr>
    </w:p>
    <w:p w14:paraId="7FA58AC7" w14:textId="77777777" w:rsidR="00AB7EC1" w:rsidRPr="003E56F2" w:rsidRDefault="00AB7EC1" w:rsidP="007863EC">
      <w:pPr>
        <w:spacing w:before="1" w:line="180" w:lineRule="exact"/>
        <w:rPr>
          <w:szCs w:val="24"/>
        </w:rPr>
      </w:pPr>
    </w:p>
    <w:p w14:paraId="0CC9F519" w14:textId="45FF6D6D" w:rsidR="00AB7EC1" w:rsidRPr="00686859" w:rsidRDefault="004E672B" w:rsidP="007863EC">
      <w:pPr>
        <w:pStyle w:val="AppendixHeading"/>
        <w:outlineLvl w:val="0"/>
      </w:pPr>
      <w:bookmarkStart w:id="714" w:name="_Toc109921797"/>
      <w:r w:rsidRPr="00686859">
        <w:t xml:space="preserve">Appendix </w:t>
      </w:r>
      <w:r w:rsidR="005B52B2">
        <w:t>E</w:t>
      </w:r>
      <w:r w:rsidRPr="00686859">
        <w:t xml:space="preserve"> – </w:t>
      </w:r>
      <w:r>
        <w:t>Definition of Technology Readiness Levels</w:t>
      </w:r>
      <w:bookmarkEnd w:id="714"/>
    </w:p>
    <w:p w14:paraId="3ACC7CD9" w14:textId="77777777" w:rsidR="00AB7EC1" w:rsidRPr="003E56F2" w:rsidRDefault="00AB7EC1" w:rsidP="007863EC">
      <w:pPr>
        <w:rPr>
          <w:szCs w:val="24"/>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7470"/>
      </w:tblGrid>
      <w:tr w:rsidR="00BF65D1" w14:paraId="5D3A5CCA" w14:textId="77777777" w:rsidTr="0091680F">
        <w:trPr>
          <w:trHeight w:val="300"/>
          <w:jc w:val="center"/>
        </w:trPr>
        <w:tc>
          <w:tcPr>
            <w:tcW w:w="895" w:type="dxa"/>
          </w:tcPr>
          <w:p w14:paraId="42470E89"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1: </w:t>
            </w:r>
          </w:p>
        </w:tc>
        <w:tc>
          <w:tcPr>
            <w:tcW w:w="7470" w:type="dxa"/>
          </w:tcPr>
          <w:p w14:paraId="3B058133"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Basic principles observed and reported </w:t>
            </w:r>
          </w:p>
        </w:tc>
      </w:tr>
      <w:tr w:rsidR="00BF65D1" w14:paraId="34D6684A" w14:textId="77777777" w:rsidTr="0091680F">
        <w:trPr>
          <w:trHeight w:val="299"/>
          <w:jc w:val="center"/>
        </w:trPr>
        <w:tc>
          <w:tcPr>
            <w:tcW w:w="895" w:type="dxa"/>
          </w:tcPr>
          <w:p w14:paraId="2306945D"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2: </w:t>
            </w:r>
          </w:p>
        </w:tc>
        <w:tc>
          <w:tcPr>
            <w:tcW w:w="7470" w:type="dxa"/>
          </w:tcPr>
          <w:p w14:paraId="4E768B9A"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Technology concept and/or application formulated </w:t>
            </w:r>
          </w:p>
        </w:tc>
      </w:tr>
      <w:tr w:rsidR="00BF65D1" w14:paraId="3322975C" w14:textId="77777777" w:rsidTr="0091680F">
        <w:trPr>
          <w:trHeight w:val="446"/>
          <w:jc w:val="center"/>
        </w:trPr>
        <w:tc>
          <w:tcPr>
            <w:tcW w:w="895" w:type="dxa"/>
          </w:tcPr>
          <w:p w14:paraId="206BB474"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3: </w:t>
            </w:r>
          </w:p>
        </w:tc>
        <w:tc>
          <w:tcPr>
            <w:tcW w:w="7470" w:type="dxa"/>
          </w:tcPr>
          <w:p w14:paraId="5EF68A40"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Analytical and experimental critical function and/or characteristic proof of concept </w:t>
            </w:r>
          </w:p>
        </w:tc>
      </w:tr>
      <w:tr w:rsidR="00BF65D1" w14:paraId="64B6EE9B" w14:textId="77777777" w:rsidTr="0091680F">
        <w:trPr>
          <w:trHeight w:val="447"/>
          <w:jc w:val="center"/>
        </w:trPr>
        <w:tc>
          <w:tcPr>
            <w:tcW w:w="895" w:type="dxa"/>
          </w:tcPr>
          <w:p w14:paraId="511583A8"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4: </w:t>
            </w:r>
          </w:p>
        </w:tc>
        <w:tc>
          <w:tcPr>
            <w:tcW w:w="7470" w:type="dxa"/>
          </w:tcPr>
          <w:p w14:paraId="416898B3"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Component and/or breadboard validation in a laboratory environment </w:t>
            </w:r>
          </w:p>
        </w:tc>
      </w:tr>
      <w:tr w:rsidR="00BF65D1" w14:paraId="6847DE4B" w14:textId="77777777" w:rsidTr="0091680F">
        <w:trPr>
          <w:trHeight w:val="446"/>
          <w:jc w:val="center"/>
        </w:trPr>
        <w:tc>
          <w:tcPr>
            <w:tcW w:w="895" w:type="dxa"/>
          </w:tcPr>
          <w:p w14:paraId="58EC9982"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5: </w:t>
            </w:r>
          </w:p>
        </w:tc>
        <w:tc>
          <w:tcPr>
            <w:tcW w:w="7470" w:type="dxa"/>
          </w:tcPr>
          <w:p w14:paraId="07C9EAF8"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Component and/or breadboard validation in a relevant environment </w:t>
            </w:r>
          </w:p>
        </w:tc>
      </w:tr>
      <w:tr w:rsidR="00BF65D1" w14:paraId="6B835601" w14:textId="77777777" w:rsidTr="0091680F">
        <w:trPr>
          <w:trHeight w:val="446"/>
          <w:jc w:val="center"/>
        </w:trPr>
        <w:tc>
          <w:tcPr>
            <w:tcW w:w="895" w:type="dxa"/>
          </w:tcPr>
          <w:p w14:paraId="2827D7E9"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6: </w:t>
            </w:r>
          </w:p>
        </w:tc>
        <w:tc>
          <w:tcPr>
            <w:tcW w:w="7470" w:type="dxa"/>
          </w:tcPr>
          <w:p w14:paraId="1B92D85E"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System/subsystem model or prototype demonstration in a relevant environment </w:t>
            </w:r>
          </w:p>
        </w:tc>
      </w:tr>
      <w:tr w:rsidR="00BF65D1" w14:paraId="12FD7A9F" w14:textId="77777777" w:rsidTr="0091680F">
        <w:trPr>
          <w:trHeight w:val="446"/>
          <w:jc w:val="center"/>
        </w:trPr>
        <w:tc>
          <w:tcPr>
            <w:tcW w:w="895" w:type="dxa"/>
          </w:tcPr>
          <w:p w14:paraId="2887459F"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7: </w:t>
            </w:r>
          </w:p>
        </w:tc>
        <w:tc>
          <w:tcPr>
            <w:tcW w:w="7470" w:type="dxa"/>
          </w:tcPr>
          <w:p w14:paraId="6886B5E8"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System prototype demonstration in an operational environment </w:t>
            </w:r>
          </w:p>
        </w:tc>
      </w:tr>
      <w:tr w:rsidR="00BF65D1" w14:paraId="3C64499F" w14:textId="77777777" w:rsidTr="0091680F">
        <w:trPr>
          <w:trHeight w:val="446"/>
          <w:jc w:val="center"/>
        </w:trPr>
        <w:tc>
          <w:tcPr>
            <w:tcW w:w="895" w:type="dxa"/>
          </w:tcPr>
          <w:p w14:paraId="2155EA79"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8: </w:t>
            </w:r>
          </w:p>
        </w:tc>
        <w:tc>
          <w:tcPr>
            <w:tcW w:w="7470" w:type="dxa"/>
          </w:tcPr>
          <w:p w14:paraId="7810ED15"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Actual system completed and qualified through test and demonstrated </w:t>
            </w:r>
          </w:p>
        </w:tc>
      </w:tr>
      <w:tr w:rsidR="00BF65D1" w14:paraId="63FB64FF" w14:textId="77777777" w:rsidTr="0091680F">
        <w:trPr>
          <w:trHeight w:val="446"/>
          <w:jc w:val="center"/>
        </w:trPr>
        <w:tc>
          <w:tcPr>
            <w:tcW w:w="895" w:type="dxa"/>
          </w:tcPr>
          <w:p w14:paraId="6E693080"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TRL 9: </w:t>
            </w:r>
          </w:p>
        </w:tc>
        <w:tc>
          <w:tcPr>
            <w:tcW w:w="7470" w:type="dxa"/>
          </w:tcPr>
          <w:p w14:paraId="5476933D" w14:textId="77777777" w:rsidR="00AB7EC1" w:rsidRPr="008A16FA" w:rsidRDefault="004E672B" w:rsidP="007863EC">
            <w:pPr>
              <w:autoSpaceDE w:val="0"/>
              <w:autoSpaceDN w:val="0"/>
              <w:adjustRightInd w:val="0"/>
              <w:spacing w:before="120" w:after="120"/>
              <w:rPr>
                <w:rFonts w:ascii="Calibri" w:hAnsi="Calibri" w:cs="Calibri"/>
                <w:color w:val="000000"/>
                <w:szCs w:val="24"/>
              </w:rPr>
            </w:pPr>
            <w:r w:rsidRPr="008A16FA">
              <w:rPr>
                <w:rFonts w:ascii="Calibri" w:hAnsi="Calibri" w:cs="Calibri"/>
                <w:bCs/>
                <w:color w:val="000000"/>
                <w:szCs w:val="24"/>
              </w:rPr>
              <w:t xml:space="preserve">Actual system proven through successful mission operations </w:t>
            </w:r>
          </w:p>
        </w:tc>
      </w:tr>
    </w:tbl>
    <w:p w14:paraId="3E5E82AC" w14:textId="77777777" w:rsidR="00AB7EC1" w:rsidRPr="003E56F2" w:rsidRDefault="00AB7EC1" w:rsidP="00AB7EC1">
      <w:pPr>
        <w:spacing w:before="1" w:line="180" w:lineRule="exact"/>
        <w:rPr>
          <w:szCs w:val="24"/>
        </w:rPr>
      </w:pPr>
    </w:p>
    <w:p w14:paraId="4AC7D9E0" w14:textId="77777777" w:rsidR="00AB7EC1" w:rsidRDefault="004E672B" w:rsidP="00AB7EC1">
      <w:pPr>
        <w:rPr>
          <w:rFonts w:ascii="Calibri" w:eastAsiaTheme="minorHAnsi" w:hAnsi="Calibri" w:cstheme="minorBidi"/>
          <w:b/>
          <w:smallCaps/>
          <w:sz w:val="36"/>
          <w:szCs w:val="40"/>
        </w:rPr>
      </w:pPr>
      <w:r>
        <w:br w:type="page"/>
      </w:r>
    </w:p>
    <w:p w14:paraId="6FFE3499" w14:textId="250DA9FE" w:rsidR="00AB7EC1" w:rsidRPr="00686859" w:rsidRDefault="004E672B" w:rsidP="00AB7EC1">
      <w:pPr>
        <w:pStyle w:val="AppendixHeading"/>
        <w:outlineLvl w:val="0"/>
      </w:pPr>
      <w:bookmarkStart w:id="715" w:name="_Toc109921798"/>
      <w:r>
        <w:t xml:space="preserve">Appendix </w:t>
      </w:r>
      <w:r w:rsidR="005B52B2">
        <w:t>F</w:t>
      </w:r>
      <w:r>
        <w:t xml:space="preserve"> </w:t>
      </w:r>
      <w:r w:rsidRPr="00686859">
        <w:t xml:space="preserve">– </w:t>
      </w:r>
      <w:r>
        <w:t>List of Acronyms</w:t>
      </w:r>
      <w:bookmarkEnd w:id="715"/>
    </w:p>
    <w:p w14:paraId="31447615" w14:textId="734DC28F" w:rsidR="00AB7EC1" w:rsidRDefault="00AB7EC1" w:rsidP="00AB7EC1">
      <w:pPr>
        <w:rPr>
          <w:color w:val="0000FF"/>
          <w:szCs w:val="24"/>
        </w:rPr>
      </w:pPr>
    </w:p>
    <w:tbl>
      <w:tblPr>
        <w:tblW w:w="7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5883"/>
      </w:tblGrid>
      <w:tr w:rsidR="00945675" w14:paraId="3410D6FC"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18C5E72B" w14:textId="0893A830" w:rsidR="00945675"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ACE</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7B42284C" w14:textId="1058F36A" w:rsidR="00945675"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Area Control Error</w:t>
            </w:r>
          </w:p>
        </w:tc>
      </w:tr>
      <w:tr w:rsidR="00945675" w14:paraId="58D994D2"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8464C79" w14:textId="3A823E6E" w:rsidR="00945675"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AGC</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7BF09D90" w14:textId="657F463A" w:rsidR="00945675"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Automatic Generator Control</w:t>
            </w:r>
          </w:p>
        </w:tc>
      </w:tr>
      <w:tr w:rsidR="00F275E3" w14:paraId="01C240A8"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48F4FCDF" w14:textId="1B11501D" w:rsidR="00F275E3" w:rsidRPr="000D09C3" w:rsidRDefault="00F275E3"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BIL</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7995C562" w14:textId="763DA14A" w:rsidR="00F275E3" w:rsidRPr="000D09C3" w:rsidRDefault="00F275E3"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Bipartisan Infrastructure Law</w:t>
            </w:r>
          </w:p>
        </w:tc>
      </w:tr>
      <w:tr w:rsidR="00945675" w14:paraId="6AE85A51"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7BD6B0C9" w14:textId="47BB9C35"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CAISO</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764908ED" w14:textId="69E8F109"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California Independent System Operator</w:t>
            </w:r>
          </w:p>
        </w:tc>
      </w:tr>
      <w:tr w:rsidR="00BF65D1" w14:paraId="0CA999A1"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2A72C51E"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COI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1000E04D"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Conflict of Interest </w:t>
            </w:r>
          </w:p>
        </w:tc>
      </w:tr>
      <w:tr w:rsidR="00945675" w14:paraId="744461B4"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70A44660" w14:textId="7073EA33"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CNN</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692CBC65" w14:textId="0865ADB3"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Convolutional Neural Network</w:t>
            </w:r>
          </w:p>
        </w:tc>
      </w:tr>
      <w:tr w:rsidR="00F632FD" w14:paraId="3C4C81F6"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47D030C8" w14:textId="120BCA4E" w:rsidR="00F632FD" w:rsidRPr="000D09C3" w:rsidRDefault="00F632FD"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CSP</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18EC4CD7" w14:textId="1FBBDB50" w:rsidR="00F632FD" w:rsidRPr="000D09C3" w:rsidRDefault="00F632FD"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Concentrating Solar-Thermal Power</w:t>
            </w:r>
          </w:p>
        </w:tc>
      </w:tr>
      <w:tr w:rsidR="00BF65D1" w14:paraId="1A142C82"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1777D0B"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DEC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004FABE"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Determination of Exceptional Circumstances </w:t>
            </w:r>
          </w:p>
        </w:tc>
      </w:tr>
      <w:tr w:rsidR="005B72D6" w14:paraId="0DB91B98"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B82C758" w14:textId="1F829963" w:rsidR="005B72D6" w:rsidRPr="000D09C3" w:rsidRDefault="005B72D6"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DEI</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232641DA" w14:textId="1EE291B2" w:rsidR="005B72D6" w:rsidRPr="000D09C3" w:rsidRDefault="005B72D6"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Diversity, Equity, and Inclusion</w:t>
            </w:r>
          </w:p>
        </w:tc>
      </w:tr>
      <w:tr w:rsidR="00F632FD" w14:paraId="01C05CA7"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5546AEA" w14:textId="22BCBF39" w:rsidR="00F632FD" w:rsidRPr="000D09C3" w:rsidRDefault="00F632FD"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DER</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22967983" w14:textId="66FDA0DC" w:rsidR="00F632FD" w:rsidRPr="000D09C3" w:rsidRDefault="00F632FD"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Distributed Energy Resource</w:t>
            </w:r>
          </w:p>
        </w:tc>
      </w:tr>
      <w:tr w:rsidR="00BF65D1" w14:paraId="23ED909A"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12FC36C5"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DMP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70CDD83D"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Data Management Plan </w:t>
            </w:r>
          </w:p>
        </w:tc>
      </w:tr>
      <w:tr w:rsidR="00945675" w14:paraId="0E474DAB"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289420C" w14:textId="5B0A23B0"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DMS</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6B7A525" w14:textId="67A5A2B2"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Demand-Side Management</w:t>
            </w:r>
          </w:p>
        </w:tc>
      </w:tr>
      <w:tr w:rsidR="00BF65D1" w14:paraId="3F609584"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BD121E9"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DOE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510EC9CD"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Department of Energy </w:t>
            </w:r>
          </w:p>
        </w:tc>
      </w:tr>
      <w:tr w:rsidR="00BF65D1" w14:paraId="310F2B5F"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7754ACD6"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DOI</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06777D50"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Digital Object Identifier</w:t>
            </w:r>
          </w:p>
        </w:tc>
      </w:tr>
      <w:tr w:rsidR="00BF65D1" w14:paraId="2D1D1B8E"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2DFFB607"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EERE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5F6EE34"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Energy Efficiency and Renewable Energy </w:t>
            </w:r>
          </w:p>
        </w:tc>
      </w:tr>
      <w:tr w:rsidR="00945675" w14:paraId="47AE4007"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4D996CB9" w14:textId="51ED4BFC"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EMT</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11ECE232" w14:textId="632F52C2"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Electromagnetic Transient</w:t>
            </w:r>
          </w:p>
        </w:tc>
      </w:tr>
      <w:tr w:rsidR="00F275E3" w14:paraId="3D9EFB50"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19DCEA13" w14:textId="29631D5C" w:rsidR="00F275E3" w:rsidRPr="000D09C3" w:rsidRDefault="00F275E3"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EQ</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B0C9AE4" w14:textId="0C0CF835" w:rsidR="00F275E3" w:rsidRPr="000D09C3" w:rsidRDefault="004532A3"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Environmental</w:t>
            </w:r>
            <w:r w:rsidR="00F275E3">
              <w:rPr>
                <w:rFonts w:ascii="Calibri" w:hAnsi="Calibri" w:cs="Calibri"/>
                <w:color w:val="000000"/>
                <w:sz w:val="22"/>
                <w:szCs w:val="22"/>
              </w:rPr>
              <w:t xml:space="preserve"> Questionnaire</w:t>
            </w:r>
          </w:p>
        </w:tc>
      </w:tr>
      <w:tr w:rsidR="00945675" w14:paraId="0398494A"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76CAFAC" w14:textId="375BDC57" w:rsidR="00945675"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ERCOT</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5F9C2084" w14:textId="7B751EEE" w:rsidR="00945675"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Electric Reliability Council of Texas</w:t>
            </w:r>
          </w:p>
        </w:tc>
      </w:tr>
      <w:tr w:rsidR="00BF65D1" w14:paraId="65094B7B"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0B6E82F"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FAR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13F62580"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Federal Acquisition Regulation </w:t>
            </w:r>
          </w:p>
        </w:tc>
      </w:tr>
      <w:tr w:rsidR="00945675" w14:paraId="3021702D"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0C330F3" w14:textId="760507BC"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FDR</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3B39B6AA" w14:textId="4C0C7041"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Fault Data Recorder</w:t>
            </w:r>
          </w:p>
        </w:tc>
      </w:tr>
      <w:tr w:rsidR="00945675" w14:paraId="5C3A678C"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07CEABEA" w14:textId="2BEAC1EA"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FERC</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1EA5DDCB" w14:textId="66868D9F"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Federal Energy Regulatory Commission</w:t>
            </w:r>
          </w:p>
        </w:tc>
      </w:tr>
      <w:tr w:rsidR="00BF65D1" w14:paraId="6A6DD634"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0A19F6D"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FFATA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36DE819"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Federal Funding and Transparency Act of 2006 </w:t>
            </w:r>
          </w:p>
        </w:tc>
      </w:tr>
      <w:tr w:rsidR="00BF65D1" w14:paraId="5CEE3336"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12BF81E7"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FOA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57E73BCE"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Funding Opportunity Announcement </w:t>
            </w:r>
          </w:p>
        </w:tc>
      </w:tr>
      <w:tr w:rsidR="00BF65D1" w14:paraId="01526936"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92F959B"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FOIA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718B1FDE"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Freedom of Information Act </w:t>
            </w:r>
          </w:p>
        </w:tc>
      </w:tr>
      <w:tr w:rsidR="00BF65D1" w14:paraId="1F3AEF2D"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19ADCE9" w14:textId="77777777" w:rsidR="00AB7EC1" w:rsidRPr="000D09C3" w:rsidRDefault="004E672B"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FFRDC</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3D19BB80" w14:textId="77777777" w:rsidR="00AB7EC1" w:rsidRPr="000D09C3" w:rsidRDefault="004E672B"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Federally Funded Research and Development Center</w:t>
            </w:r>
          </w:p>
        </w:tc>
      </w:tr>
      <w:tr w:rsidR="00F275E3" w14:paraId="16AE0CE7"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02E1502C" w14:textId="42AD8F2D" w:rsidR="00F275E3" w:rsidRDefault="00F275E3"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FY</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18CD4A74" w14:textId="073E8C15" w:rsidR="00F275E3" w:rsidRDefault="00F275E3"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Fiscal Year</w:t>
            </w:r>
          </w:p>
        </w:tc>
      </w:tr>
      <w:tr w:rsidR="00BF65D1" w14:paraId="0CC6E234"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2F64460" w14:textId="77777777" w:rsidR="00AB7EC1" w:rsidRDefault="004E672B"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GAAP</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2CA9E51A" w14:textId="77777777" w:rsidR="00AB7EC1" w:rsidRDefault="004E672B"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Generally Accepted Accounting Principles</w:t>
            </w:r>
          </w:p>
        </w:tc>
      </w:tr>
      <w:tr w:rsidR="00945675" w14:paraId="317BEDB6"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22BB34A" w14:textId="69B7A817" w:rsidR="00945675"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GMLC</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5189E0A5" w14:textId="3D27CA30" w:rsidR="00945675"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Grid </w:t>
            </w:r>
            <w:r w:rsidR="004532A3">
              <w:rPr>
                <w:rFonts w:ascii="Calibri" w:hAnsi="Calibri" w:cs="Calibri"/>
                <w:color w:val="000000"/>
                <w:sz w:val="22"/>
                <w:szCs w:val="22"/>
              </w:rPr>
              <w:t>Modernization</w:t>
            </w:r>
            <w:r>
              <w:rPr>
                <w:rFonts w:ascii="Calibri" w:hAnsi="Calibri" w:cs="Calibri"/>
                <w:color w:val="000000"/>
                <w:sz w:val="22"/>
                <w:szCs w:val="22"/>
              </w:rPr>
              <w:t xml:space="preserve"> Laboratory Consortium</w:t>
            </w:r>
          </w:p>
        </w:tc>
      </w:tr>
      <w:tr w:rsidR="00F632FD" w14:paraId="76C84872"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1D07C91C" w14:textId="0B6070C0" w:rsidR="00F632FD" w:rsidRPr="00F632FD" w:rsidRDefault="00F632FD" w:rsidP="007863EC">
            <w:pPr>
              <w:autoSpaceDE w:val="0"/>
              <w:autoSpaceDN w:val="0"/>
              <w:adjustRightInd w:val="0"/>
              <w:rPr>
                <w:rFonts w:ascii="Calibri" w:hAnsi="Calibri" w:cs="Calibri"/>
                <w:color w:val="000000"/>
                <w:sz w:val="22"/>
                <w:szCs w:val="22"/>
                <w:vertAlign w:val="subscript"/>
              </w:rPr>
            </w:pPr>
            <w:proofErr w:type="spellStart"/>
            <w:r>
              <w:rPr>
                <w:rFonts w:ascii="Calibri" w:hAnsi="Calibri" w:cs="Calibri"/>
                <w:color w:val="000000"/>
                <w:sz w:val="22"/>
                <w:szCs w:val="22"/>
              </w:rPr>
              <w:t>GW</w:t>
            </w:r>
            <w:r>
              <w:rPr>
                <w:rFonts w:ascii="Calibri" w:hAnsi="Calibri" w:cs="Calibri"/>
                <w:color w:val="000000"/>
                <w:sz w:val="22"/>
                <w:szCs w:val="22"/>
                <w:vertAlign w:val="subscript"/>
              </w:rPr>
              <w:t>ac</w:t>
            </w:r>
            <w:proofErr w:type="spellEnd"/>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EBAFEA8" w14:textId="57202A17" w:rsidR="00F632FD" w:rsidRDefault="00F632FD"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Gigawatt</w:t>
            </w:r>
          </w:p>
        </w:tc>
      </w:tr>
      <w:tr w:rsidR="00945675" w14:paraId="2773AA1A"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4BA67685" w14:textId="2D441CA5" w:rsidR="00945675"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HBCU</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C1D9F43" w14:textId="13D76E32" w:rsidR="00945675"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Historically Black Colleges and Universities</w:t>
            </w:r>
          </w:p>
        </w:tc>
      </w:tr>
      <w:tr w:rsidR="00945675" w14:paraId="2A517E42"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22D050B3" w14:textId="1AEA1A3D" w:rsidR="00945675"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HIL</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2CB4ACAF" w14:textId="569E1F88" w:rsidR="00945675"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Hardware-in-the-Loop</w:t>
            </w:r>
          </w:p>
        </w:tc>
      </w:tr>
      <w:tr w:rsidR="00F275E3" w14:paraId="1DF8D73E"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07C22765" w14:textId="6D7673C8" w:rsidR="00F275E3" w:rsidRPr="000D09C3" w:rsidRDefault="00F275E3"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IBR</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3E6E066A" w14:textId="43321AE5" w:rsidR="00F275E3" w:rsidRPr="000D09C3" w:rsidRDefault="00F275E3"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Inverter-Based Resource</w:t>
            </w:r>
          </w:p>
        </w:tc>
      </w:tr>
      <w:tr w:rsidR="00A31C2F" w14:paraId="29A8FDAE"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39A5B22" w14:textId="4F4FD115" w:rsidR="00A31C2F" w:rsidRDefault="00A31C2F"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IIJA</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33A70649" w14:textId="06B5F363" w:rsidR="00A31C2F" w:rsidRDefault="00A31C2F"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Infrastructure Investment and Jobs Act</w:t>
            </w:r>
          </w:p>
        </w:tc>
      </w:tr>
      <w:tr w:rsidR="00BF65D1" w14:paraId="0DE90EE9"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44E08A81"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IPMP</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752E57BE"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Intellectual Property Management Plan</w:t>
            </w:r>
          </w:p>
        </w:tc>
      </w:tr>
      <w:tr w:rsidR="00945675" w14:paraId="5F554BC2"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0373B8E" w14:textId="2924F287"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ISO</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1F49718" w14:textId="244CBF83"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Independent System Operator</w:t>
            </w:r>
          </w:p>
        </w:tc>
      </w:tr>
      <w:tr w:rsidR="00FD6AEB" w14:paraId="71A06176"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46104BD" w14:textId="01143C27" w:rsidR="00FD6AEB" w:rsidRDefault="00FD6AEB"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kV</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28FF9FC0" w14:textId="66820455" w:rsidR="00FD6AEB" w:rsidRDefault="00FD6AEB"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Kilovolt</w:t>
            </w:r>
          </w:p>
        </w:tc>
      </w:tr>
      <w:tr w:rsidR="00BF65D1" w14:paraId="2D2BB257"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40EDAFED" w14:textId="77777777" w:rsidR="00AB7EC1" w:rsidRPr="000D09C3" w:rsidRDefault="004E672B"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M&amp;O</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7982E22C" w14:textId="77777777" w:rsidR="00AB7EC1" w:rsidRPr="000D09C3" w:rsidRDefault="004E672B"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Management and </w:t>
            </w:r>
            <w:proofErr w:type="gramStart"/>
            <w:r>
              <w:rPr>
                <w:rFonts w:ascii="Calibri" w:hAnsi="Calibri" w:cs="Calibri"/>
                <w:color w:val="000000"/>
                <w:sz w:val="22"/>
                <w:szCs w:val="22"/>
              </w:rPr>
              <w:t>Operating</w:t>
            </w:r>
            <w:proofErr w:type="gramEnd"/>
          </w:p>
        </w:tc>
      </w:tr>
      <w:tr w:rsidR="00BF65D1" w14:paraId="6DAC40D5"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00656CEE"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MPIN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E109836"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Marketing Partner ID Number </w:t>
            </w:r>
          </w:p>
        </w:tc>
      </w:tr>
      <w:tr w:rsidR="005B72D6" w14:paraId="2723050D"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75C99F7E" w14:textId="4BB58638" w:rsidR="005B72D6" w:rsidRPr="000D09C3" w:rsidRDefault="005B72D6"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MSI</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52F8A01B" w14:textId="0EBBA0FD" w:rsidR="005B72D6" w:rsidRPr="000D09C3" w:rsidRDefault="005B72D6"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Minority-Serving institution</w:t>
            </w:r>
          </w:p>
        </w:tc>
      </w:tr>
      <w:tr w:rsidR="00BF65D1" w14:paraId="5C335CE5"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04402537"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MYPP</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2BE06FF2"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Multi-Year Program Plan</w:t>
            </w:r>
          </w:p>
        </w:tc>
      </w:tr>
      <w:tr w:rsidR="00F632FD" w14:paraId="57EC7DE0"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0717F7B1" w14:textId="464BEB4D" w:rsidR="00F632FD" w:rsidRPr="000D09C3" w:rsidRDefault="00F632FD"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MW</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3D85FA9F" w14:textId="3D95CFDC" w:rsidR="00F632FD" w:rsidRPr="000D09C3" w:rsidRDefault="00F632FD"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Megawatt</w:t>
            </w:r>
          </w:p>
        </w:tc>
      </w:tr>
      <w:tr w:rsidR="00BF65D1" w14:paraId="645931A2"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97FB00F"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NDA</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7291F461"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Non-Disclosure </w:t>
            </w:r>
            <w:r>
              <w:rPr>
                <w:rFonts w:ascii="Calibri" w:hAnsi="Calibri" w:cs="Calibri"/>
                <w:color w:val="000000"/>
                <w:sz w:val="22"/>
                <w:szCs w:val="22"/>
              </w:rPr>
              <w:t>Acknowledgement</w:t>
            </w:r>
          </w:p>
        </w:tc>
      </w:tr>
      <w:tr w:rsidR="00BF65D1" w14:paraId="5E865C0D"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4CD2128E"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NEPA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321EB158"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National Environmental Policy Act </w:t>
            </w:r>
          </w:p>
        </w:tc>
      </w:tr>
      <w:tr w:rsidR="00945675" w14:paraId="5278BA83"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1EB886BA" w14:textId="788F08D0"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NERC</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28154159" w14:textId="43A1AFC0"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North American Electric Reliability Corporation</w:t>
            </w:r>
          </w:p>
        </w:tc>
      </w:tr>
      <w:tr w:rsidR="00BF65D1" w14:paraId="4A1993D6"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3864BD1"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NNSA</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32177CC0"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National Nuclear Security Agency</w:t>
            </w:r>
          </w:p>
        </w:tc>
      </w:tr>
      <w:tr w:rsidR="00BF65D1" w14:paraId="42B13D46"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2495A86"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OMB</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6322A217"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Office of Management and Budget</w:t>
            </w:r>
          </w:p>
        </w:tc>
      </w:tr>
      <w:tr w:rsidR="00BF65D1" w14:paraId="54808907"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24887601"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OSTI</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2223DA75"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Office of Scientific and Technical Information</w:t>
            </w:r>
          </w:p>
        </w:tc>
      </w:tr>
      <w:tr w:rsidR="00BF65D1" w14:paraId="631992B3"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215B92B"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PII</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766D8879"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Personal Identifiable Information</w:t>
            </w:r>
          </w:p>
        </w:tc>
      </w:tr>
      <w:tr w:rsidR="00945675" w14:paraId="0F388AB6"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08ED7CD" w14:textId="4C72A386" w:rsidR="00945675"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PMU</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12F9AB97" w14:textId="4607209A" w:rsidR="00945675"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Phasor Measurement Unit</w:t>
            </w:r>
          </w:p>
        </w:tc>
      </w:tr>
      <w:tr w:rsidR="00F632FD" w14:paraId="33F19AAF"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1526C5A3" w14:textId="51B86E5C" w:rsidR="00F632FD" w:rsidRPr="000D09C3" w:rsidRDefault="00F632FD"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PV</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0B78CA32" w14:textId="648FFEA3" w:rsidR="00F632FD" w:rsidRPr="000D09C3" w:rsidRDefault="00F632FD"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Photovoltaic</w:t>
            </w:r>
          </w:p>
        </w:tc>
      </w:tr>
      <w:tr w:rsidR="00F632FD" w14:paraId="648E0A8C"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2EE0AB93" w14:textId="6C47F486" w:rsidR="00F632FD" w:rsidRPr="000D09C3" w:rsidRDefault="00F632FD"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RDD&amp;D</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7C22F7EC" w14:textId="6901808F" w:rsidR="00F632FD" w:rsidRPr="000D09C3" w:rsidRDefault="00F632FD"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Research, Development, Demonstration, and Deployment</w:t>
            </w:r>
          </w:p>
        </w:tc>
      </w:tr>
      <w:tr w:rsidR="00BF65D1" w14:paraId="6BAA1768"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71DC9E5"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R&amp;D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7CD75378"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Research and Development</w:t>
            </w:r>
          </w:p>
        </w:tc>
      </w:tr>
      <w:tr w:rsidR="00BF65D1" w14:paraId="12CCF49A"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7750D183"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RFI</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72827B9C"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Request for Information</w:t>
            </w:r>
          </w:p>
        </w:tc>
      </w:tr>
      <w:tr w:rsidR="00BF65D1" w14:paraId="3BF9EB0F"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5BD08532"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RFP</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6992B36A"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Request for Proposal</w:t>
            </w:r>
          </w:p>
        </w:tc>
      </w:tr>
      <w:tr w:rsidR="00945675" w14:paraId="79E5202E"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2D44A272" w14:textId="695FC1A9"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ROCOF</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3D18C25C" w14:textId="3BDF524B"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Rate of Change of Frequency</w:t>
            </w:r>
          </w:p>
        </w:tc>
      </w:tr>
      <w:tr w:rsidR="00945675" w14:paraId="641A3BBB"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EB54524" w14:textId="7532E493"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RTO</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3B2A62BA" w14:textId="21965B5D" w:rsidR="00945675" w:rsidRPr="000D09C3" w:rsidRDefault="00945675"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Regional Transmission Organization</w:t>
            </w:r>
          </w:p>
        </w:tc>
      </w:tr>
      <w:tr w:rsidR="00BF65D1" w14:paraId="25049FE2"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7DBB7A75"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SAM</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1C55DCCF"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System for Award Management</w:t>
            </w:r>
          </w:p>
        </w:tc>
      </w:tr>
      <w:tr w:rsidR="00F275E3" w14:paraId="72C170CE"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8C233FA" w14:textId="5ADB1064" w:rsidR="00F275E3" w:rsidRPr="000D09C3" w:rsidRDefault="00F275E3"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SETO</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0D50E081" w14:textId="49FBCE6C" w:rsidR="00F275E3" w:rsidRPr="000D09C3" w:rsidRDefault="00F275E3"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Solar Energy Technologies Office</w:t>
            </w:r>
          </w:p>
        </w:tc>
      </w:tr>
      <w:tr w:rsidR="00BF65D1" w14:paraId="336E8E01"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D765ACC"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SOPO</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008618B5"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Statement of Project Objectives</w:t>
            </w:r>
          </w:p>
        </w:tc>
      </w:tr>
      <w:tr w:rsidR="00BF65D1" w14:paraId="357DDF67"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34A8353" w14:textId="77777777" w:rsidR="00AB7EC1" w:rsidRPr="000D09C3" w:rsidRDefault="004E672B"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SPOC</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4C9CC6A7" w14:textId="77777777" w:rsidR="00AB7EC1" w:rsidRPr="000D09C3" w:rsidRDefault="004E672B"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Single Point of Contact</w:t>
            </w:r>
          </w:p>
        </w:tc>
      </w:tr>
      <w:tr w:rsidR="005B72D6" w14:paraId="20C44BED"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B4326EE" w14:textId="03F655FD" w:rsidR="005B72D6" w:rsidRDefault="005B72D6"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STEM</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1A393C20" w14:textId="1AFBEF16" w:rsidR="005B72D6" w:rsidRDefault="005B72D6"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Science, Technology, Engineering, and Mathematics</w:t>
            </w:r>
          </w:p>
        </w:tc>
      </w:tr>
      <w:tr w:rsidR="00BF65D1" w14:paraId="56F9AECF"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8F055C6" w14:textId="77777777" w:rsidR="00AB7EC1" w:rsidRPr="000D09C3" w:rsidRDefault="004E672B"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TIA</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77176139" w14:textId="77777777" w:rsidR="00AB7EC1" w:rsidRPr="000D09C3" w:rsidRDefault="004E672B"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Technology Investment Agreement</w:t>
            </w:r>
          </w:p>
        </w:tc>
      </w:tr>
      <w:tr w:rsidR="00BF65D1" w14:paraId="0D6A373A"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43B412A4"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TRL</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6E3BF671"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Technology Readiness Level</w:t>
            </w:r>
          </w:p>
        </w:tc>
      </w:tr>
      <w:tr w:rsidR="00F632FD" w14:paraId="1C3688B9"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05BF23B5" w14:textId="3DBB9BF8" w:rsidR="00F632FD" w:rsidRPr="000D09C3" w:rsidRDefault="00F632FD" w:rsidP="007863EC">
            <w:pPr>
              <w:autoSpaceDE w:val="0"/>
              <w:autoSpaceDN w:val="0"/>
              <w:adjustRightInd w:val="0"/>
              <w:rPr>
                <w:rFonts w:ascii="Calibri" w:hAnsi="Calibri" w:cs="Calibri"/>
                <w:color w:val="000000"/>
                <w:sz w:val="22"/>
                <w:szCs w:val="22"/>
              </w:rPr>
            </w:pPr>
            <w:proofErr w:type="spellStart"/>
            <w:r w:rsidRPr="00F632FD">
              <w:rPr>
                <w:rFonts w:ascii="Calibri" w:hAnsi="Calibri" w:cs="Calibri"/>
                <w:color w:val="000000"/>
                <w:sz w:val="22"/>
                <w:szCs w:val="22"/>
              </w:rPr>
              <w:t>TW</w:t>
            </w:r>
            <w:r w:rsidRPr="00F632FD">
              <w:rPr>
                <w:rFonts w:ascii="Calibri" w:hAnsi="Calibri" w:cs="Calibri"/>
                <w:color w:val="000000"/>
                <w:sz w:val="22"/>
                <w:szCs w:val="22"/>
                <w:vertAlign w:val="subscript"/>
              </w:rPr>
              <w:t>ac</w:t>
            </w:r>
            <w:proofErr w:type="spellEnd"/>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10C97913" w14:textId="71CA084B" w:rsidR="00F632FD" w:rsidRPr="000D09C3" w:rsidRDefault="00F632FD"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Terawatt</w:t>
            </w:r>
          </w:p>
        </w:tc>
      </w:tr>
      <w:tr w:rsidR="00BF65D1" w14:paraId="02D0D427"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ED56E62"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UCC</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1CF875ED"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Uniform Commercial Code</w:t>
            </w:r>
          </w:p>
        </w:tc>
      </w:tr>
      <w:tr w:rsidR="005B72D6" w14:paraId="683BA001"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1C3394C6" w14:textId="03A76E7A" w:rsidR="005B72D6" w:rsidRPr="000D09C3" w:rsidRDefault="005B72D6"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UEI</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01DF2283" w14:textId="3B3F3D25" w:rsidR="005B72D6" w:rsidRPr="000D09C3" w:rsidRDefault="005B72D6"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Unique Entity Identifier</w:t>
            </w:r>
          </w:p>
        </w:tc>
      </w:tr>
      <w:tr w:rsidR="00BF65D1" w14:paraId="37501018"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2067817C" w14:textId="77777777" w:rsidR="00AB7EC1" w:rsidRPr="000D09C3" w:rsidRDefault="004E672B"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WBS</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3DDF370F" w14:textId="77777777" w:rsidR="00AB7EC1" w:rsidRPr="000D09C3" w:rsidRDefault="004E672B"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Work Breakdown Structure</w:t>
            </w:r>
          </w:p>
        </w:tc>
      </w:tr>
      <w:tr w:rsidR="00F275E3" w14:paraId="3EA1C0B4"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1947E76" w14:textId="1DB155B5" w:rsidR="00F275E3" w:rsidRPr="000D09C3" w:rsidRDefault="00F275E3"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WETO</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18C4529B" w14:textId="02A05116" w:rsidR="00F275E3" w:rsidRPr="000D09C3" w:rsidRDefault="00F275E3" w:rsidP="007863EC">
            <w:pPr>
              <w:autoSpaceDE w:val="0"/>
              <w:autoSpaceDN w:val="0"/>
              <w:adjustRightInd w:val="0"/>
              <w:rPr>
                <w:rFonts w:ascii="Calibri" w:hAnsi="Calibri" w:cs="Calibri"/>
                <w:color w:val="000000"/>
                <w:sz w:val="22"/>
                <w:szCs w:val="22"/>
              </w:rPr>
            </w:pPr>
            <w:r>
              <w:rPr>
                <w:rFonts w:ascii="Calibri" w:hAnsi="Calibri" w:cs="Calibri"/>
                <w:color w:val="000000"/>
                <w:sz w:val="22"/>
                <w:szCs w:val="22"/>
              </w:rPr>
              <w:t>Wind Energy Technologies Office</w:t>
            </w:r>
          </w:p>
        </w:tc>
      </w:tr>
      <w:tr w:rsidR="00BF65D1" w14:paraId="72E3E5B0" w14:textId="77777777" w:rsidTr="00F275E3">
        <w:trPr>
          <w:trHeight w:val="130"/>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158633CD"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WP </w:t>
            </w:r>
          </w:p>
        </w:tc>
        <w:tc>
          <w:tcPr>
            <w:tcW w:w="5883" w:type="dxa"/>
            <w:tcBorders>
              <w:top w:val="single" w:sz="4" w:space="0" w:color="auto"/>
              <w:left w:val="single" w:sz="4" w:space="0" w:color="auto"/>
              <w:bottom w:val="single" w:sz="4" w:space="0" w:color="auto"/>
              <w:right w:val="single" w:sz="4" w:space="0" w:color="auto"/>
            </w:tcBorders>
            <w:shd w:val="clear" w:color="auto" w:fill="auto"/>
          </w:tcPr>
          <w:p w14:paraId="587DF319" w14:textId="77777777" w:rsidR="00AB7EC1" w:rsidRPr="000D09C3" w:rsidRDefault="004E672B" w:rsidP="007863EC">
            <w:pPr>
              <w:autoSpaceDE w:val="0"/>
              <w:autoSpaceDN w:val="0"/>
              <w:adjustRightInd w:val="0"/>
              <w:rPr>
                <w:rFonts w:ascii="Calibri" w:hAnsi="Calibri" w:cs="Calibri"/>
                <w:color w:val="000000"/>
                <w:sz w:val="22"/>
                <w:szCs w:val="22"/>
              </w:rPr>
            </w:pPr>
            <w:r w:rsidRPr="000D09C3">
              <w:rPr>
                <w:rFonts w:ascii="Calibri" w:hAnsi="Calibri" w:cs="Calibri"/>
                <w:color w:val="000000"/>
                <w:sz w:val="22"/>
                <w:szCs w:val="22"/>
              </w:rPr>
              <w:t xml:space="preserve">Work Proposal </w:t>
            </w:r>
          </w:p>
        </w:tc>
      </w:tr>
    </w:tbl>
    <w:p w14:paraId="058754E4" w14:textId="77777777" w:rsidR="009A072B" w:rsidRDefault="009A072B" w:rsidP="00584098"/>
    <w:sectPr w:rsidR="009A072B" w:rsidSect="007B0477">
      <w:type w:val="continuous"/>
      <w:pgSz w:w="12240" w:h="15840" w:code="1"/>
      <w:pgMar w:top="1728"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2AB1" w14:textId="77777777" w:rsidR="00E60202" w:rsidRDefault="00E60202">
      <w:r>
        <w:separator/>
      </w:r>
    </w:p>
  </w:endnote>
  <w:endnote w:type="continuationSeparator" w:id="0">
    <w:p w14:paraId="08487107" w14:textId="77777777" w:rsidR="00E60202" w:rsidRDefault="00E60202">
      <w:r>
        <w:continuationSeparator/>
      </w:r>
    </w:p>
  </w:endnote>
  <w:endnote w:type="continuationNotice" w:id="1">
    <w:p w14:paraId="4704D187" w14:textId="77777777" w:rsidR="00E60202" w:rsidRDefault="00E60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T13Et00">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D9C9" w14:textId="0BA4C408" w:rsidR="00B46BFF" w:rsidRDefault="000A0B55" w:rsidP="009F07F7">
    <w:pPr>
      <w:pStyle w:val="Footer"/>
      <w:jc w:val="center"/>
      <w:rPr>
        <w:i/>
        <w:sz w:val="20"/>
      </w:rPr>
    </w:pPr>
    <w:r w:rsidRPr="00187415">
      <w:rPr>
        <w:i/>
        <w:sz w:val="20"/>
      </w:rPr>
      <w:t>Questions about this FOA?</w:t>
    </w:r>
    <w:r w:rsidR="00B46BFF">
      <w:rPr>
        <w:i/>
        <w:sz w:val="20"/>
      </w:rPr>
      <w:t xml:space="preserve"> Email </w:t>
    </w:r>
    <w:hyperlink r:id="rId1" w:history="1">
      <w:r w:rsidR="00D75D9F" w:rsidRPr="00F97E56">
        <w:rPr>
          <w:rStyle w:val="Hyperlink"/>
          <w:i/>
          <w:sz w:val="20"/>
        </w:rPr>
        <w:t>SI.Grid-FOA.SETO@ee.doe.gov</w:t>
      </w:r>
    </w:hyperlink>
  </w:p>
  <w:p w14:paraId="52D68AFD" w14:textId="2CBA097C" w:rsidR="000A0B55" w:rsidRDefault="000A0B55" w:rsidP="009F07F7">
    <w:pPr>
      <w:pStyle w:val="Footer"/>
      <w:jc w:val="center"/>
    </w:pPr>
    <w:r w:rsidRPr="00187415">
      <w:rPr>
        <w:i/>
        <w:sz w:val="20"/>
      </w:rPr>
      <w:t xml:space="preserve">Problems with EERE Exchange? Email </w:t>
    </w:r>
    <w:hyperlink r:id="rId2" w:history="1">
      <w:r w:rsidRPr="00187415">
        <w:rPr>
          <w:rStyle w:val="Hyperlink"/>
          <w:i/>
          <w:sz w:val="20"/>
        </w:rPr>
        <w:t>EERE-ExchangeSupport@hq.doe.gov</w:t>
      </w:r>
    </w:hyperlink>
    <w:r w:rsidRPr="00187415">
      <w:rPr>
        <w:i/>
        <w:sz w:val="20"/>
      </w:rPr>
      <w:t xml:space="preserve"> Include FOA name and number in subject 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024A" w14:textId="25CD80A3" w:rsidR="000A0B55" w:rsidRPr="00A53BBC" w:rsidRDefault="000A0B55" w:rsidP="00F2386A">
    <w:pPr>
      <w:pStyle w:val="Footer"/>
      <w:jc w:val="center"/>
      <w:rPr>
        <w:b/>
        <w:color w:val="0000CC"/>
        <w:sz w:val="40"/>
        <w:szCs w:val="40"/>
      </w:rPr>
    </w:pPr>
    <w:r>
      <w:rPr>
        <w:noProof/>
      </w:rPr>
      <mc:AlternateContent>
        <mc:Choice Requires="wps">
          <w:drawing>
            <wp:anchor distT="0" distB="0" distL="114300" distR="114300" simplePos="0" relativeHeight="251658247" behindDoc="1" locked="0" layoutInCell="1" allowOverlap="1" wp14:anchorId="57CCAB41" wp14:editId="61D2C5BC">
              <wp:simplePos x="0" y="0"/>
              <wp:positionH relativeFrom="column">
                <wp:posOffset>-457200</wp:posOffset>
              </wp:positionH>
              <wp:positionV relativeFrom="page">
                <wp:posOffset>9477375</wp:posOffset>
              </wp:positionV>
              <wp:extent cx="6583680" cy="54610"/>
              <wp:effectExtent l="0" t="0" r="7620" b="2540"/>
              <wp:wrapTight wrapText="bothSides">
                <wp:wrapPolygon edited="0">
                  <wp:start x="0" y="0"/>
                  <wp:lineTo x="0" y="15070"/>
                  <wp:lineTo x="21563" y="15070"/>
                  <wp:lineTo x="21563" y="0"/>
                  <wp:lineTo x="0"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7934"/>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FEB40" id="Rectangle 6" o:spid="_x0000_s1026" style="position:absolute;margin-left:-36pt;margin-top:746.25pt;width:518.4pt;height:4.3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" fillcolor="#007934" stroked="f">
              <v:textbox inset=",7.2pt,,7.2pt"/>
              <w10:wrap type="tight" anchory="page"/>
            </v:rect>
          </w:pict>
        </mc:Fallback>
      </mc:AlternateContent>
    </w:r>
    <w:r w:rsidRPr="00A53BBC">
      <w:rPr>
        <w:noProof/>
        <w:color w:val="0000CC"/>
      </w:rPr>
      <mc:AlternateContent>
        <mc:Choice Requires="wps">
          <w:drawing>
            <wp:anchor distT="0" distB="0" distL="114300" distR="114300" simplePos="0" relativeHeight="251658240" behindDoc="1" locked="0" layoutInCell="1" allowOverlap="1" wp14:anchorId="4F4ACB62" wp14:editId="03694BAB">
              <wp:simplePos x="0" y="0"/>
              <wp:positionH relativeFrom="margin">
                <wp:align>center</wp:align>
              </wp:positionH>
              <wp:positionV relativeFrom="page">
                <wp:posOffset>9475470</wp:posOffset>
              </wp:positionV>
              <wp:extent cx="6858000" cy="54610"/>
              <wp:effectExtent l="0" t="0" r="0" b="2540"/>
              <wp:wrapTight wrapText="bothSides">
                <wp:wrapPolygon edited="0">
                  <wp:start x="0" y="0"/>
                  <wp:lineTo x="0" y="15070"/>
                  <wp:lineTo x="21540" y="15070"/>
                  <wp:lineTo x="21540" y="0"/>
                  <wp:lineTo x="0" y="0"/>
                </wp:wrapPolygon>
              </wp:wrapTight>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rect w14:anchorId="584919D9" id="Rectangle 4" o:spid="_x0000_s1026" style="position:absolute;margin-left:0;margin-top:746.1pt;width:540pt;height:4.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" fillcolor="#006892" stroked="f" strokecolor="#4a7ebb" strokeweight="1.5pt">
              <v:shadow opacity="22938f" offset="0"/>
              <v:textbox inset=",7.2pt,,7.2pt"/>
              <w10:wrap type="tight" anchorx="margin" anchory="page"/>
            </v:rect>
          </w:pict>
        </mc:Fallback>
      </mc:AlternateContent>
    </w:r>
  </w:p>
  <w:p w14:paraId="0493A45B" w14:textId="361BB4D9" w:rsidR="000A0B55" w:rsidRPr="00120F39" w:rsidRDefault="00891FA7">
    <w:pPr>
      <w:pStyle w:val="Footer"/>
      <w:rPr>
        <w:i/>
        <w:sz w:val="20"/>
      </w:rPr>
    </w:pPr>
    <w:r>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EBCE" w14:textId="77777777" w:rsidR="00746CAF" w:rsidRDefault="000A0B55" w:rsidP="00746CAF">
    <w:pPr>
      <w:pStyle w:val="Footer"/>
      <w:jc w:val="center"/>
      <w:rPr>
        <w:i/>
        <w:sz w:val="20"/>
      </w:rPr>
    </w:pPr>
    <w:r w:rsidRPr="003A2EEC">
      <w:rPr>
        <w:i/>
        <w:sz w:val="20"/>
      </w:rPr>
      <w:t xml:space="preserve"> </w:t>
    </w:r>
    <w:r w:rsidRPr="00187415">
      <w:rPr>
        <w:i/>
        <w:sz w:val="20"/>
      </w:rPr>
      <w:t xml:space="preserve">Questions about this FOA? </w:t>
    </w:r>
    <w:r w:rsidRPr="001B5793">
      <w:rPr>
        <w:i/>
        <w:sz w:val="20"/>
      </w:rPr>
      <w:t xml:space="preserve">Email </w:t>
    </w:r>
    <w:hyperlink r:id="rId1" w:history="1">
      <w:r w:rsidR="001A62FF" w:rsidRPr="00241688">
        <w:rPr>
          <w:rStyle w:val="Hyperlink"/>
          <w:i/>
          <w:sz w:val="20"/>
        </w:rPr>
        <w:t>SI.Grid-FOA.SETO@ee.doe.gov</w:t>
      </w:r>
    </w:hyperlink>
    <w:r w:rsidRPr="001B5793">
      <w:rPr>
        <w:i/>
        <w:sz w:val="20"/>
      </w:rPr>
      <w:t>.</w:t>
    </w:r>
    <w:r w:rsidR="00746CAF">
      <w:rPr>
        <w:i/>
        <w:sz w:val="20"/>
      </w:rPr>
      <w:t xml:space="preserve">  </w:t>
    </w:r>
    <w:r w:rsidRPr="00187415">
      <w:rPr>
        <w:i/>
        <w:sz w:val="20"/>
      </w:rPr>
      <w:t>Problems with EERE Exchange? Email</w:t>
    </w:r>
  </w:p>
  <w:p w14:paraId="043AA73B" w14:textId="3F3486DF" w:rsidR="000A0B55" w:rsidRPr="00746CAF" w:rsidRDefault="000A0B55" w:rsidP="00746CAF">
    <w:pPr>
      <w:pStyle w:val="Footer"/>
      <w:jc w:val="center"/>
      <w:rPr>
        <w:i/>
        <w:sz w:val="20"/>
      </w:rPr>
    </w:pPr>
    <w:r w:rsidRPr="00187415">
      <w:rPr>
        <w:i/>
        <w:sz w:val="20"/>
      </w:rPr>
      <w:t xml:space="preserve"> </w:t>
    </w:r>
    <w:hyperlink r:id="rId2" w:history="1">
      <w:r w:rsidRPr="00187415">
        <w:rPr>
          <w:rStyle w:val="Hyperlink"/>
          <w:i/>
          <w:sz w:val="20"/>
        </w:rPr>
        <w:t>EERE-ExchangeSupport@hq.doe.gov</w:t>
      </w:r>
    </w:hyperlink>
    <w:r w:rsidRPr="00187415">
      <w:rPr>
        <w:i/>
        <w:sz w:val="20"/>
      </w:rPr>
      <w:t xml:space="preserve"> Include FOA name and number in</w:t>
    </w:r>
    <w:r>
      <w:rPr>
        <w:i/>
        <w:sz w:val="20"/>
      </w:rPr>
      <w:t xml:space="preserve"> </w:t>
    </w:r>
    <w:r w:rsidRPr="00187415">
      <w:rPr>
        <w:i/>
        <w:sz w:val="20"/>
      </w:rPr>
      <w:t>subject line.</w:t>
    </w:r>
  </w:p>
  <w:p w14:paraId="592E372F" w14:textId="549AB25E" w:rsidR="000A0B55" w:rsidRPr="007C37BD" w:rsidRDefault="000A0B55" w:rsidP="003F2B17">
    <w:pPr>
      <w:pStyle w:val="Footer"/>
      <w:framePr w:wrap="around" w:vAnchor="text" w:hAnchor="page" w:x="10937" w:y="22"/>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Pr>
        <w:rStyle w:val="PageNumber"/>
        <w:noProof/>
        <w:sz w:val="18"/>
      </w:rPr>
      <w:t>iv</w:t>
    </w:r>
    <w:r w:rsidRPr="007C37BD">
      <w:rPr>
        <w:rStyle w:val="PageNumber"/>
        <w:sz w:val="18"/>
      </w:rPr>
      <w:fldChar w:fldCharType="end"/>
    </w:r>
  </w:p>
  <w:p w14:paraId="5D07DB1E" w14:textId="7D9B8E2D" w:rsidR="000A0B55" w:rsidRDefault="000A0B55" w:rsidP="00B07932">
    <w:pPr>
      <w:pStyle w:val="Footer"/>
    </w:pPr>
    <w:r>
      <w:rPr>
        <w:i/>
        <w:noProof/>
        <w:sz w:val="20"/>
      </w:rPr>
      <mc:AlternateContent>
        <mc:Choice Requires="wps">
          <w:drawing>
            <wp:anchor distT="0" distB="0" distL="114300" distR="114300" simplePos="0" relativeHeight="251658246" behindDoc="0" locked="0" layoutInCell="1" allowOverlap="1" wp14:anchorId="6E023E98" wp14:editId="2130B816">
              <wp:simplePos x="0" y="0"/>
              <wp:positionH relativeFrom="column">
                <wp:posOffset>-327355</wp:posOffset>
              </wp:positionH>
              <wp:positionV relativeFrom="paragraph">
                <wp:posOffset>24968</wp:posOffset>
              </wp:positionV>
              <wp:extent cx="6537278"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6537278"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A0306" id="Straight Connector 5"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25.8pt,1.95pt" to="488.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" strokecolor="gray [1629]" strokeweight="1.5pt"/>
          </w:pict>
        </mc:Fallback>
      </mc:AlternateContent>
    </w:r>
    <w:r w:rsidR="00746CAF">
      <w:t xml:space="preserve"> </w:t>
    </w:r>
  </w:p>
  <w:p w14:paraId="53AA5BE4" w14:textId="77777777" w:rsidR="00746CAF" w:rsidRDefault="00746CAF" w:rsidP="00B079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41233"/>
      <w:docPartObj>
        <w:docPartGallery w:val="Page Numbers (Bottom of Page)"/>
        <w:docPartUnique/>
      </w:docPartObj>
    </w:sdtPr>
    <w:sdtEndPr>
      <w:rPr>
        <w:noProof/>
      </w:rPr>
    </w:sdtEndPr>
    <w:sdtContent>
      <w:p w14:paraId="5BE0281F" w14:textId="77777777" w:rsidR="002C2703" w:rsidRDefault="000A0B55" w:rsidP="00746CAF">
        <w:pPr>
          <w:pStyle w:val="Footer"/>
          <w:spacing w:before="120"/>
          <w:jc w:val="center"/>
          <w:rPr>
            <w:i/>
            <w:sz w:val="20"/>
          </w:rPr>
        </w:pPr>
        <w:r w:rsidRPr="00187415">
          <w:rPr>
            <w:i/>
            <w:sz w:val="20"/>
          </w:rPr>
          <w:t xml:space="preserve">Questions about this FOA? </w:t>
        </w:r>
        <w:hyperlink r:id="rId1" w:history="1">
          <w:r w:rsidR="001A62FF" w:rsidRPr="00241688">
            <w:rPr>
              <w:rStyle w:val="Hyperlink"/>
              <w:i/>
              <w:sz w:val="20"/>
            </w:rPr>
            <w:t>SI.Grid-FOA.SETO@ee.doe.gov</w:t>
          </w:r>
        </w:hyperlink>
        <w:r w:rsidR="00917A6D">
          <w:rPr>
            <w:i/>
            <w:sz w:val="20"/>
          </w:rPr>
          <w:t xml:space="preserve"> </w:t>
        </w:r>
        <w:r w:rsidR="002C2703">
          <w:rPr>
            <w:i/>
            <w:sz w:val="20"/>
          </w:rPr>
          <w:t xml:space="preserve">  </w:t>
        </w:r>
        <w:r w:rsidRPr="00187415">
          <w:rPr>
            <w:i/>
            <w:sz w:val="20"/>
          </w:rPr>
          <w:t xml:space="preserve">Problems with EERE Exchange? Email </w:t>
        </w:r>
      </w:p>
      <w:p w14:paraId="32F04234" w14:textId="20CE8207" w:rsidR="000A0B55" w:rsidRPr="002C2703" w:rsidRDefault="00E63DDA" w:rsidP="002C2703">
        <w:pPr>
          <w:pStyle w:val="Footer"/>
          <w:jc w:val="center"/>
          <w:rPr>
            <w:i/>
            <w:sz w:val="20"/>
          </w:rPr>
        </w:pPr>
        <w:hyperlink r:id="rId2" w:history="1">
          <w:r w:rsidR="002C2703" w:rsidRPr="002941BC">
            <w:rPr>
              <w:rStyle w:val="Hyperlink"/>
              <w:i/>
              <w:sz w:val="20"/>
            </w:rPr>
            <w:t>EERE-ExchangeSupport@hq.doe.gov</w:t>
          </w:r>
        </w:hyperlink>
        <w:r w:rsidR="000A0B55" w:rsidRPr="00187415">
          <w:rPr>
            <w:i/>
            <w:sz w:val="20"/>
          </w:rPr>
          <w:t xml:space="preserve"> Include FOA name and number in subject line.</w:t>
        </w:r>
      </w:p>
      <w:p w14:paraId="46288BFF" w14:textId="039B3726" w:rsidR="000A0B55" w:rsidRPr="00A53BBC" w:rsidRDefault="000A0B55" w:rsidP="00EA72D5">
        <w:pPr>
          <w:spacing w:before="240"/>
          <w:ind w:right="-540"/>
          <w:jc w:val="center"/>
          <w:rPr>
            <w:i/>
          </w:rPr>
        </w:pPr>
        <w:r>
          <w:rPr>
            <w:i/>
            <w:noProof/>
            <w:sz w:val="20"/>
          </w:rPr>
          <mc:AlternateContent>
            <mc:Choice Requires="wps">
              <w:drawing>
                <wp:anchor distT="0" distB="0" distL="114300" distR="114300" simplePos="0" relativeHeight="251658245" behindDoc="0" locked="0" layoutInCell="1" allowOverlap="1" wp14:anchorId="7347D910" wp14:editId="7968C640">
                  <wp:simplePos x="0" y="0"/>
                  <wp:positionH relativeFrom="margin">
                    <wp:align>center</wp:align>
                  </wp:positionH>
                  <wp:positionV relativeFrom="paragraph">
                    <wp:posOffset>33020</wp:posOffset>
                  </wp:positionV>
                  <wp:extent cx="653669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536690"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98AAA" id="Straight Connector 11" o:spid="_x0000_s1026" style="position:absolute;z-index:251658245;visibility:visible;mso-wrap-style:square;mso-wrap-distance-left:9pt;mso-wrap-distance-top:0;mso-wrap-distance-right:9pt;mso-wrap-distance-bottom:0;mso-position-horizontal:center;mso-position-horizontal-relative:margin;mso-position-vertical:absolute;mso-position-vertical-relative:text" from="0,2.6pt" to="51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" strokecolor="gray [1629]" strokeweight="1.5pt">
                  <w10:wrap anchorx="margin"/>
                </v:line>
              </w:pict>
            </mc:Fallback>
          </mc:AlternateContent>
        </w:r>
        <w:r>
          <w:ptab w:relativeTo="margin" w:alignment="right" w:leader="none"/>
        </w:r>
        <w:r>
          <w:t xml:space="preserve"> </w:t>
        </w:r>
        <w:r w:rsidRPr="00A53BBC">
          <w:rPr>
            <w:sz w:val="22"/>
            <w:szCs w:val="22"/>
          </w:rPr>
          <w:fldChar w:fldCharType="begin"/>
        </w:r>
        <w:r w:rsidRPr="00A53BBC">
          <w:rPr>
            <w:sz w:val="22"/>
            <w:szCs w:val="22"/>
          </w:rPr>
          <w:instrText xml:space="preserve"> PAGE  \* Arabic  \* MERGEFORMAT </w:instrText>
        </w:r>
        <w:r w:rsidRPr="00A53BBC">
          <w:rPr>
            <w:sz w:val="22"/>
            <w:szCs w:val="22"/>
          </w:rPr>
          <w:fldChar w:fldCharType="separate"/>
        </w:r>
        <w:r>
          <w:rPr>
            <w:noProof/>
            <w:sz w:val="22"/>
            <w:szCs w:val="22"/>
          </w:rPr>
          <w:t>65</w:t>
        </w:r>
        <w:r w:rsidRPr="00A53BBC">
          <w:rPr>
            <w:sz w:val="22"/>
            <w:szCs w:val="22"/>
          </w:rPr>
          <w:fldChar w:fldCharType="end"/>
        </w:r>
      </w:p>
    </w:sdtContent>
  </w:sdt>
  <w:p w14:paraId="74D4CF07" w14:textId="77777777" w:rsidR="00D344B4" w:rsidRDefault="00D344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B5DA" w14:textId="77777777" w:rsidR="00E60202" w:rsidRDefault="00E60202">
      <w:r>
        <w:separator/>
      </w:r>
    </w:p>
  </w:footnote>
  <w:footnote w:type="continuationSeparator" w:id="0">
    <w:p w14:paraId="4071DB74" w14:textId="77777777" w:rsidR="00E60202" w:rsidRDefault="00E60202">
      <w:r>
        <w:continuationSeparator/>
      </w:r>
    </w:p>
  </w:footnote>
  <w:footnote w:type="continuationNotice" w:id="1">
    <w:p w14:paraId="00CFBC2B" w14:textId="77777777" w:rsidR="00E60202" w:rsidRDefault="00E60202"/>
  </w:footnote>
  <w:footnote w:id="2">
    <w:p w14:paraId="65D18C6F" w14:textId="0128993A" w:rsidR="00BA104C" w:rsidRDefault="00BA104C">
      <w:pPr>
        <w:pStyle w:val="FootnoteText"/>
      </w:pPr>
      <w:r>
        <w:rPr>
          <w:rStyle w:val="FootnoteReference"/>
        </w:rPr>
        <w:footnoteRef/>
      </w:r>
      <w:r>
        <w:t xml:space="preserve"> </w:t>
      </w:r>
      <w:r w:rsidRPr="00BA104C">
        <w:t>Infrastructure Investment and Jobs Act, Public Law 117-58 (November 15, 2021).</w:t>
      </w:r>
    </w:p>
  </w:footnote>
  <w:footnote w:id="3">
    <w:p w14:paraId="434B913C" w14:textId="16D371BF" w:rsidR="00BA104C" w:rsidRDefault="00BA104C">
      <w:pPr>
        <w:pStyle w:val="FootnoteText"/>
      </w:pPr>
      <w:r>
        <w:rPr>
          <w:rStyle w:val="FootnoteReference"/>
        </w:rPr>
        <w:footnoteRef/>
      </w:r>
      <w:r>
        <w:t xml:space="preserve"> U.S.</w:t>
      </w:r>
      <w:r>
        <w:rPr>
          <w:spacing w:val="-2"/>
        </w:rPr>
        <w:t xml:space="preserve"> </w:t>
      </w:r>
      <w:r>
        <w:t>Department</w:t>
      </w:r>
      <w:r>
        <w:rPr>
          <w:spacing w:val="-2"/>
        </w:rPr>
        <w:t xml:space="preserve"> </w:t>
      </w:r>
      <w:r>
        <w:t>of</w:t>
      </w:r>
      <w:r>
        <w:rPr>
          <w:spacing w:val="-3"/>
        </w:rPr>
        <w:t xml:space="preserve"> </w:t>
      </w:r>
      <w:r>
        <w:t>Energy.</w:t>
      </w:r>
      <w:r>
        <w:rPr>
          <w:spacing w:val="-4"/>
        </w:rPr>
        <w:t xml:space="preserve"> </w:t>
      </w:r>
      <w:r>
        <w:t>November</w:t>
      </w:r>
      <w:r>
        <w:rPr>
          <w:spacing w:val="-2"/>
        </w:rPr>
        <w:t xml:space="preserve"> </w:t>
      </w:r>
      <w:r>
        <w:t>2021.</w:t>
      </w:r>
      <w:r>
        <w:rPr>
          <w:spacing w:val="-2"/>
        </w:rPr>
        <w:t xml:space="preserve"> </w:t>
      </w:r>
      <w:r>
        <w:t>“DOE</w:t>
      </w:r>
      <w:r>
        <w:rPr>
          <w:spacing w:val="-3"/>
        </w:rPr>
        <w:t xml:space="preserve"> </w:t>
      </w:r>
      <w:r>
        <w:t>Fact</w:t>
      </w:r>
      <w:r>
        <w:rPr>
          <w:spacing w:val="-3"/>
        </w:rPr>
        <w:t xml:space="preserve"> </w:t>
      </w:r>
      <w:r>
        <w:t>Sheet:</w:t>
      </w:r>
      <w:r>
        <w:rPr>
          <w:spacing w:val="-2"/>
        </w:rPr>
        <w:t xml:space="preserve"> </w:t>
      </w:r>
      <w:r>
        <w:t>The</w:t>
      </w:r>
      <w:r>
        <w:rPr>
          <w:spacing w:val="-2"/>
        </w:rPr>
        <w:t xml:space="preserve"> </w:t>
      </w:r>
      <w:r>
        <w:t>Bipartisan</w:t>
      </w:r>
      <w:r>
        <w:rPr>
          <w:spacing w:val="-2"/>
        </w:rPr>
        <w:t xml:space="preserve"> </w:t>
      </w:r>
      <w:r>
        <w:t>Infrastructure</w:t>
      </w:r>
      <w:r>
        <w:rPr>
          <w:spacing w:val="-3"/>
        </w:rPr>
        <w:t xml:space="preserve"> </w:t>
      </w:r>
      <w:r>
        <w:t>Deal</w:t>
      </w:r>
      <w:r>
        <w:rPr>
          <w:spacing w:val="-4"/>
        </w:rPr>
        <w:t xml:space="preserve"> </w:t>
      </w:r>
      <w:r>
        <w:t>Will</w:t>
      </w:r>
      <w:r>
        <w:rPr>
          <w:spacing w:val="-2"/>
        </w:rPr>
        <w:t xml:space="preserve"> </w:t>
      </w:r>
      <w:r>
        <w:t>Deliver</w:t>
      </w:r>
      <w:r>
        <w:rPr>
          <w:spacing w:val="-2"/>
        </w:rPr>
        <w:t xml:space="preserve"> </w:t>
      </w:r>
      <w:r>
        <w:t xml:space="preserve">For American Workers, Families and Usher in the Clean Energy Future.” </w:t>
      </w:r>
      <w:hyperlink r:id="rId1">
        <w:r>
          <w:rPr>
            <w:color w:val="0000FF"/>
            <w:u w:val="single" w:color="0000FF"/>
          </w:rPr>
          <w:t>https://www.energy.gov/articles/doe-fact-</w:t>
        </w:r>
      </w:hyperlink>
      <w:r>
        <w:rPr>
          <w:color w:val="0000FF"/>
        </w:rPr>
        <w:t xml:space="preserve"> </w:t>
      </w:r>
      <w:hyperlink r:id="rId2">
        <w:r>
          <w:rPr>
            <w:color w:val="0000FF"/>
            <w:spacing w:val="-2"/>
            <w:u w:val="single" w:color="0000FF"/>
          </w:rPr>
          <w:t>sheet-bipartisan-infrastructure-deal-will-deliver-american-workers-families-and-0</w:t>
        </w:r>
      </w:hyperlink>
    </w:p>
  </w:footnote>
  <w:footnote w:id="4">
    <w:p w14:paraId="68D0C475" w14:textId="2B701203" w:rsidR="00646C5C" w:rsidRPr="00FC5DC4" w:rsidRDefault="00646C5C">
      <w:pPr>
        <w:pStyle w:val="FootnoteText"/>
      </w:pPr>
      <w:r w:rsidRPr="00FC5DC4">
        <w:rPr>
          <w:rStyle w:val="FootnoteReference"/>
        </w:rPr>
        <w:footnoteRef/>
      </w:r>
      <w:r w:rsidRPr="00FC5DC4">
        <w:t xml:space="preserve"> </w:t>
      </w:r>
      <w:r w:rsidRPr="00FC5DC4">
        <w:rPr>
          <w:rFonts w:ascii="Calibri" w:eastAsia="Calibri" w:hAnsi="Calibri" w:cs="Calibri"/>
        </w:rPr>
        <w:t>Infrastructure Investment and Jobs Act, Public Law 117-58, sec. 41007(c)(1) (November 15, 2021).</w:t>
      </w:r>
    </w:p>
  </w:footnote>
  <w:footnote w:id="5">
    <w:p w14:paraId="2901511C" w14:textId="446D13DB" w:rsidR="00BA104C" w:rsidRDefault="00BA104C">
      <w:pPr>
        <w:pStyle w:val="FootnoteText"/>
      </w:pPr>
      <w:r>
        <w:rPr>
          <w:rStyle w:val="FootnoteReference"/>
        </w:rPr>
        <w:footnoteRef/>
      </w:r>
      <w:r>
        <w:t xml:space="preserve"> The</w:t>
      </w:r>
      <w:r>
        <w:rPr>
          <w:spacing w:val="-2"/>
        </w:rPr>
        <w:t xml:space="preserve"> </w:t>
      </w:r>
      <w:r>
        <w:t>Justice40</w:t>
      </w:r>
      <w:r>
        <w:rPr>
          <w:spacing w:val="-3"/>
        </w:rPr>
        <w:t xml:space="preserve"> </w:t>
      </w:r>
      <w:r>
        <w:t>initiative,</w:t>
      </w:r>
      <w:r>
        <w:rPr>
          <w:spacing w:val="-2"/>
        </w:rPr>
        <w:t xml:space="preserve"> </w:t>
      </w:r>
      <w:r>
        <w:t>created</w:t>
      </w:r>
      <w:r>
        <w:rPr>
          <w:spacing w:val="-2"/>
        </w:rPr>
        <w:t xml:space="preserve"> </w:t>
      </w:r>
      <w:r>
        <w:t>by</w:t>
      </w:r>
      <w:r>
        <w:rPr>
          <w:spacing w:val="-3"/>
        </w:rPr>
        <w:t xml:space="preserve"> </w:t>
      </w:r>
      <w:r>
        <w:t>E.O.</w:t>
      </w:r>
      <w:r>
        <w:rPr>
          <w:spacing w:val="-4"/>
        </w:rPr>
        <w:t xml:space="preserve"> </w:t>
      </w:r>
      <w:r>
        <w:t>14008,</w:t>
      </w:r>
      <w:r>
        <w:rPr>
          <w:spacing w:val="-3"/>
        </w:rPr>
        <w:t xml:space="preserve"> </w:t>
      </w:r>
      <w:r>
        <w:t>establishes</w:t>
      </w:r>
      <w:r>
        <w:rPr>
          <w:spacing w:val="-4"/>
        </w:rPr>
        <w:t xml:space="preserve"> </w:t>
      </w:r>
      <w:r>
        <w:t>a</w:t>
      </w:r>
      <w:r>
        <w:rPr>
          <w:spacing w:val="-2"/>
        </w:rPr>
        <w:t xml:space="preserve"> </w:t>
      </w:r>
      <w:r>
        <w:t>goal</w:t>
      </w:r>
      <w:r>
        <w:rPr>
          <w:spacing w:val="-2"/>
        </w:rPr>
        <w:t xml:space="preserve"> </w:t>
      </w:r>
      <w:r>
        <w:t>that</w:t>
      </w:r>
      <w:r>
        <w:rPr>
          <w:spacing w:val="-3"/>
        </w:rPr>
        <w:t xml:space="preserve"> </w:t>
      </w:r>
      <w:r>
        <w:t>40%</w:t>
      </w:r>
      <w:r>
        <w:rPr>
          <w:spacing w:val="-3"/>
        </w:rPr>
        <w:t xml:space="preserve"> </w:t>
      </w:r>
      <w:r>
        <w:t>of</w:t>
      </w:r>
      <w:r>
        <w:rPr>
          <w:spacing w:val="-2"/>
        </w:rPr>
        <w:t xml:space="preserve"> </w:t>
      </w:r>
      <w:r>
        <w:t>the</w:t>
      </w:r>
      <w:r>
        <w:rPr>
          <w:spacing w:val="-3"/>
        </w:rPr>
        <w:t xml:space="preserve"> </w:t>
      </w:r>
      <w:r>
        <w:t>overall</w:t>
      </w:r>
      <w:r>
        <w:rPr>
          <w:spacing w:val="-2"/>
        </w:rPr>
        <w:t xml:space="preserve"> </w:t>
      </w:r>
      <w:r>
        <w:t>benefits</w:t>
      </w:r>
      <w:r>
        <w:rPr>
          <w:spacing w:val="-2"/>
        </w:rPr>
        <w:t xml:space="preserve"> </w:t>
      </w:r>
      <w:r>
        <w:t>of</w:t>
      </w:r>
      <w:r>
        <w:rPr>
          <w:spacing w:val="-2"/>
        </w:rPr>
        <w:t xml:space="preserve"> </w:t>
      </w:r>
      <w:r>
        <w:t xml:space="preserve">certain federal investments flow to disadvantaged communities (DACs). </w:t>
      </w:r>
      <w:hyperlink r:id="rId3">
        <w:r>
          <w:rPr>
            <w:color w:val="0000FF"/>
            <w:u w:val="single" w:color="0000FF"/>
          </w:rPr>
          <w:t>https://www.whitehouse.gov/wp-</w:t>
        </w:r>
      </w:hyperlink>
      <w:r>
        <w:rPr>
          <w:color w:val="0000FF"/>
        </w:rPr>
        <w:t xml:space="preserve"> </w:t>
      </w:r>
      <w:hyperlink r:id="rId4">
        <w:r>
          <w:rPr>
            <w:color w:val="0000FF"/>
            <w:spacing w:val="-2"/>
            <w:u w:val="single" w:color="0000FF"/>
          </w:rPr>
          <w:t>content/uploads/2021/07/M-21-28.pdf</w:t>
        </w:r>
      </w:hyperlink>
    </w:p>
  </w:footnote>
  <w:footnote w:id="6">
    <w:p w14:paraId="5D1C275E" w14:textId="77777777" w:rsidR="00C00F47" w:rsidRDefault="00C00F47" w:rsidP="00C00F47">
      <w:pPr>
        <w:pStyle w:val="FootnoteText"/>
      </w:pPr>
      <w:r>
        <w:rPr>
          <w:rStyle w:val="FootnoteReference"/>
        </w:rPr>
        <w:footnoteRef/>
      </w:r>
      <w:r>
        <w:t xml:space="preserve"> Section B.i provides more details on the range of grid services and applications considered in this FOA.</w:t>
      </w:r>
    </w:p>
  </w:footnote>
  <w:footnote w:id="7">
    <w:p w14:paraId="1C1F2A93" w14:textId="77777777" w:rsidR="00C00F47" w:rsidRDefault="00C00F47" w:rsidP="00C00F47">
      <w:pPr>
        <w:pStyle w:val="FootnoteText"/>
      </w:pPr>
      <w:r>
        <w:rPr>
          <w:rStyle w:val="FootnoteReference"/>
        </w:rPr>
        <w:footnoteRef/>
      </w:r>
      <w:r>
        <w:t xml:space="preserve"> SETO</w:t>
      </w:r>
      <w:r w:rsidRPr="00A019DA">
        <w:t xml:space="preserve">. </w:t>
      </w:r>
      <w:r>
        <w:t>SETO</w:t>
      </w:r>
      <w:r w:rsidRPr="00CB7DF8">
        <w:t xml:space="preserve"> Multi-Year Program Plan</w:t>
      </w:r>
      <w:r w:rsidRPr="00A019DA">
        <w:t>. https://www.energy.gov/eere/solar/articles/solar-energy-technologies-office-multi-year-program-plan</w:t>
      </w:r>
    </w:p>
  </w:footnote>
  <w:footnote w:id="8">
    <w:p w14:paraId="72B112AE" w14:textId="77777777" w:rsidR="00C00F47" w:rsidRDefault="00C00F47" w:rsidP="00C00F47">
      <w:pPr>
        <w:pStyle w:val="FootnoteText"/>
      </w:pPr>
      <w:r>
        <w:rPr>
          <w:rStyle w:val="FootnoteReference"/>
        </w:rPr>
        <w:footnoteRef/>
      </w:r>
      <w:r>
        <w:t xml:space="preserve"> SETO. Solar Futures Study. </w:t>
      </w:r>
      <w:r w:rsidRPr="00B64BD0">
        <w:t>https://www.energy.gov/eere/solar/solar-futures-study</w:t>
      </w:r>
    </w:p>
  </w:footnote>
  <w:footnote w:id="9">
    <w:p w14:paraId="0E268FC8" w14:textId="77777777" w:rsidR="00C00F47" w:rsidRDefault="00C00F47" w:rsidP="00C00F47">
      <w:pPr>
        <w:pStyle w:val="FootnoteText"/>
      </w:pPr>
      <w:r>
        <w:rPr>
          <w:rStyle w:val="FootnoteReference"/>
        </w:rPr>
        <w:footnoteRef/>
      </w:r>
      <w:r>
        <w:t xml:space="preserve"> </w:t>
      </w:r>
      <w:r w:rsidRPr="00CC2568">
        <w:t>Executive Order 14008, “Tackling the Climate Crisis at Home and Abroad,” January 27, 2021.</w:t>
      </w:r>
    </w:p>
  </w:footnote>
  <w:footnote w:id="10">
    <w:p w14:paraId="7CE4C2EC" w14:textId="59119CE1" w:rsidR="00533FE1" w:rsidRDefault="00533FE1">
      <w:pPr>
        <w:pStyle w:val="FootnoteText"/>
      </w:pPr>
      <w:r>
        <w:rPr>
          <w:rStyle w:val="FootnoteReference"/>
        </w:rPr>
        <w:footnoteRef/>
      </w:r>
      <w:r>
        <w:t xml:space="preserve"> SETO. Solar Futures Study. </w:t>
      </w:r>
      <w:r w:rsidRPr="00B64BD0">
        <w:t>https://www.energy.gov/eere/solar/solar-futures-study</w:t>
      </w:r>
    </w:p>
  </w:footnote>
  <w:footnote w:id="11">
    <w:p w14:paraId="3C9E9153" w14:textId="77777777" w:rsidR="00C00F47" w:rsidRDefault="00C00F47" w:rsidP="00C00F47">
      <w:pPr>
        <w:pStyle w:val="FootnoteText"/>
      </w:pPr>
      <w:r>
        <w:rPr>
          <w:rStyle w:val="FootnoteReference"/>
        </w:rPr>
        <w:footnoteRef/>
      </w:r>
      <w:r>
        <w:t xml:space="preserve"> SETO. 2030 Solar Cost Targets. </w:t>
      </w:r>
      <w:r w:rsidRPr="00247B47">
        <w:t>https://www.energy.gov/eere/solar/articles/2030-solar-cost-targets</w:t>
      </w:r>
    </w:p>
  </w:footnote>
  <w:footnote w:id="12">
    <w:p w14:paraId="100E8C67" w14:textId="77777777" w:rsidR="00FF4EAA" w:rsidRDefault="00FF4EAA" w:rsidP="00FF4EAA">
      <w:pPr>
        <w:pStyle w:val="FootnoteText"/>
      </w:pPr>
      <w:r>
        <w:rPr>
          <w:rStyle w:val="FootnoteReference"/>
        </w:rPr>
        <w:footnoteRef/>
      </w:r>
      <w:r>
        <w:t xml:space="preserve"> The Justice40 initiative, created by EO 14008, establishes a goal that 40% of the overall benefits of certain federal investments flow to DACs. </w:t>
      </w:r>
      <w:hyperlink r:id="rId5" w:history="1">
        <w:r>
          <w:rPr>
            <w:rStyle w:val="Hyperlink"/>
            <w:noProof/>
          </w:rPr>
          <w:t>https://www.whitehouse.gov/wp-content/uploads/2021/07/M-21-28.pdf</w:t>
        </w:r>
      </w:hyperlink>
    </w:p>
  </w:footnote>
  <w:footnote w:id="13">
    <w:p w14:paraId="61CA75E2" w14:textId="77777777" w:rsidR="00133A43" w:rsidRDefault="00133A43" w:rsidP="00133A43">
      <w:pPr>
        <w:pStyle w:val="FootnoteText"/>
      </w:pPr>
      <w:r>
        <w:rPr>
          <w:rStyle w:val="FootnoteReference"/>
        </w:rPr>
        <w:footnoteRef/>
      </w:r>
      <w:r>
        <w:t xml:space="preserve"> Strengthening prosperity by expanding good-paying, secure, and safe union jobs accessible to all workers is a key goal set by President Biden, discussed in depth in his Executive Orders on Ensuring the Future Is Made in All of America by All of America's Workers (EO 14005), Tackling the Climate Crisis at Home and Abroad (EO 14008), Worker Organizing and Empowerment (EO 14025), Boosting Quality of Federal Construction Contracts (EO 14063), Promoting Competition in the American Economy (EO 14036), and Implementing the Infrastructure Investment and Jobs Act (EO 14052). </w:t>
      </w:r>
    </w:p>
    <w:p w14:paraId="2F194D9F" w14:textId="77777777" w:rsidR="00133A43" w:rsidRDefault="00133A43" w:rsidP="00133A43">
      <w:pPr>
        <w:pStyle w:val="FootnoteText"/>
      </w:pPr>
    </w:p>
  </w:footnote>
  <w:footnote w:id="14">
    <w:p w14:paraId="6840F085" w14:textId="77777777" w:rsidR="00FF4EAA" w:rsidRDefault="00FF4EAA" w:rsidP="00FF4EAA">
      <w:pPr>
        <w:pStyle w:val="FootnoteText"/>
      </w:pPr>
      <w:r>
        <w:rPr>
          <w:rStyle w:val="FootnoteReference"/>
        </w:rPr>
        <w:footnoteRef/>
      </w:r>
      <w:r>
        <w:t xml:space="preserve"> Executive Order 13985, “Advancing Racial Equity and Support for Underserved Communities Through the Federal Government” (Jan. 20, 2021). </w:t>
      </w:r>
    </w:p>
  </w:footnote>
  <w:footnote w:id="15">
    <w:p w14:paraId="1E5812D5" w14:textId="77777777" w:rsidR="00FF4EAA" w:rsidRDefault="00FF4EAA" w:rsidP="00FF4EAA">
      <w:pPr>
        <w:pStyle w:val="FootnoteText"/>
      </w:pPr>
      <w:r>
        <w:rPr>
          <w:rStyle w:val="FootnoteReference"/>
        </w:rPr>
        <w:footnoteRef/>
      </w:r>
      <w:r>
        <w:t xml:space="preserve"> The term “underserved communities” refers to populations sharing a particular characteristic, as well as geographic communities, that have been systematically denied a full opportunity to participate in aspects of economic, social, and civic life, as exemplified by the list of in the definition of “equity.” E.O. 13985. For purposes of this FOA, communities identified as disadvantaged or underserved communities by their respective States; communities identified on the Index of Deep Disadvantage referenced at </w:t>
      </w:r>
      <w:hyperlink r:id="rId6" w:history="1">
        <w:r>
          <w:rPr>
            <w:rStyle w:val="Hyperlink"/>
          </w:rPr>
          <w:t>https://news.umich.edu/new-index-ranks-americas-100-most-disadvantaged-communities/</w:t>
        </w:r>
      </w:hyperlink>
      <w:r>
        <w:t xml:space="preserve">, and communities that otherwise meet the definition of “underserved communities” stated above. </w:t>
      </w:r>
    </w:p>
  </w:footnote>
  <w:footnote w:id="16">
    <w:p w14:paraId="33D73A2A" w14:textId="77777777" w:rsidR="00FF4EAA" w:rsidRDefault="00FF4EAA" w:rsidP="00FF4EAA">
      <w:pPr>
        <w:pStyle w:val="FootnoteText"/>
        <w:rPr>
          <w:lang w:val="en"/>
        </w:rPr>
      </w:pPr>
      <w:r>
        <w:rPr>
          <w:rStyle w:val="FootnoteReference"/>
        </w:rPr>
        <w:footnoteRef/>
      </w:r>
      <w:r>
        <w:t xml:space="preserve"> </w:t>
      </w:r>
      <w:r>
        <w:rPr>
          <w:lang w:val="en"/>
        </w:rPr>
        <w:t xml:space="preserve">According to the National Science Foundation’s 2019 report titled, “Women, Minorities and Persons with Disabilities in Science and Engineering”, women, persons with disabilities, and underrepresented minority groups—blacks or African Americans, Hispanics or Latinos, and American Indians or Alaska Natives—are vastly underrepresented in the STEM (science, technology, engineering and math) fields that drive the energy sector. That is, their representation in STEM education and STEM employment is smaller than their representation in the U.S. population.  </w:t>
      </w:r>
      <w:hyperlink r:id="rId7" w:history="1">
        <w:r>
          <w:rPr>
            <w:rStyle w:val="Hyperlink"/>
            <w:lang w:val="en"/>
          </w:rPr>
          <w:t>https://ncses.nsf.gov/pubs/nsf19304/digest/about-this-report</w:t>
        </w:r>
      </w:hyperlink>
      <w:r>
        <w:rPr>
          <w:lang w:val="en"/>
        </w:rPr>
        <w:t xml:space="preserve"> For example, in the U.S., Hispanics, African Americans and American Indians or Alaska Natives make up 24 percent of the overall workforce, yet only account for 9 percent of the country’s science and engineering workforce. DOE seeks to inspire underrepresented Americans to pursue careers in energy and support their advancement into leadership positions. </w:t>
      </w:r>
      <w:hyperlink r:id="rId8" w:history="1">
        <w:r>
          <w:rPr>
            <w:rStyle w:val="Hyperlink"/>
            <w:lang w:val="en"/>
          </w:rPr>
          <w:t>https://www.energy.gov/articles/introducing-minorities-energy-initiative</w:t>
        </w:r>
      </w:hyperlink>
    </w:p>
  </w:footnote>
  <w:footnote w:id="17">
    <w:p w14:paraId="26DBDC91" w14:textId="20B6676C" w:rsidR="00FF4EAA" w:rsidRPr="00746CAF" w:rsidRDefault="00FF4EAA" w:rsidP="00746CAF">
      <w:pPr>
        <w:shd w:val="clear" w:color="auto" w:fill="FFFFFF" w:themeFill="background1"/>
        <w:rPr>
          <w:sz w:val="20"/>
          <w:lang w:val="en"/>
        </w:rPr>
      </w:pPr>
      <w:r>
        <w:rPr>
          <w:rStyle w:val="FootnoteReference"/>
        </w:rPr>
        <w:footnoteRef/>
      </w:r>
      <w:r>
        <w:t xml:space="preserve"> </w:t>
      </w:r>
      <w:r>
        <w:rPr>
          <w:sz w:val="20"/>
        </w:rPr>
        <w:t>See also.</w:t>
      </w:r>
      <w:r>
        <w:t xml:space="preserve"> </w:t>
      </w:r>
      <w:r>
        <w:rPr>
          <w:sz w:val="20"/>
        </w:rPr>
        <w:t xml:space="preserve">Note that Congress recognized in Section 305 of the </w:t>
      </w:r>
      <w:r>
        <w:rPr>
          <w:sz w:val="20"/>
          <w:lang w:val="en"/>
        </w:rPr>
        <w:t xml:space="preserve">American Innovation and Competitiveness Act of 2017, Public Law 114-329: </w:t>
      </w:r>
    </w:p>
    <w:p w14:paraId="106F1CBB" w14:textId="20BCDCE5" w:rsidR="00FF4EAA" w:rsidRPr="00746CAF" w:rsidRDefault="00FF4EAA" w:rsidP="00746CAF">
      <w:pPr>
        <w:shd w:val="clear" w:color="auto" w:fill="FFFFFF" w:themeFill="background1"/>
        <w:ind w:left="720" w:right="720"/>
        <w:rPr>
          <w:sz w:val="20"/>
        </w:rPr>
      </w:pPr>
      <w:r>
        <w:rPr>
          <w:sz w:val="20"/>
        </w:rPr>
        <w:t>(1) [I]t is critical to our Nation’s economic leadership and global competitiveness that the United States educate, train, and retain more scientists, engineers, and computer scientists; (2) there is currently a disconnect between the availability of and growing demand for STEM-skilled workers; (3) historically, underrepresented populations are the largest untapped STEM talent pools in the United States; and (4) given the shifting demographic landscape, the United States should encourage full participation of individuals from underrepresented populations in STEM fields.</w:t>
      </w:r>
    </w:p>
  </w:footnote>
  <w:footnote w:id="18">
    <w:p w14:paraId="11ADFB24" w14:textId="77777777" w:rsidR="00FF4EAA" w:rsidRDefault="00FF4EAA" w:rsidP="00FF4EAA">
      <w:pPr>
        <w:pStyle w:val="FootnoteText"/>
      </w:pPr>
      <w:r>
        <w:rPr>
          <w:rStyle w:val="FootnoteReference"/>
        </w:rPr>
        <w:footnoteRef/>
      </w:r>
      <w:r>
        <w:t xml:space="preserve"> Minority Serving Institutions refers to universities and colleges that serve a significant percentage of students from minority groups, including Historically Black Colleges and Universities/Other Minority Institutions as educational entities recognized by the Office of Civil Rights (OCR), U.S. Department of Education, and identified on the OCR's Department of Education U.S. accredited postsecondary minorities’ institution list. See </w:t>
      </w:r>
      <w:hyperlink r:id="rId9" w:history="1">
        <w:r w:rsidRPr="00E76F5A">
          <w:rPr>
            <w:rStyle w:val="Hyperlink"/>
          </w:rPr>
          <w:t>https://www2.ed.gov/about/offices/list/ocr/edlite-minorityinst.html</w:t>
        </w:r>
      </w:hyperlink>
      <w:r>
        <w:t>.</w:t>
      </w:r>
    </w:p>
  </w:footnote>
  <w:footnote w:id="19">
    <w:p w14:paraId="5A885950" w14:textId="77777777" w:rsidR="00FF4EAA" w:rsidRDefault="00FF4EAA" w:rsidP="00FF4EAA">
      <w:pPr>
        <w:pStyle w:val="FootnoteText"/>
      </w:pPr>
      <w:r>
        <w:rPr>
          <w:rStyle w:val="FootnoteReference"/>
        </w:rPr>
        <w:footnoteRef/>
      </w:r>
      <w:r>
        <w:t xml:space="preserve"> The Justice40 initiative, created by E.O. 14008, establishes a goal that 40% of the overall benefits of certain federal investments flow to (DACs). T</w:t>
      </w:r>
      <w:r>
        <w:rPr>
          <w:noProof/>
        </w:rPr>
        <w:t xml:space="preserve">he Justice40 Interim Guidance provides a broad definition of DACs (Page 2): </w:t>
      </w:r>
      <w:hyperlink r:id="rId10" w:history="1">
        <w:r>
          <w:rPr>
            <w:rStyle w:val="Hyperlink"/>
            <w:noProof/>
          </w:rPr>
          <w:t>https://www.whitehouse.gov/wp-content/uploads/2021/07/M-21-28.pdf</w:t>
        </w:r>
      </w:hyperlink>
      <w:r>
        <w:t>. The DOE, OMB, and/or the Federal Council for Environmental Quality (CEQ) may issue additional and subsequent guidance regarding the designation of DACs and recognized benefits under the Justice40 Initiative.</w:t>
      </w:r>
    </w:p>
    <w:p w14:paraId="3BD7259C" w14:textId="77777777" w:rsidR="00FF4EAA" w:rsidRDefault="00FF4EAA" w:rsidP="00FF4EAA">
      <w:pPr>
        <w:pStyle w:val="FootnoteText"/>
      </w:pPr>
    </w:p>
  </w:footnote>
  <w:footnote w:id="20">
    <w:p w14:paraId="4903D442" w14:textId="77777777" w:rsidR="00C00F47" w:rsidRDefault="00C00F47" w:rsidP="00C00F47">
      <w:pPr>
        <w:pStyle w:val="FootnoteText"/>
      </w:pPr>
      <w:r>
        <w:rPr>
          <w:rStyle w:val="FootnoteReference"/>
        </w:rPr>
        <w:footnoteRef/>
      </w:r>
      <w:r>
        <w:t xml:space="preserve"> </w:t>
      </w:r>
      <w:r w:rsidRPr="008A2AE4">
        <w:t>NESCOE</w:t>
      </w:r>
      <w:r>
        <w:t>. August 2016. “</w:t>
      </w:r>
      <w:r w:rsidRPr="005E291D">
        <w:t>Electricity Ancillary Services Primer</w:t>
      </w:r>
      <w:r>
        <w:t xml:space="preserve">.” </w:t>
      </w:r>
      <w:hyperlink r:id="rId11" w:history="1">
        <w:r w:rsidRPr="008C4E7E">
          <w:rPr>
            <w:rStyle w:val="Hyperlink"/>
          </w:rPr>
          <w:t>https://nescoe.com/resource-center/ancillary-services-primer-sep2017/</w:t>
        </w:r>
      </w:hyperlink>
      <w:r>
        <w:t xml:space="preserve"> </w:t>
      </w:r>
    </w:p>
  </w:footnote>
  <w:footnote w:id="21">
    <w:p w14:paraId="32F2B681" w14:textId="77777777" w:rsidR="00C00F47" w:rsidRDefault="00C00F47" w:rsidP="00C00F47">
      <w:pPr>
        <w:pStyle w:val="FootnoteText"/>
      </w:pPr>
      <w:r>
        <w:rPr>
          <w:rStyle w:val="FootnoteReference"/>
        </w:rPr>
        <w:footnoteRef/>
      </w:r>
      <w:r>
        <w:t xml:space="preserve"> NREL. May 2011. “</w:t>
      </w:r>
      <w:r w:rsidRPr="005E291D">
        <w:t>Electric Market and Utility Operation Terminology</w:t>
      </w:r>
      <w:r>
        <w:t xml:space="preserve">.” </w:t>
      </w:r>
      <w:hyperlink r:id="rId12" w:history="1">
        <w:r w:rsidRPr="008C4E7E">
          <w:rPr>
            <w:rStyle w:val="Hyperlink"/>
          </w:rPr>
          <w:t>https://www.ferc.gov/sites/default/files/2020-05/rm95-8-00w.txt</w:t>
        </w:r>
      </w:hyperlink>
      <w:r>
        <w:t xml:space="preserve"> </w:t>
      </w:r>
    </w:p>
  </w:footnote>
  <w:footnote w:id="22">
    <w:p w14:paraId="24503421" w14:textId="77777777" w:rsidR="00C00F47" w:rsidRPr="003E18BA" w:rsidRDefault="00C00F47" w:rsidP="00C00F47">
      <w:pPr>
        <w:pStyle w:val="FootnoteText"/>
      </w:pPr>
      <w:r w:rsidRPr="00E03FE6">
        <w:rPr>
          <w:rStyle w:val="FootnoteReference"/>
          <w:rFonts w:eastAsiaTheme="minorEastAsia" w:cstheme="minorHAnsi"/>
        </w:rPr>
        <w:footnoteRef/>
      </w:r>
      <w:r w:rsidRPr="00E03FE6">
        <w:rPr>
          <w:rStyle w:val="FootnoteReference"/>
          <w:rFonts w:eastAsiaTheme="minorEastAsia" w:cstheme="minorHAnsi"/>
        </w:rPr>
        <w:t xml:space="preserve"> </w:t>
      </w:r>
      <w:r w:rsidRPr="00E81B21">
        <w:rPr>
          <w:rStyle w:val="FootnoteReference"/>
          <w:vertAlign w:val="baseline"/>
        </w:rPr>
        <w:t xml:space="preserve">FERC. April 1996. </w:t>
      </w:r>
      <w:r w:rsidRPr="003E18BA">
        <w:rPr>
          <w:rStyle w:val="FootnoteReference"/>
        </w:rPr>
        <w:t>“</w:t>
      </w:r>
      <w:r w:rsidRPr="005E291D">
        <w:t>ORDER NO. 888: FINAL RULE</w:t>
      </w:r>
      <w:r>
        <w:rPr>
          <w:rStyle w:val="Hyperlink"/>
        </w:rPr>
        <w:t>.</w:t>
      </w:r>
      <w:r w:rsidRPr="003E18BA">
        <w:rPr>
          <w:rStyle w:val="FootnoteReference"/>
        </w:rPr>
        <w:t>”</w:t>
      </w:r>
      <w:r>
        <w:rPr>
          <w:rStyle w:val="FootnoteReference"/>
        </w:rPr>
        <w:t xml:space="preserve"> </w:t>
      </w:r>
      <w:hyperlink r:id="rId13" w:history="1">
        <w:r w:rsidRPr="008C4E7E">
          <w:rPr>
            <w:rStyle w:val="Hyperlink"/>
          </w:rPr>
          <w:t>https://www.ferc.gov/sites/default/files/2020-05/rm95-8-00w.txt</w:t>
        </w:r>
      </w:hyperlink>
      <w:r>
        <w:t xml:space="preserve"> </w:t>
      </w:r>
    </w:p>
  </w:footnote>
  <w:footnote w:id="23">
    <w:p w14:paraId="33EC917B" w14:textId="77777777" w:rsidR="00C00F47" w:rsidRDefault="00C00F47" w:rsidP="00C00F47">
      <w:pPr>
        <w:pStyle w:val="FootnoteText"/>
      </w:pPr>
      <w:r>
        <w:rPr>
          <w:rStyle w:val="FootnoteReference"/>
        </w:rPr>
        <w:footnoteRef/>
      </w:r>
      <w:r>
        <w:t xml:space="preserve"> K. Cleary &amp; K. Palmer. March 2020. “</w:t>
      </w:r>
      <w:r w:rsidRPr="005E291D">
        <w:t>US Electricity Markets 101</w:t>
      </w:r>
      <w:r>
        <w:t xml:space="preserve">.” </w:t>
      </w:r>
      <w:hyperlink r:id="rId14" w:history="1">
        <w:r w:rsidRPr="008C4E7E">
          <w:rPr>
            <w:rStyle w:val="Hyperlink"/>
          </w:rPr>
          <w:t>https://www.rff.org/publications/explainers/us-electricity-markets-101/</w:t>
        </w:r>
      </w:hyperlink>
      <w:r>
        <w:t xml:space="preserve"> </w:t>
      </w:r>
    </w:p>
  </w:footnote>
  <w:footnote w:id="24">
    <w:p w14:paraId="1595FE11" w14:textId="77777777" w:rsidR="00C00F47" w:rsidRDefault="00C00F47" w:rsidP="00C00F47">
      <w:pPr>
        <w:pStyle w:val="FootnoteText"/>
      </w:pPr>
      <w:r>
        <w:rPr>
          <w:rStyle w:val="FootnoteReference"/>
        </w:rPr>
        <w:footnoteRef/>
      </w:r>
      <w:r>
        <w:t xml:space="preserve"> </w:t>
      </w:r>
      <w:r>
        <w:rPr>
          <w:rFonts w:cstheme="minorHAnsi"/>
        </w:rPr>
        <w:t>Purdue. “</w:t>
      </w:r>
      <w:r w:rsidRPr="005E291D">
        <w:rPr>
          <w:rFonts w:cstheme="minorHAnsi"/>
        </w:rPr>
        <w:t>Electric Utilities, Deregulation and Restructuring of U.S. and Restructuring of U.S. Electricity Markets</w:t>
      </w:r>
      <w:r>
        <w:rPr>
          <w:rFonts w:cstheme="minorHAnsi"/>
        </w:rPr>
        <w:t xml:space="preserve">.” </w:t>
      </w:r>
      <w:hyperlink r:id="rId15" w:history="1">
        <w:r w:rsidRPr="008C4E7E">
          <w:rPr>
            <w:rStyle w:val="Hyperlink"/>
            <w:rFonts w:cstheme="minorHAnsi"/>
          </w:rPr>
          <w:t>https://www.purdue.edu/discoverypark/energy/assets/pdfs/History.pdf</w:t>
        </w:r>
      </w:hyperlink>
      <w:r>
        <w:rPr>
          <w:rFonts w:cstheme="minorHAnsi"/>
        </w:rPr>
        <w:t xml:space="preserve"> </w:t>
      </w:r>
    </w:p>
  </w:footnote>
  <w:footnote w:id="25">
    <w:p w14:paraId="3640989C" w14:textId="77777777" w:rsidR="00C00F47" w:rsidRDefault="00C00F47" w:rsidP="00C00F47">
      <w:pPr>
        <w:pStyle w:val="FootnoteText"/>
      </w:pPr>
      <w:r>
        <w:rPr>
          <w:rStyle w:val="FootnoteReference"/>
        </w:rPr>
        <w:footnoteRef/>
      </w:r>
      <w:r>
        <w:t xml:space="preserve"> NREL. Y. Sun et al. May 2021. “</w:t>
      </w:r>
      <w:r w:rsidRPr="005E291D">
        <w:t>Research Priorities and Opportunities in United States Competitive Wholesale Electricity Markets</w:t>
      </w:r>
      <w:r>
        <w:t xml:space="preserve">.” </w:t>
      </w:r>
      <w:hyperlink r:id="rId16" w:history="1">
        <w:r w:rsidRPr="008C4E7E">
          <w:rPr>
            <w:rStyle w:val="Hyperlink"/>
          </w:rPr>
          <w:t>https://www.nrel.gov/docs/fy21osti/77521.pdf</w:t>
        </w:r>
      </w:hyperlink>
      <w:r>
        <w:t xml:space="preserve"> </w:t>
      </w:r>
    </w:p>
  </w:footnote>
  <w:footnote w:id="26">
    <w:p w14:paraId="672B689E" w14:textId="77777777" w:rsidR="00C00F47" w:rsidRDefault="00C00F47" w:rsidP="00C00F47">
      <w:pPr>
        <w:pStyle w:val="FootnoteText"/>
      </w:pPr>
      <w:r>
        <w:rPr>
          <w:rStyle w:val="FootnoteReference"/>
        </w:rPr>
        <w:footnoteRef/>
      </w:r>
      <w:r>
        <w:t xml:space="preserve"> DOE, EAC. October 2019. “</w:t>
      </w:r>
      <w:r w:rsidRPr="005E291D">
        <w:t>Optimizing Reserves</w:t>
      </w:r>
      <w:r>
        <w:t xml:space="preserve">.” </w:t>
      </w:r>
      <w:hyperlink r:id="rId17" w:history="1">
        <w:r w:rsidRPr="008C4E7E">
          <w:rPr>
            <w:rStyle w:val="Hyperlink"/>
          </w:rPr>
          <w:t>https://www.energy.gov/sites/default/files/2019/10/f68/EAC_Optimizing%20Reserves%20%28October%202019%29.pdf</w:t>
        </w:r>
      </w:hyperlink>
      <w:r>
        <w:t xml:space="preserve"> </w:t>
      </w:r>
    </w:p>
  </w:footnote>
  <w:footnote w:id="27">
    <w:p w14:paraId="07596E56" w14:textId="77777777" w:rsidR="00C00F47" w:rsidRDefault="00C00F47" w:rsidP="00C00F47">
      <w:pPr>
        <w:pStyle w:val="FootnoteText"/>
      </w:pPr>
      <w:r>
        <w:rPr>
          <w:rStyle w:val="FootnoteReference"/>
        </w:rPr>
        <w:footnoteRef/>
      </w:r>
      <w:r>
        <w:t xml:space="preserve"> NERC. December 2016. “</w:t>
      </w:r>
      <w:hyperlink r:id="rId18" w:history="1">
        <w:r w:rsidRPr="00DC4ED9">
          <w:rPr>
            <w:rStyle w:val="Hyperlink"/>
          </w:rPr>
          <w:t>Essential Reliability Services</w:t>
        </w:r>
      </w:hyperlink>
      <w:r>
        <w:t xml:space="preserve">.” </w:t>
      </w:r>
    </w:p>
  </w:footnote>
  <w:footnote w:id="28">
    <w:p w14:paraId="0CEA932A" w14:textId="77777777" w:rsidR="00C00F47" w:rsidRPr="00E03FE6" w:rsidRDefault="00C00F47" w:rsidP="00C00F47">
      <w:pPr>
        <w:pStyle w:val="FootnoteText"/>
        <w:contextualSpacing/>
        <w:rPr>
          <w:rFonts w:cstheme="minorHAnsi"/>
        </w:rPr>
      </w:pPr>
      <w:r w:rsidRPr="00E03FE6">
        <w:rPr>
          <w:rStyle w:val="FootnoteReference"/>
          <w:rFonts w:cstheme="minorHAnsi"/>
        </w:rPr>
        <w:footnoteRef/>
      </w:r>
      <w:r w:rsidRPr="00E03FE6">
        <w:rPr>
          <w:rFonts w:cstheme="minorHAnsi"/>
        </w:rPr>
        <w:t xml:space="preserve"> </w:t>
      </w:r>
      <w:r>
        <w:rPr>
          <w:rFonts w:cstheme="minorHAnsi"/>
        </w:rPr>
        <w:t>PNNL. N. Samaan et al. June 2017. “</w:t>
      </w:r>
      <w:hyperlink r:id="rId19" w:history="1">
        <w:r w:rsidRPr="007A3EBD">
          <w:rPr>
            <w:rStyle w:val="Hyperlink"/>
            <w:rFonts w:cstheme="minorHAnsi"/>
          </w:rPr>
          <w:t xml:space="preserve">Grid Services </w:t>
        </w:r>
        <w:r w:rsidRPr="00D12CB1">
          <w:rPr>
            <w:rStyle w:val="Hyperlink"/>
          </w:rPr>
          <w:t>Master</w:t>
        </w:r>
        <w:r w:rsidRPr="007A3EBD">
          <w:rPr>
            <w:rStyle w:val="Hyperlink"/>
            <w:rFonts w:cstheme="minorHAnsi"/>
          </w:rPr>
          <w:t xml:space="preserve"> List</w:t>
        </w:r>
      </w:hyperlink>
      <w:r>
        <w:rPr>
          <w:rFonts w:cstheme="minorHAnsi"/>
        </w:rPr>
        <w:t xml:space="preserve">.” </w:t>
      </w:r>
    </w:p>
  </w:footnote>
  <w:footnote w:id="29">
    <w:p w14:paraId="3DF3CE06" w14:textId="77777777" w:rsidR="00F76881" w:rsidRPr="00E81B21" w:rsidRDefault="00F76881" w:rsidP="00F76881">
      <w:pPr>
        <w:pStyle w:val="Heading2"/>
        <w:rPr>
          <w:rFonts w:asciiTheme="minorHAnsi" w:eastAsiaTheme="minorEastAsia" w:hAnsiTheme="minorHAnsi" w:cstheme="minorHAnsi"/>
          <w:b w:val="0"/>
          <w:bCs w:val="0"/>
          <w:sz w:val="20"/>
          <w:szCs w:val="20"/>
        </w:rPr>
      </w:pPr>
      <w:r w:rsidRPr="009F53BA">
        <w:rPr>
          <w:rStyle w:val="FootnoteReference"/>
          <w:rFonts w:asciiTheme="minorHAnsi" w:hAnsiTheme="minorHAnsi" w:cstheme="minorHAnsi"/>
          <w:b w:val="0"/>
          <w:bCs w:val="0"/>
          <w:color w:val="auto"/>
          <w:sz w:val="20"/>
          <w:szCs w:val="20"/>
        </w:rPr>
        <w:footnoteRef/>
      </w:r>
      <w:r w:rsidRPr="00E81B21">
        <w:rPr>
          <w:rFonts w:asciiTheme="minorHAnsi" w:eastAsiaTheme="minorEastAsia" w:hAnsiTheme="minorHAnsi" w:cstheme="minorHAnsi"/>
          <w:b w:val="0"/>
          <w:color w:val="auto"/>
          <w:sz w:val="20"/>
          <w:szCs w:val="20"/>
        </w:rPr>
        <w:t xml:space="preserve"> EPRI. July 2021</w:t>
      </w:r>
      <w:r w:rsidRPr="00A65BAD">
        <w:rPr>
          <w:rFonts w:asciiTheme="minorHAnsi" w:eastAsiaTheme="minorEastAsia" w:hAnsiTheme="minorHAnsi" w:cstheme="minorHAnsi"/>
          <w:b w:val="0"/>
          <w:color w:val="auto"/>
          <w:sz w:val="20"/>
          <w:szCs w:val="20"/>
        </w:rPr>
        <w:t>. “Grid Services in the Distribution and Bulk Power Systems:</w:t>
      </w:r>
      <w:r>
        <w:rPr>
          <w:rFonts w:asciiTheme="minorHAnsi" w:eastAsiaTheme="minorEastAsia" w:hAnsiTheme="minorHAnsi" w:cstheme="minorHAnsi"/>
          <w:b w:val="0"/>
          <w:color w:val="auto"/>
          <w:sz w:val="20"/>
          <w:szCs w:val="20"/>
        </w:rPr>
        <w:t xml:space="preserve"> </w:t>
      </w:r>
      <w:r w:rsidRPr="00A65BAD">
        <w:rPr>
          <w:rFonts w:asciiTheme="minorHAnsi" w:eastAsiaTheme="minorEastAsia" w:hAnsiTheme="minorHAnsi" w:cstheme="minorHAnsi"/>
          <w:b w:val="0"/>
          <w:color w:val="auto"/>
          <w:sz w:val="20"/>
          <w:szCs w:val="20"/>
        </w:rPr>
        <w:t>A Guideline for Contemporary and Evolving Service Opportunities for Distributed Energy Resources</w:t>
      </w:r>
      <w:r>
        <w:rPr>
          <w:rFonts w:asciiTheme="minorHAnsi" w:eastAsiaTheme="minorEastAsia" w:hAnsiTheme="minorHAnsi" w:cstheme="minorHAnsi"/>
          <w:b w:val="0"/>
          <w:color w:val="auto"/>
          <w:sz w:val="20"/>
          <w:szCs w:val="20"/>
        </w:rPr>
        <w:t>.</w:t>
      </w:r>
      <w:r w:rsidRPr="00A65BAD">
        <w:rPr>
          <w:rFonts w:asciiTheme="minorHAnsi" w:eastAsiaTheme="minorEastAsia" w:hAnsiTheme="minorHAnsi" w:cstheme="minorHAnsi"/>
          <w:b w:val="0"/>
          <w:color w:val="auto"/>
          <w:sz w:val="20"/>
          <w:szCs w:val="20"/>
        </w:rPr>
        <w:t>”</w:t>
      </w:r>
      <w:r>
        <w:rPr>
          <w:rFonts w:asciiTheme="minorHAnsi" w:eastAsiaTheme="minorEastAsia" w:hAnsiTheme="minorHAnsi" w:cstheme="minorHAnsi"/>
          <w:b w:val="0"/>
          <w:color w:val="auto"/>
          <w:sz w:val="20"/>
          <w:szCs w:val="20"/>
        </w:rPr>
        <w:t xml:space="preserve"> </w:t>
      </w:r>
      <w:r w:rsidRPr="00A65BAD">
        <w:rPr>
          <w:rFonts w:asciiTheme="minorHAnsi" w:eastAsiaTheme="minorEastAsia" w:hAnsiTheme="minorHAnsi" w:cstheme="minorHAnsi"/>
          <w:b w:val="0"/>
          <w:color w:val="auto"/>
          <w:sz w:val="20"/>
          <w:szCs w:val="20"/>
        </w:rPr>
        <w:t xml:space="preserve"> </w:t>
      </w:r>
      <w:hyperlink r:id="rId20" w:history="1">
        <w:r w:rsidRPr="008C4E7E">
          <w:rPr>
            <w:rStyle w:val="Hyperlink"/>
            <w:rFonts w:asciiTheme="minorHAnsi" w:eastAsiaTheme="minorEastAsia" w:hAnsiTheme="minorHAnsi" w:cstheme="minorHAnsi"/>
            <w:b w:val="0"/>
            <w:sz w:val="20"/>
            <w:szCs w:val="20"/>
          </w:rPr>
          <w:t>https://www.epri.com/research/products/000000003002022405</w:t>
        </w:r>
      </w:hyperlink>
      <w:r w:rsidRPr="00E81B21">
        <w:rPr>
          <w:rFonts w:asciiTheme="minorHAnsi" w:eastAsiaTheme="minorEastAsia" w:hAnsiTheme="minorHAnsi" w:cstheme="minorHAnsi"/>
          <w:b w:val="0"/>
          <w:color w:val="auto"/>
          <w:sz w:val="20"/>
          <w:szCs w:val="20"/>
        </w:rPr>
        <w:t xml:space="preserve"> </w:t>
      </w:r>
    </w:p>
  </w:footnote>
  <w:footnote w:id="30">
    <w:p w14:paraId="4D3380BD" w14:textId="77777777" w:rsidR="00F76881" w:rsidRPr="00E81B21" w:rsidRDefault="00F76881" w:rsidP="00F76881">
      <w:pPr>
        <w:pStyle w:val="FootnoteText"/>
        <w:rPr>
          <w:rFonts w:cstheme="minorHAnsi"/>
        </w:rPr>
      </w:pPr>
      <w:r w:rsidRPr="00E81B21">
        <w:rPr>
          <w:rStyle w:val="FootnoteReference"/>
          <w:rFonts w:cstheme="minorHAnsi"/>
        </w:rPr>
        <w:footnoteRef/>
      </w:r>
      <w:r w:rsidRPr="00E81B21">
        <w:rPr>
          <w:rFonts w:cstheme="minorHAnsi"/>
        </w:rPr>
        <w:t xml:space="preserve"> C. S. et al. September 2020. “</w:t>
      </w:r>
      <w:r w:rsidRPr="00A65BAD">
        <w:rPr>
          <w:rFonts w:cstheme="minorHAnsi"/>
        </w:rPr>
        <w:t>Ancillary Services Offered by Distributed Renewable Energy Sources</w:t>
      </w:r>
      <w:r>
        <w:rPr>
          <w:rFonts w:cstheme="minorHAnsi"/>
        </w:rPr>
        <w:t xml:space="preserve"> </w:t>
      </w:r>
      <w:r w:rsidRPr="00A65BAD">
        <w:rPr>
          <w:rFonts w:cstheme="minorHAnsi"/>
        </w:rPr>
        <w:t>at the Distribution Grid Level: An Attempt at Proper Definition and Quantification</w:t>
      </w:r>
      <w:r>
        <w:rPr>
          <w:rFonts w:cstheme="minorHAnsi"/>
        </w:rPr>
        <w:t>.</w:t>
      </w:r>
      <w:r w:rsidRPr="00E81B21">
        <w:rPr>
          <w:rFonts w:cstheme="minorHAnsi"/>
        </w:rPr>
        <w:t>”</w:t>
      </w:r>
      <w:r>
        <w:rPr>
          <w:rFonts w:cstheme="minorHAnsi"/>
        </w:rPr>
        <w:t xml:space="preserve"> </w:t>
      </w:r>
      <w:hyperlink r:id="rId21" w:history="1">
        <w:r w:rsidRPr="008C4E7E">
          <w:rPr>
            <w:rStyle w:val="Hyperlink"/>
            <w:rFonts w:cstheme="minorHAnsi"/>
          </w:rPr>
          <w:t>https://www.mdpi.com/2076-3417/10/20/7106</w:t>
        </w:r>
      </w:hyperlink>
      <w:r>
        <w:rPr>
          <w:rFonts w:cstheme="minorHAnsi"/>
        </w:rPr>
        <w:t xml:space="preserve"> </w:t>
      </w:r>
      <w:r w:rsidRPr="00E81B21">
        <w:rPr>
          <w:rFonts w:cstheme="minorHAnsi"/>
        </w:rPr>
        <w:t xml:space="preserve"> </w:t>
      </w:r>
    </w:p>
  </w:footnote>
  <w:footnote w:id="31">
    <w:p w14:paraId="4BDEB437" w14:textId="77777777" w:rsidR="00F76881" w:rsidRPr="00E81B21" w:rsidRDefault="00F76881" w:rsidP="00F76881">
      <w:pPr>
        <w:pStyle w:val="FootnoteText"/>
        <w:rPr>
          <w:rFonts w:cstheme="minorHAnsi"/>
        </w:rPr>
      </w:pPr>
      <w:r w:rsidRPr="00E81B21">
        <w:rPr>
          <w:rStyle w:val="FootnoteReference"/>
          <w:rFonts w:cstheme="minorHAnsi"/>
        </w:rPr>
        <w:footnoteRef/>
      </w:r>
      <w:r w:rsidRPr="00E81B21">
        <w:rPr>
          <w:rFonts w:cstheme="minorHAnsi"/>
        </w:rPr>
        <w:t xml:space="preserve"> LBNL. F. Kahrl et al. October 2021. “</w:t>
      </w:r>
      <w:r w:rsidRPr="00A65BAD">
        <w:rPr>
          <w:rFonts w:cstheme="minorHAnsi"/>
        </w:rPr>
        <w:t>Variable Renewable Energy Participation in U.S. Ancillary Services Markets: Economic Evaluation and Key Issues</w:t>
      </w:r>
      <w:r>
        <w:rPr>
          <w:rFonts w:cstheme="minorHAnsi"/>
        </w:rPr>
        <w:t>.</w:t>
      </w:r>
      <w:r w:rsidRPr="00E81B21">
        <w:rPr>
          <w:rFonts w:cstheme="minorHAnsi"/>
        </w:rPr>
        <w:t>”</w:t>
      </w:r>
      <w:r>
        <w:rPr>
          <w:rFonts w:cstheme="minorHAnsi"/>
        </w:rPr>
        <w:t xml:space="preserve"> </w:t>
      </w:r>
      <w:r w:rsidRPr="00E81B21">
        <w:rPr>
          <w:rFonts w:cstheme="minorHAnsi"/>
        </w:rPr>
        <w:t xml:space="preserve"> </w:t>
      </w:r>
      <w:hyperlink r:id="rId22" w:history="1">
        <w:r w:rsidRPr="008C4E7E">
          <w:rPr>
            <w:rStyle w:val="Hyperlink"/>
            <w:rFonts w:cstheme="minorHAnsi"/>
          </w:rPr>
          <w:t>https://emp.lbl.gov/publications/variable-renewable-energy</w:t>
        </w:r>
      </w:hyperlink>
      <w:r w:rsidRPr="00E81B21">
        <w:rPr>
          <w:rFonts w:cstheme="minorHAnsi"/>
        </w:rPr>
        <w:t xml:space="preserve">  </w:t>
      </w:r>
    </w:p>
  </w:footnote>
  <w:footnote w:id="32">
    <w:p w14:paraId="39B48EDA" w14:textId="77777777" w:rsidR="00F76881" w:rsidRPr="00E81B21" w:rsidRDefault="00F76881" w:rsidP="00F76881">
      <w:pPr>
        <w:rPr>
          <w:rFonts w:cstheme="minorHAnsi"/>
          <w:sz w:val="20"/>
        </w:rPr>
      </w:pPr>
      <w:r w:rsidRPr="00E81B21">
        <w:rPr>
          <w:rStyle w:val="FootnoteReference"/>
          <w:rFonts w:cstheme="minorHAnsi"/>
          <w:sz w:val="20"/>
        </w:rPr>
        <w:footnoteRef/>
      </w:r>
      <w:r w:rsidRPr="00E81B21">
        <w:rPr>
          <w:rFonts w:cstheme="minorHAnsi"/>
          <w:sz w:val="20"/>
        </w:rPr>
        <w:t xml:space="preserve"> NREL. E. Ela et al. August 2011. “</w:t>
      </w:r>
      <w:r w:rsidRPr="00A65BAD">
        <w:rPr>
          <w:rFonts w:cstheme="minorHAnsi"/>
          <w:sz w:val="20"/>
        </w:rPr>
        <w:t>Operating Reserves and Variable Generation</w:t>
      </w:r>
      <w:r w:rsidRPr="00E81B21">
        <w:rPr>
          <w:rFonts w:cstheme="minorHAnsi"/>
          <w:sz w:val="20"/>
        </w:rPr>
        <w:t xml:space="preserve">.” </w:t>
      </w:r>
      <w:hyperlink r:id="rId23" w:history="1">
        <w:r w:rsidRPr="00E81B21">
          <w:rPr>
            <w:rStyle w:val="Hyperlink"/>
            <w:rFonts w:cstheme="minorHAnsi"/>
            <w:sz w:val="20"/>
          </w:rPr>
          <w:t>Operating Reserves and Variable Generation</w:t>
        </w:r>
      </w:hyperlink>
      <w:r>
        <w:rPr>
          <w:rStyle w:val="Hyperlink"/>
          <w:rFonts w:cstheme="minorHAnsi"/>
          <w:sz w:val="20"/>
        </w:rPr>
        <w:t xml:space="preserve"> </w:t>
      </w:r>
    </w:p>
  </w:footnote>
  <w:footnote w:id="33">
    <w:p w14:paraId="5ED9181C" w14:textId="77777777" w:rsidR="00F76881" w:rsidRPr="00E81B21" w:rsidRDefault="00F76881" w:rsidP="00F76881">
      <w:pPr>
        <w:pStyle w:val="FootnoteText"/>
        <w:rPr>
          <w:rFonts w:cstheme="minorHAnsi"/>
        </w:rPr>
      </w:pPr>
      <w:r w:rsidRPr="00E81B21">
        <w:rPr>
          <w:rStyle w:val="FootnoteReference"/>
          <w:rFonts w:cstheme="minorHAnsi"/>
        </w:rPr>
        <w:footnoteRef/>
      </w:r>
      <w:r w:rsidRPr="00E81B21">
        <w:rPr>
          <w:rFonts w:cstheme="minorHAnsi"/>
        </w:rPr>
        <w:t xml:space="preserve"> LBNL. A. D. Mills et al. February 2021. “</w:t>
      </w:r>
      <w:r w:rsidRPr="00A65BAD">
        <w:rPr>
          <w:rFonts w:cstheme="minorHAnsi"/>
        </w:rPr>
        <w:t>Solar-to-Grid: Trends in System Impacts, Reliability, and Market Value</w:t>
      </w:r>
      <w:r>
        <w:rPr>
          <w:rFonts w:cstheme="minorHAnsi"/>
        </w:rPr>
        <w:t xml:space="preserve"> </w:t>
      </w:r>
      <w:r w:rsidRPr="00A65BAD">
        <w:rPr>
          <w:rFonts w:cstheme="minorHAnsi"/>
        </w:rPr>
        <w:t>in the United States with Data Through 2019</w:t>
      </w:r>
      <w:r>
        <w:rPr>
          <w:rFonts w:cstheme="minorHAnsi"/>
        </w:rPr>
        <w:t>.</w:t>
      </w:r>
      <w:r w:rsidRPr="00E81B21">
        <w:rPr>
          <w:rFonts w:cstheme="minorHAnsi"/>
        </w:rPr>
        <w:t>”</w:t>
      </w:r>
      <w:r>
        <w:rPr>
          <w:rFonts w:cstheme="minorHAnsi"/>
        </w:rPr>
        <w:t xml:space="preserve"> </w:t>
      </w:r>
      <w:r w:rsidRPr="00E81B21">
        <w:rPr>
          <w:rFonts w:cstheme="minorHAnsi"/>
        </w:rPr>
        <w:t xml:space="preserve"> </w:t>
      </w:r>
      <w:hyperlink r:id="rId24" w:history="1">
        <w:r w:rsidRPr="008C4E7E">
          <w:rPr>
            <w:rStyle w:val="Hyperlink"/>
            <w:rFonts w:cstheme="minorHAnsi"/>
          </w:rPr>
          <w:t>https://emp.lbl.gov/publications/solar-grid-trends-system-impacts</w:t>
        </w:r>
      </w:hyperlink>
      <w:r w:rsidRPr="00E81B21">
        <w:rPr>
          <w:rFonts w:cstheme="minorHAnsi"/>
        </w:rPr>
        <w:t xml:space="preserve"> </w:t>
      </w:r>
    </w:p>
  </w:footnote>
  <w:footnote w:id="34">
    <w:p w14:paraId="10C8338B" w14:textId="77777777" w:rsidR="00F76881" w:rsidRPr="00E81B21" w:rsidRDefault="00F76881" w:rsidP="00F76881">
      <w:pPr>
        <w:rPr>
          <w:rFonts w:cstheme="minorHAnsi"/>
          <w:sz w:val="20"/>
        </w:rPr>
      </w:pPr>
      <w:r w:rsidRPr="00E81B21">
        <w:rPr>
          <w:rStyle w:val="FootnoteReference"/>
          <w:rFonts w:cstheme="minorHAnsi"/>
          <w:sz w:val="20"/>
        </w:rPr>
        <w:footnoteRef/>
      </w:r>
      <w:r w:rsidRPr="00E81B21">
        <w:rPr>
          <w:rFonts w:eastAsiaTheme="majorEastAsia" w:cstheme="minorHAnsi"/>
          <w:sz w:val="20"/>
        </w:rPr>
        <w:t xml:space="preserve"> Hawaiian Electric. December 2020. “</w:t>
      </w:r>
      <w:r w:rsidRPr="00C9044D">
        <w:rPr>
          <w:rFonts w:eastAsiaTheme="majorEastAsia" w:cstheme="minorHAnsi"/>
          <w:sz w:val="20"/>
        </w:rPr>
        <w:t>Power Facts</w:t>
      </w:r>
      <w:r w:rsidRPr="00E81B21">
        <w:rPr>
          <w:rFonts w:eastAsiaTheme="majorEastAsia" w:cstheme="minorHAnsi"/>
          <w:sz w:val="20"/>
        </w:rPr>
        <w:t xml:space="preserve">.” </w:t>
      </w:r>
      <w:hyperlink r:id="rId25" w:history="1">
        <w:r w:rsidRPr="008C4E7E">
          <w:rPr>
            <w:rStyle w:val="Hyperlink"/>
            <w:rFonts w:eastAsiaTheme="majorEastAsia" w:cstheme="minorHAnsi"/>
            <w:sz w:val="20"/>
          </w:rPr>
          <w:t>https://www.hawaiianelectric.com/documents/about_us/company_facts/power_facts.pdf</w:t>
        </w:r>
      </w:hyperlink>
      <w:r w:rsidRPr="00E81B21">
        <w:rPr>
          <w:rFonts w:eastAsiaTheme="majorEastAsia" w:cstheme="minorHAnsi"/>
          <w:sz w:val="20"/>
        </w:rPr>
        <w:t xml:space="preserve"> </w:t>
      </w:r>
    </w:p>
  </w:footnote>
  <w:footnote w:id="35">
    <w:p w14:paraId="6B6E1962" w14:textId="77777777" w:rsidR="00F76881" w:rsidRPr="00E81B21" w:rsidRDefault="00F76881" w:rsidP="00F76881">
      <w:pPr>
        <w:pStyle w:val="FootnoteText"/>
        <w:rPr>
          <w:rFonts w:cstheme="minorHAnsi"/>
        </w:rPr>
      </w:pPr>
      <w:r w:rsidRPr="00E81B21">
        <w:rPr>
          <w:rStyle w:val="FootnoteReference"/>
          <w:rFonts w:cstheme="minorHAnsi"/>
        </w:rPr>
        <w:footnoteRef/>
      </w:r>
      <w:r w:rsidRPr="00E81B21">
        <w:rPr>
          <w:rFonts w:cstheme="minorHAnsi"/>
        </w:rPr>
        <w:t xml:space="preserve"> EIRGRID Group. November 2021. “</w:t>
      </w:r>
      <w:r w:rsidRPr="00C9044D">
        <w:rPr>
          <w:rFonts w:cstheme="minorHAnsi"/>
        </w:rPr>
        <w:t xml:space="preserve">Renewable </w:t>
      </w:r>
      <w:r>
        <w:rPr>
          <w:rFonts w:cstheme="minorHAnsi"/>
        </w:rPr>
        <w:t>Energy</w:t>
      </w:r>
      <w:r w:rsidRPr="00E81B21">
        <w:rPr>
          <w:rFonts w:cstheme="minorHAnsi"/>
        </w:rPr>
        <w:t xml:space="preserve">.” </w:t>
      </w:r>
      <w:hyperlink r:id="rId26" w:history="1">
        <w:r w:rsidRPr="008C4E7E">
          <w:rPr>
            <w:rStyle w:val="Hyperlink"/>
            <w:rFonts w:cstheme="minorHAnsi"/>
          </w:rPr>
          <w:t>http://www.eirgridgroup.com/how-the-grid-works/renewables/</w:t>
        </w:r>
      </w:hyperlink>
      <w:r w:rsidRPr="00E81B21">
        <w:rPr>
          <w:rFonts w:cstheme="minorHAnsi"/>
        </w:rPr>
        <w:t xml:space="preserve"> </w:t>
      </w:r>
    </w:p>
  </w:footnote>
  <w:footnote w:id="36">
    <w:p w14:paraId="79D0C626" w14:textId="77777777" w:rsidR="00F76881" w:rsidRPr="00E81B21" w:rsidRDefault="00F76881" w:rsidP="00F76881">
      <w:pPr>
        <w:pStyle w:val="FootnoteText"/>
        <w:rPr>
          <w:rFonts w:cstheme="minorHAnsi"/>
        </w:rPr>
      </w:pPr>
      <w:r w:rsidRPr="00E81B21">
        <w:rPr>
          <w:rStyle w:val="FootnoteReference"/>
          <w:rFonts w:cstheme="minorHAnsi"/>
        </w:rPr>
        <w:footnoteRef/>
      </w:r>
      <w:r w:rsidRPr="00E81B21">
        <w:rPr>
          <w:rStyle w:val="FootnoteReference"/>
          <w:rFonts w:cstheme="minorHAnsi"/>
        </w:rPr>
        <w:t xml:space="preserve"> </w:t>
      </w:r>
      <w:r w:rsidRPr="00E81B21">
        <w:rPr>
          <w:rFonts w:cstheme="minorHAnsi"/>
        </w:rPr>
        <w:t xml:space="preserve">CAISO. November 2021. “ </w:t>
      </w:r>
      <w:r w:rsidRPr="00C9044D">
        <w:rPr>
          <w:rFonts w:cstheme="minorHAnsi"/>
        </w:rPr>
        <w:t>Renewables and Emission Reports</w:t>
      </w:r>
      <w:r w:rsidRPr="00E81B21">
        <w:rPr>
          <w:rFonts w:cstheme="minorHAnsi"/>
        </w:rPr>
        <w:t xml:space="preserve">.” </w:t>
      </w:r>
      <w:hyperlink r:id="rId27" w:history="1">
        <w:r w:rsidRPr="008C4E7E">
          <w:rPr>
            <w:rStyle w:val="Hyperlink"/>
            <w:rFonts w:cstheme="minorHAnsi"/>
          </w:rPr>
          <w:t>http://www.caiso.com/market/Pages/ReportsBulletins/RenewablesReporting.aspx</w:t>
        </w:r>
      </w:hyperlink>
      <w:r w:rsidRPr="00E81B21">
        <w:rPr>
          <w:rFonts w:cstheme="minorHAnsi"/>
        </w:rPr>
        <w:t xml:space="preserve"> </w:t>
      </w:r>
    </w:p>
  </w:footnote>
  <w:footnote w:id="37">
    <w:p w14:paraId="594EA241" w14:textId="77777777" w:rsidR="00F76881" w:rsidRPr="00E81B21" w:rsidRDefault="00F76881" w:rsidP="00F76881">
      <w:pPr>
        <w:pStyle w:val="FootnoteText"/>
        <w:rPr>
          <w:rFonts w:cstheme="minorHAnsi"/>
        </w:rPr>
      </w:pPr>
      <w:r w:rsidRPr="00E81B21">
        <w:rPr>
          <w:rStyle w:val="FootnoteReference"/>
          <w:rFonts w:cstheme="minorHAnsi"/>
        </w:rPr>
        <w:footnoteRef/>
      </w:r>
      <w:r w:rsidRPr="00E81B21">
        <w:rPr>
          <w:rStyle w:val="FootnoteReference"/>
          <w:rFonts w:cstheme="minorHAnsi"/>
        </w:rPr>
        <w:t xml:space="preserve"> </w:t>
      </w:r>
      <w:hyperlink r:id="rId28">
        <w:r w:rsidRPr="00E81B21">
          <w:rPr>
            <w:rFonts w:cstheme="minorHAnsi"/>
          </w:rPr>
          <w:t xml:space="preserve">Southwest Power Pool. 2019.  </w:t>
        </w:r>
      </w:hyperlink>
      <w:r w:rsidRPr="00E81B21">
        <w:rPr>
          <w:rFonts w:cstheme="minorHAnsi"/>
        </w:rPr>
        <w:t>“</w:t>
      </w:r>
      <w:r w:rsidRPr="00921ADB">
        <w:rPr>
          <w:rFonts w:cstheme="minorHAnsi"/>
        </w:rPr>
        <w:t>2019 Annual Report. Integration.</w:t>
      </w:r>
      <w:r w:rsidRPr="00E81B21">
        <w:rPr>
          <w:rFonts w:cstheme="minorHAnsi"/>
        </w:rPr>
        <w:t>”</w:t>
      </w:r>
      <w:r w:rsidRPr="00C9044D">
        <w:t xml:space="preserve"> </w:t>
      </w:r>
      <w:hyperlink r:id="rId29" w:history="1">
        <w:r w:rsidRPr="008C4E7E">
          <w:rPr>
            <w:rStyle w:val="Hyperlink"/>
            <w:rFonts w:cstheme="minorHAnsi"/>
          </w:rPr>
          <w:t>https://www.spp.org/documents/62057/2019%20annual%20report%2020200428%20web.pdf</w:t>
        </w:r>
      </w:hyperlink>
      <w:r>
        <w:rPr>
          <w:rFonts w:cstheme="minorHAnsi"/>
        </w:rPr>
        <w:t xml:space="preserve"> </w:t>
      </w:r>
    </w:p>
  </w:footnote>
  <w:footnote w:id="38">
    <w:p w14:paraId="38B37A98" w14:textId="77777777" w:rsidR="00F76881" w:rsidRPr="00CF382E" w:rsidRDefault="00F76881" w:rsidP="00F76881">
      <w:pPr>
        <w:pStyle w:val="FootnoteText"/>
        <w:rPr>
          <w:rFonts w:cstheme="minorHAnsi"/>
        </w:rPr>
      </w:pPr>
      <w:r w:rsidRPr="00E81B21">
        <w:rPr>
          <w:rStyle w:val="FootnoteReference"/>
          <w:rFonts w:cstheme="minorHAnsi"/>
        </w:rPr>
        <w:footnoteRef/>
      </w:r>
      <w:r w:rsidRPr="00E81B21">
        <w:rPr>
          <w:rFonts w:cstheme="minorHAnsi"/>
        </w:rPr>
        <w:t xml:space="preserve"> ERCOT. December 2021. “</w:t>
      </w:r>
      <w:r w:rsidRPr="00921ADB">
        <w:rPr>
          <w:rFonts w:cstheme="minorHAnsi"/>
        </w:rPr>
        <w:t>Combined Wind and Solar</w:t>
      </w:r>
      <w:r w:rsidRPr="00E81B21">
        <w:rPr>
          <w:rFonts w:cstheme="minorHAnsi"/>
        </w:rPr>
        <w:t>.”</w:t>
      </w:r>
      <w:r>
        <w:rPr>
          <w:rFonts w:cstheme="minorHAnsi"/>
        </w:rPr>
        <w:t xml:space="preserve"> </w:t>
      </w:r>
      <w:hyperlink r:id="rId30" w:history="1">
        <w:r w:rsidRPr="008C4E7E">
          <w:rPr>
            <w:rStyle w:val="Hyperlink"/>
            <w:rFonts w:cstheme="minorHAnsi"/>
          </w:rPr>
          <w:t>https://www.ercot.com/gridmktinfo/dashboards/combinedwindandsolar</w:t>
        </w:r>
      </w:hyperlink>
      <w:r>
        <w:rPr>
          <w:rFonts w:cstheme="minorHAnsi"/>
        </w:rPr>
        <w:t xml:space="preserve"> </w:t>
      </w:r>
    </w:p>
  </w:footnote>
  <w:footnote w:id="39">
    <w:p w14:paraId="5872F109" w14:textId="77777777" w:rsidR="00F76881" w:rsidRPr="00E81B21" w:rsidRDefault="00F76881" w:rsidP="00F76881">
      <w:pPr>
        <w:pStyle w:val="FootnoteText"/>
      </w:pPr>
      <w:r w:rsidRPr="00E81B21">
        <w:rPr>
          <w:rStyle w:val="FootnoteReference"/>
        </w:rPr>
        <w:footnoteRef/>
      </w:r>
      <w:r w:rsidRPr="00E81B21">
        <w:t xml:space="preserve"> FERC. February 2018. “</w:t>
      </w:r>
      <w:r w:rsidRPr="0011779B">
        <w:t xml:space="preserve">Order No. 842 Essential Reliability Services and the Evolving Bulk-Power </w:t>
      </w:r>
      <w:r>
        <w:t xml:space="preserve"> System—Primary Frequency Response.</w:t>
      </w:r>
      <w:r w:rsidRPr="00E81B21">
        <w:t>”</w:t>
      </w:r>
      <w:r>
        <w:t xml:space="preserve"> </w:t>
      </w:r>
      <w:hyperlink r:id="rId31" w:history="1">
        <w:r w:rsidRPr="008C4E7E">
          <w:rPr>
            <w:rStyle w:val="Hyperlink"/>
          </w:rPr>
          <w:t>https://www.ferc.gov/sites/default/files/2020-06/Order-842.pdf</w:t>
        </w:r>
      </w:hyperlink>
      <w:r>
        <w:t xml:space="preserve"> </w:t>
      </w:r>
    </w:p>
  </w:footnote>
  <w:footnote w:id="40">
    <w:p w14:paraId="4C95BB9D" w14:textId="77777777" w:rsidR="00F76881" w:rsidRPr="00E81B21" w:rsidRDefault="00F76881" w:rsidP="00F76881">
      <w:pPr>
        <w:rPr>
          <w:rFonts w:eastAsiaTheme="minorEastAsia" w:cstheme="minorHAnsi"/>
          <w:sz w:val="20"/>
        </w:rPr>
      </w:pPr>
      <w:r w:rsidRPr="00E81B21">
        <w:rPr>
          <w:rStyle w:val="FootnoteReference"/>
          <w:rFonts w:eastAsiaTheme="minorEastAsia"/>
          <w:sz w:val="20"/>
        </w:rPr>
        <w:footnoteRef/>
      </w:r>
      <w:r w:rsidRPr="00E81B21">
        <w:rPr>
          <w:rStyle w:val="FootnoteReference"/>
          <w:rFonts w:eastAsiaTheme="minorEastAsia"/>
          <w:sz w:val="20"/>
        </w:rPr>
        <w:t xml:space="preserve"> </w:t>
      </w:r>
      <w:r w:rsidRPr="00E81B21">
        <w:rPr>
          <w:rFonts w:eastAsiaTheme="minorEastAsia" w:cstheme="minorHAnsi"/>
          <w:sz w:val="20"/>
        </w:rPr>
        <w:t>NREL. C. Loutan et al. March 2017. “</w:t>
      </w:r>
      <w:r w:rsidRPr="0011779B">
        <w:rPr>
          <w:rFonts w:eastAsiaTheme="minorEastAsia" w:cstheme="minorHAnsi"/>
          <w:sz w:val="20"/>
        </w:rPr>
        <w:t>Demonstration of Essential Reliability Services by a 300-MW Solar Photovoltaic Power Plant</w:t>
      </w:r>
      <w:r>
        <w:rPr>
          <w:rFonts w:eastAsiaTheme="minorEastAsia" w:cstheme="minorHAnsi"/>
          <w:sz w:val="20"/>
        </w:rPr>
        <w:t>.</w:t>
      </w:r>
      <w:r w:rsidRPr="00E81B21">
        <w:rPr>
          <w:rFonts w:eastAsiaTheme="minorEastAsia" w:cstheme="minorHAnsi"/>
          <w:sz w:val="20"/>
        </w:rPr>
        <w:t>”</w:t>
      </w:r>
      <w:r>
        <w:rPr>
          <w:rFonts w:eastAsiaTheme="minorEastAsia" w:cstheme="minorHAnsi"/>
          <w:sz w:val="20"/>
        </w:rPr>
        <w:t xml:space="preserve">  </w:t>
      </w:r>
      <w:hyperlink r:id="rId32" w:history="1">
        <w:r w:rsidRPr="008C4E7E">
          <w:rPr>
            <w:rStyle w:val="Hyperlink"/>
            <w:rFonts w:eastAsiaTheme="minorEastAsia" w:cstheme="minorHAnsi"/>
            <w:sz w:val="20"/>
          </w:rPr>
          <w:t>https://www.nrel.gov/docs/fy17osti/67799.pdf</w:t>
        </w:r>
      </w:hyperlink>
      <w:r>
        <w:rPr>
          <w:rFonts w:eastAsiaTheme="minorEastAsia" w:cstheme="minorHAnsi"/>
          <w:sz w:val="20"/>
        </w:rPr>
        <w:t xml:space="preserve"> </w:t>
      </w:r>
    </w:p>
  </w:footnote>
  <w:footnote w:id="41">
    <w:p w14:paraId="274B4B9B" w14:textId="77777777" w:rsidR="00F76881" w:rsidRPr="00E81B21" w:rsidRDefault="00F76881" w:rsidP="00F76881">
      <w:pPr>
        <w:rPr>
          <w:rFonts w:eastAsiaTheme="minorEastAsia" w:cstheme="minorHAnsi"/>
          <w:i/>
          <w:sz w:val="20"/>
        </w:rPr>
      </w:pPr>
      <w:r w:rsidRPr="00E81B21">
        <w:rPr>
          <w:rStyle w:val="FootnoteReference"/>
          <w:rFonts w:eastAsiaTheme="minorEastAsia"/>
          <w:sz w:val="20"/>
        </w:rPr>
        <w:footnoteRef/>
      </w:r>
      <w:r w:rsidRPr="00E81B21">
        <w:rPr>
          <w:rFonts w:eastAsiaTheme="minorEastAsia" w:cstheme="minorHAnsi"/>
          <w:sz w:val="20"/>
        </w:rPr>
        <w:t xml:space="preserve"> CASIO. C. Loutan et al. “</w:t>
      </w:r>
      <w:r w:rsidRPr="0011779B">
        <w:rPr>
          <w:rFonts w:eastAsiaTheme="minorEastAsia" w:cstheme="minorHAnsi"/>
          <w:sz w:val="20"/>
        </w:rPr>
        <w:t>Demonstration of Capability to Provide Essential Grid Services</w:t>
      </w:r>
      <w:r w:rsidRPr="00E81B21">
        <w:rPr>
          <w:rFonts w:eastAsiaTheme="minorEastAsia" w:cstheme="minorHAnsi"/>
          <w:sz w:val="20"/>
        </w:rPr>
        <w:t>.”</w:t>
      </w:r>
      <w:r>
        <w:rPr>
          <w:rFonts w:eastAsiaTheme="minorEastAsia" w:cstheme="minorHAnsi"/>
          <w:sz w:val="20"/>
        </w:rPr>
        <w:t xml:space="preserve"> </w:t>
      </w:r>
      <w:hyperlink r:id="rId33" w:history="1">
        <w:r w:rsidRPr="008C4E7E">
          <w:rPr>
            <w:rStyle w:val="Hyperlink"/>
            <w:rFonts w:eastAsiaTheme="minorEastAsia" w:cstheme="minorHAnsi"/>
            <w:sz w:val="20"/>
          </w:rPr>
          <w:t>https://www.caiso.com/Documents/WindPowerPlantTestResults.pdf</w:t>
        </w:r>
      </w:hyperlink>
      <w:r>
        <w:rPr>
          <w:rFonts w:eastAsiaTheme="minorEastAsia" w:cstheme="minorHAnsi"/>
          <w:sz w:val="20"/>
        </w:rPr>
        <w:t xml:space="preserve"> </w:t>
      </w:r>
    </w:p>
  </w:footnote>
  <w:footnote w:id="42">
    <w:p w14:paraId="5F2A228E" w14:textId="77777777" w:rsidR="00F76881" w:rsidRPr="00F035BC" w:rsidRDefault="00F76881" w:rsidP="00F76881">
      <w:pPr>
        <w:rPr>
          <w:rFonts w:eastAsiaTheme="minorEastAsia" w:cstheme="minorHAnsi"/>
          <w:sz w:val="20"/>
        </w:rPr>
      </w:pPr>
      <w:r w:rsidRPr="00E81B21">
        <w:rPr>
          <w:rStyle w:val="FootnoteReference"/>
          <w:rFonts w:eastAsiaTheme="minorEastAsia"/>
          <w:sz w:val="20"/>
        </w:rPr>
        <w:footnoteRef/>
      </w:r>
      <w:r w:rsidRPr="00E81B21">
        <w:rPr>
          <w:rFonts w:eastAsiaTheme="minorEastAsia" w:cstheme="minorHAnsi"/>
          <w:sz w:val="20"/>
        </w:rPr>
        <w:t xml:space="preserve"> CAISO. June 2019. “</w:t>
      </w:r>
      <w:r w:rsidRPr="0011779B">
        <w:rPr>
          <w:rFonts w:eastAsiaTheme="minorEastAsia" w:cstheme="minorHAnsi"/>
          <w:sz w:val="20"/>
        </w:rPr>
        <w:t>2019 Annual Report on Market Issues and Performance</w:t>
      </w:r>
      <w:r w:rsidRPr="00E81B21">
        <w:rPr>
          <w:rFonts w:eastAsiaTheme="minorEastAsia" w:cstheme="minorHAnsi"/>
          <w:sz w:val="20"/>
        </w:rPr>
        <w:t>.”</w:t>
      </w:r>
      <w:r>
        <w:rPr>
          <w:rFonts w:eastAsiaTheme="minorEastAsia" w:cstheme="minorHAnsi"/>
          <w:sz w:val="20"/>
        </w:rPr>
        <w:t xml:space="preserve"> </w:t>
      </w:r>
      <w:hyperlink r:id="rId34" w:history="1">
        <w:r w:rsidRPr="008C4E7E">
          <w:rPr>
            <w:rStyle w:val="Hyperlink"/>
            <w:rFonts w:eastAsiaTheme="minorEastAsia" w:cstheme="minorHAnsi"/>
            <w:sz w:val="20"/>
          </w:rPr>
          <w:t>http://www.caiso.com/Documents/2019AnnualReportonMarketIssuesandPerformance.pdf</w:t>
        </w:r>
      </w:hyperlink>
      <w:r>
        <w:rPr>
          <w:rFonts w:eastAsiaTheme="minorEastAsia" w:cstheme="minorHAnsi"/>
          <w:sz w:val="20"/>
        </w:rPr>
        <w:t xml:space="preserve"> </w:t>
      </w:r>
    </w:p>
  </w:footnote>
  <w:footnote w:id="43">
    <w:p w14:paraId="6E7C7E45" w14:textId="77777777" w:rsidR="00F76881" w:rsidRPr="00E81B21" w:rsidRDefault="00F76881" w:rsidP="00F76881">
      <w:pPr>
        <w:rPr>
          <w:rFonts w:eastAsiaTheme="minorEastAsia" w:cstheme="minorHAnsi"/>
          <w:sz w:val="20"/>
        </w:rPr>
      </w:pPr>
      <w:r w:rsidRPr="00E81B21">
        <w:rPr>
          <w:rStyle w:val="FootnoteReference"/>
          <w:rFonts w:eastAsiaTheme="minorEastAsia"/>
          <w:sz w:val="20"/>
        </w:rPr>
        <w:footnoteRef/>
      </w:r>
      <w:r w:rsidRPr="00E81B21">
        <w:rPr>
          <w:rStyle w:val="FootnoteReference"/>
          <w:rFonts w:eastAsiaTheme="minorEastAsia"/>
          <w:sz w:val="20"/>
        </w:rPr>
        <w:t xml:space="preserve"> </w:t>
      </w:r>
      <w:r w:rsidRPr="00E81B21">
        <w:rPr>
          <w:rFonts w:eastAsiaTheme="minorEastAsia" w:cstheme="minorHAnsi"/>
          <w:sz w:val="20"/>
        </w:rPr>
        <w:t>DOE. “</w:t>
      </w:r>
      <w:r w:rsidRPr="0011779B">
        <w:rPr>
          <w:rFonts w:eastAsiaTheme="minorEastAsia" w:cstheme="minorHAnsi"/>
          <w:sz w:val="20"/>
        </w:rPr>
        <w:t>Solar Integration: Inverter and Grid Services Basics</w:t>
      </w:r>
      <w:r w:rsidRPr="00E81B21">
        <w:rPr>
          <w:rFonts w:eastAsiaTheme="minorEastAsia" w:cstheme="minorHAnsi"/>
          <w:sz w:val="20"/>
        </w:rPr>
        <w:t>.”</w:t>
      </w:r>
      <w:r>
        <w:rPr>
          <w:rFonts w:eastAsiaTheme="minorEastAsia" w:cstheme="minorHAnsi"/>
          <w:sz w:val="20"/>
        </w:rPr>
        <w:t xml:space="preserve"> </w:t>
      </w:r>
      <w:hyperlink r:id="rId35" w:history="1">
        <w:r w:rsidRPr="008C4E7E">
          <w:rPr>
            <w:rStyle w:val="Hyperlink"/>
            <w:rFonts w:eastAsiaTheme="minorEastAsia" w:cstheme="minorHAnsi"/>
            <w:sz w:val="20"/>
          </w:rPr>
          <w:t>https://www.energy.gov/eere/solar/solar-integration-inverters-and-grid-services-basics</w:t>
        </w:r>
      </w:hyperlink>
      <w:r>
        <w:rPr>
          <w:rFonts w:eastAsiaTheme="minorEastAsia" w:cstheme="minorHAnsi"/>
          <w:sz w:val="20"/>
        </w:rPr>
        <w:t xml:space="preserve"> </w:t>
      </w:r>
    </w:p>
  </w:footnote>
  <w:footnote w:id="44">
    <w:p w14:paraId="3905115B" w14:textId="77777777" w:rsidR="00F76881" w:rsidRPr="00E81B21" w:rsidRDefault="00F76881" w:rsidP="00F76881">
      <w:pPr>
        <w:rPr>
          <w:sz w:val="20"/>
        </w:rPr>
      </w:pPr>
      <w:r w:rsidRPr="00E81B21">
        <w:rPr>
          <w:rStyle w:val="FootnoteReference"/>
          <w:rFonts w:eastAsiaTheme="minorEastAsia"/>
          <w:sz w:val="20"/>
        </w:rPr>
        <w:footnoteRef/>
      </w:r>
      <w:r w:rsidRPr="00E81B21">
        <w:rPr>
          <w:rStyle w:val="FootnoteReference"/>
          <w:rFonts w:eastAsiaTheme="minorEastAsia"/>
          <w:sz w:val="20"/>
        </w:rPr>
        <w:t xml:space="preserve"> </w:t>
      </w:r>
      <w:r w:rsidRPr="00E81B21">
        <w:rPr>
          <w:rFonts w:eastAsiaTheme="minorEastAsia" w:cstheme="minorHAnsi"/>
          <w:sz w:val="20"/>
        </w:rPr>
        <w:t xml:space="preserve">NERC. </w:t>
      </w:r>
      <w:r w:rsidRPr="00922A1E">
        <w:rPr>
          <w:rFonts w:eastAsiaTheme="minorEastAsia" w:cstheme="minorHAnsi"/>
          <w:sz w:val="20"/>
        </w:rPr>
        <w:t>March 2021. “Reliability Guideline: Performance, Modeling, and Simulations of BPS-Connected Battery Energy Storage Systems and</w:t>
      </w:r>
      <w:r>
        <w:rPr>
          <w:rFonts w:eastAsiaTheme="minorEastAsia" w:cstheme="minorHAnsi"/>
          <w:sz w:val="20"/>
        </w:rPr>
        <w:t xml:space="preserve"> </w:t>
      </w:r>
      <w:r w:rsidRPr="00922A1E">
        <w:rPr>
          <w:rFonts w:eastAsiaTheme="minorEastAsia" w:cstheme="minorHAnsi"/>
          <w:sz w:val="20"/>
        </w:rPr>
        <w:t>Hybrid Power Plants</w:t>
      </w:r>
      <w:r>
        <w:rPr>
          <w:rFonts w:eastAsiaTheme="minorEastAsia" w:cstheme="minorHAnsi"/>
          <w:sz w:val="20"/>
        </w:rPr>
        <w:t>.</w:t>
      </w:r>
      <w:r w:rsidRPr="00E81B21">
        <w:rPr>
          <w:rFonts w:eastAsiaTheme="minorEastAsia" w:cstheme="minorHAnsi"/>
          <w:sz w:val="20"/>
        </w:rPr>
        <w:t>”</w:t>
      </w:r>
      <w:r>
        <w:rPr>
          <w:rFonts w:eastAsiaTheme="minorEastAsia" w:cstheme="minorHAnsi"/>
          <w:sz w:val="20"/>
        </w:rPr>
        <w:t xml:space="preserve"> </w:t>
      </w:r>
      <w:hyperlink r:id="rId36" w:anchor="search=BESS" w:history="1">
        <w:r w:rsidRPr="008C4E7E">
          <w:rPr>
            <w:rStyle w:val="Hyperlink"/>
            <w:rFonts w:eastAsiaTheme="minorEastAsia" w:cstheme="minorHAnsi"/>
            <w:sz w:val="20"/>
          </w:rPr>
          <w:t>https://www.nerc.com/comm/RSTC_Reliability_Guidelines/Reliability_Guideline_BESS_Hybrid_Performance_Modeling_Studies_.pdf#search=BESS</w:t>
        </w:r>
      </w:hyperlink>
      <w:r>
        <w:rPr>
          <w:rFonts w:eastAsiaTheme="minorEastAsia" w:cstheme="minorHAnsi"/>
          <w:sz w:val="20"/>
        </w:rPr>
        <w:t xml:space="preserve">  </w:t>
      </w:r>
    </w:p>
  </w:footnote>
  <w:footnote w:id="45">
    <w:p w14:paraId="1618FE45" w14:textId="77777777" w:rsidR="00F76881" w:rsidRPr="00E81B21" w:rsidRDefault="00F76881" w:rsidP="00F76881">
      <w:pPr>
        <w:rPr>
          <w:sz w:val="20"/>
        </w:rPr>
      </w:pPr>
      <w:r w:rsidRPr="00E81B21">
        <w:rPr>
          <w:rStyle w:val="FootnoteReference"/>
          <w:sz w:val="20"/>
        </w:rPr>
        <w:footnoteRef/>
      </w:r>
      <w:r w:rsidRPr="00E81B21">
        <w:rPr>
          <w:sz w:val="20"/>
        </w:rPr>
        <w:t xml:space="preserve"> </w:t>
      </w:r>
      <w:r w:rsidRPr="00E81B21">
        <w:rPr>
          <w:rStyle w:val="FootnoteTextChar"/>
          <w:sz w:val="20"/>
        </w:rPr>
        <w:t>Washington Post. July 2020. “</w:t>
      </w:r>
      <w:r w:rsidRPr="00922A1E">
        <w:rPr>
          <w:sz w:val="20"/>
        </w:rPr>
        <w:t>Biden calls for 100 percent clean electricity by 2035.</w:t>
      </w:r>
      <w:r>
        <w:rPr>
          <w:sz w:val="20"/>
        </w:rPr>
        <w:t xml:space="preserve"> </w:t>
      </w:r>
      <w:r w:rsidRPr="00922A1E">
        <w:rPr>
          <w:sz w:val="20"/>
        </w:rPr>
        <w:t>Here’s how far we have to go.</w:t>
      </w:r>
      <w:r w:rsidRPr="00E81B21">
        <w:rPr>
          <w:rStyle w:val="FootnoteTextChar"/>
          <w:sz w:val="20"/>
        </w:rPr>
        <w:t>“</w:t>
      </w:r>
      <w:r>
        <w:rPr>
          <w:rStyle w:val="FootnoteTextChar"/>
          <w:sz w:val="20"/>
        </w:rPr>
        <w:t xml:space="preserve"> </w:t>
      </w:r>
      <w:hyperlink r:id="rId37" w:history="1">
        <w:r w:rsidRPr="008C4E7E">
          <w:rPr>
            <w:rStyle w:val="Hyperlink"/>
            <w:rFonts w:eastAsiaTheme="minorHAnsi" w:cstheme="minorBidi"/>
            <w:sz w:val="20"/>
          </w:rPr>
          <w:t>https://www.washingtonpost.com/climate-environment/2020/07/30/biden-calls-100-percent-clean-electricity-by-2035-heres-how-far-we-have-go/</w:t>
        </w:r>
      </w:hyperlink>
      <w:r>
        <w:rPr>
          <w:rStyle w:val="FootnoteTextChar"/>
          <w:sz w:val="20"/>
        </w:rPr>
        <w:t xml:space="preserve"> </w:t>
      </w:r>
    </w:p>
  </w:footnote>
  <w:footnote w:id="46">
    <w:p w14:paraId="57DF5902" w14:textId="77777777" w:rsidR="00F76881" w:rsidRDefault="00F76881" w:rsidP="00F76881">
      <w:pPr>
        <w:pStyle w:val="FootnoteText"/>
      </w:pPr>
      <w:r w:rsidRPr="00E81B21">
        <w:rPr>
          <w:rStyle w:val="FootnoteReference"/>
        </w:rPr>
        <w:footnoteRef/>
      </w:r>
      <w:r w:rsidRPr="00E81B21">
        <w:t xml:space="preserve"> Energysage. May 2020. “</w:t>
      </w:r>
      <w:r w:rsidRPr="00922A1E">
        <w:t>100 percent renewable targets.</w:t>
      </w:r>
      <w:r w:rsidRPr="00E81B21">
        <w:t>”</w:t>
      </w:r>
      <w:r>
        <w:t xml:space="preserve"> </w:t>
      </w:r>
      <w:hyperlink r:id="rId38" w:history="1">
        <w:r w:rsidRPr="008C4E7E">
          <w:rPr>
            <w:rStyle w:val="Hyperlink"/>
          </w:rPr>
          <w:t>https://news.energysage.com/states-with-100-renewable-targets/</w:t>
        </w:r>
      </w:hyperlink>
      <w:r>
        <w:t xml:space="preserve"> </w:t>
      </w:r>
    </w:p>
  </w:footnote>
  <w:footnote w:id="47">
    <w:p w14:paraId="3ECE986E" w14:textId="77777777" w:rsidR="00AC4277" w:rsidRDefault="00AC4277" w:rsidP="00AC4277">
      <w:pPr>
        <w:pStyle w:val="FootnoteText"/>
      </w:pPr>
      <w:r>
        <w:rPr>
          <w:rStyle w:val="FootnoteReference"/>
        </w:rPr>
        <w:footnoteRef/>
      </w:r>
      <w:r>
        <w:t xml:space="preserve"> NERC. 1200 MW Fault Induced Solar Photovoltaic Resource Interruption Disturbance Report. June, 2017. </w:t>
      </w:r>
      <w:hyperlink r:id="rId39" w:history="1">
        <w:r w:rsidRPr="00836FB9">
          <w:rPr>
            <w:rStyle w:val="Hyperlink"/>
          </w:rPr>
          <w:t>https://www.nerc.com/pa/rrm/ea/1200_MW_Fault_Induced_Solar_Photovoltaic_Resource_/1200_MW_Fault_Induced_Solar_Photovoltaic_Resource_Interruption_Final.pdf</w:t>
        </w:r>
      </w:hyperlink>
    </w:p>
  </w:footnote>
  <w:footnote w:id="48">
    <w:p w14:paraId="16BA905A" w14:textId="77777777" w:rsidR="00AC4277" w:rsidRDefault="00AC4277" w:rsidP="00AC4277">
      <w:pPr>
        <w:pStyle w:val="FootnoteText"/>
      </w:pPr>
      <w:r>
        <w:rPr>
          <w:rStyle w:val="FootnoteReference"/>
        </w:rPr>
        <w:footnoteRef/>
      </w:r>
      <w:bookmarkStart w:id="41" w:name="_Hlk92978572"/>
      <w:r>
        <w:t xml:space="preserve"> NERC. April and May 2018 Fault Induced Solar Photovoltaic Resource Interruption Disturbances Report. January, 2019. </w:t>
      </w:r>
      <w:bookmarkEnd w:id="41"/>
      <w:r w:rsidR="007D5EB5">
        <w:fldChar w:fldCharType="begin"/>
      </w:r>
      <w:r w:rsidR="007D5EB5">
        <w:instrText>HYPERLINK "https://www.nerc.com/pa/rrm/ea/April_May_2018_Fault_Induced_Solar_PV_Resource_Int/April_May_2018_Solar_PV_Disturbance_Report.pdf"</w:instrText>
      </w:r>
      <w:r w:rsidR="007D5EB5">
        <w:fldChar w:fldCharType="separate"/>
      </w:r>
      <w:r w:rsidRPr="00836FB9">
        <w:rPr>
          <w:rStyle w:val="Hyperlink"/>
        </w:rPr>
        <w:t>https://www.nerc.com/pa/rrm/ea/April_May_2018_Fault_Induced_Solar_PV_Resource_Int/April_May_2018_Solar_PV_Disturbance_Report.pdf</w:t>
      </w:r>
      <w:r w:rsidR="007D5EB5">
        <w:rPr>
          <w:rStyle w:val="Hyperlink"/>
        </w:rPr>
        <w:fldChar w:fldCharType="end"/>
      </w:r>
    </w:p>
  </w:footnote>
  <w:footnote w:id="49">
    <w:p w14:paraId="0E407EC0" w14:textId="77777777" w:rsidR="00AC4277" w:rsidRDefault="00AC4277" w:rsidP="00AC4277">
      <w:pPr>
        <w:pStyle w:val="FootnoteText"/>
      </w:pPr>
      <w:r>
        <w:rPr>
          <w:rStyle w:val="FootnoteReference"/>
        </w:rPr>
        <w:footnoteRef/>
      </w:r>
      <w:r>
        <w:t xml:space="preserve"> IEEE. IEEE 1547-2018 - Standard for Interconnection and Interoperability of Distributed Energy Resources with Associated Electric Power Systems Interfaces. April, 2018. </w:t>
      </w:r>
      <w:hyperlink r:id="rId40" w:history="1">
        <w:r w:rsidRPr="00836FB9">
          <w:rPr>
            <w:rStyle w:val="Hyperlink"/>
          </w:rPr>
          <w:t>https://standards.ieee.org/standard/1547-2018.html</w:t>
        </w:r>
      </w:hyperlink>
    </w:p>
  </w:footnote>
  <w:footnote w:id="50">
    <w:p w14:paraId="5B4B4C1D" w14:textId="5F3F3E1B" w:rsidR="00AC4277" w:rsidRDefault="00AC4277" w:rsidP="00AC4277">
      <w:pPr>
        <w:pStyle w:val="FootnoteText"/>
      </w:pPr>
      <w:r>
        <w:rPr>
          <w:rStyle w:val="FootnoteReference"/>
        </w:rPr>
        <w:footnoteRef/>
      </w:r>
      <w:r>
        <w:t xml:space="preserve"> IEEE. IEEE 2800</w:t>
      </w:r>
      <w:r w:rsidR="00DA2CB1">
        <w:t>-2022</w:t>
      </w:r>
      <w:r>
        <w:t xml:space="preserve"> – IEEE Standard for Interconnection and Interoperability of Inverter-Based Resources (IBR) Interconnecting with Associated Transmission Electric Power Systems. </w:t>
      </w:r>
      <w:r w:rsidR="00DA2CB1">
        <w:t>April</w:t>
      </w:r>
      <w:r>
        <w:t>, 202</w:t>
      </w:r>
      <w:r w:rsidR="00DA2CB1">
        <w:t>2</w:t>
      </w:r>
      <w:r>
        <w:t xml:space="preserve">. </w:t>
      </w:r>
      <w:hyperlink r:id="rId41" w:history="1">
        <w:r w:rsidRPr="00836FB9">
          <w:rPr>
            <w:rStyle w:val="Hyperlink"/>
          </w:rPr>
          <w:t>https://standards.ieee.org/project/2800.html</w:t>
        </w:r>
      </w:hyperlink>
    </w:p>
  </w:footnote>
  <w:footnote w:id="51">
    <w:p w14:paraId="3F429273" w14:textId="77777777" w:rsidR="00AC4277" w:rsidRDefault="00AC4277" w:rsidP="00AC4277">
      <w:pPr>
        <w:pStyle w:val="FootnoteText"/>
      </w:pPr>
      <w:r>
        <w:rPr>
          <w:rStyle w:val="FootnoteReference"/>
        </w:rPr>
        <w:footnoteRef/>
      </w:r>
      <w:r>
        <w:t xml:space="preserve"> NERC. San Fernando Disturbance. November, 2020. </w:t>
      </w:r>
      <w:hyperlink r:id="rId42" w:history="1">
        <w:r w:rsidRPr="00836FB9">
          <w:rPr>
            <w:rStyle w:val="Hyperlink"/>
          </w:rPr>
          <w:t>https://www.nerc.com/pa/rrm/ea/Documents/San_Fernando_Disturbance_Report.pdf</w:t>
        </w:r>
      </w:hyperlink>
    </w:p>
  </w:footnote>
  <w:footnote w:id="52">
    <w:p w14:paraId="77F92396" w14:textId="77777777" w:rsidR="00AC4277" w:rsidRDefault="00AC4277" w:rsidP="00AC4277">
      <w:pPr>
        <w:pStyle w:val="FootnoteText"/>
      </w:pPr>
      <w:r>
        <w:rPr>
          <w:rStyle w:val="FootnoteReference"/>
        </w:rPr>
        <w:footnoteRef/>
      </w:r>
      <w:r>
        <w:t xml:space="preserve"> NERC. Odessa Disturbance. September, 2021. </w:t>
      </w:r>
      <w:hyperlink r:id="rId43" w:history="1">
        <w:r w:rsidRPr="00836FB9">
          <w:rPr>
            <w:rStyle w:val="Hyperlink"/>
          </w:rPr>
          <w:t>https://www.nerc.com/pa/rrm/ea/Documents/Odessa_Disturbance_Report.pdf</w:t>
        </w:r>
      </w:hyperlink>
    </w:p>
  </w:footnote>
  <w:footnote w:id="53">
    <w:p w14:paraId="071CCD5C" w14:textId="77777777" w:rsidR="00AC4277" w:rsidRDefault="00AC4277" w:rsidP="00AC4277">
      <w:pPr>
        <w:pStyle w:val="FootnoteText"/>
      </w:pPr>
      <w:r>
        <w:rPr>
          <w:rStyle w:val="FootnoteReference"/>
        </w:rPr>
        <w:footnoteRef/>
      </w:r>
      <w:r>
        <w:t xml:space="preserve"> AEMC. Mechanisms to Enhance Resilience in the Power System – Review of the South Australian Black System Event. December, 2019. </w:t>
      </w:r>
      <w:hyperlink r:id="rId44" w:history="1">
        <w:r w:rsidRPr="00836FB9">
          <w:rPr>
            <w:rStyle w:val="Hyperlink"/>
          </w:rPr>
          <w:t>https://www.aemc.gov.au/sites/default/files/documents/aemc_-_sa_black_system_review_-_final_report.pdf</w:t>
        </w:r>
      </w:hyperlink>
    </w:p>
  </w:footnote>
  <w:footnote w:id="54">
    <w:p w14:paraId="76FEF465" w14:textId="77777777" w:rsidR="00AC4277" w:rsidRDefault="00AC4277" w:rsidP="00AC4277">
      <w:pPr>
        <w:pStyle w:val="FootnoteText"/>
      </w:pPr>
      <w:r>
        <w:rPr>
          <w:rStyle w:val="FootnoteReference"/>
        </w:rPr>
        <w:footnoteRef/>
      </w:r>
      <w:r>
        <w:t xml:space="preserve"> OFGEM. 9 August 2019 Power Outage Report. January, 2020. </w:t>
      </w:r>
      <w:hyperlink r:id="rId45" w:history="1">
        <w:r w:rsidRPr="00836FB9">
          <w:rPr>
            <w:rStyle w:val="Hyperlink"/>
          </w:rPr>
          <w:t>https://www.ofgem.gov.uk/sites/default/files/docs/2020/01/9_august_2019_power_outage_report.pdf</w:t>
        </w:r>
      </w:hyperlink>
    </w:p>
  </w:footnote>
  <w:footnote w:id="55">
    <w:p w14:paraId="2DF2CCD1" w14:textId="77777777" w:rsidR="00AC4277" w:rsidRDefault="00AC4277" w:rsidP="00AC4277">
      <w:pPr>
        <w:pStyle w:val="FootnoteText"/>
      </w:pPr>
      <w:r>
        <w:rPr>
          <w:rStyle w:val="FootnoteReference"/>
        </w:rPr>
        <w:footnoteRef/>
      </w:r>
      <w:r>
        <w:t xml:space="preserve"> </w:t>
      </w:r>
      <w:hyperlink r:id="rId46" w:history="1">
        <w:r>
          <w:rPr>
            <w:rStyle w:val="Hyperlink"/>
          </w:rPr>
          <w:t>https://insideclimatenews.org/news/02022022/pjm-solar-backlog-eastern-power-grid/</w:t>
        </w:r>
      </w:hyperlink>
    </w:p>
  </w:footnote>
  <w:footnote w:id="56">
    <w:p w14:paraId="56A826CC" w14:textId="77777777" w:rsidR="00AC4277" w:rsidRDefault="00AC4277" w:rsidP="00AC4277">
      <w:pPr>
        <w:pStyle w:val="FootnoteText"/>
      </w:pPr>
      <w:r>
        <w:rPr>
          <w:rStyle w:val="FootnoteReference"/>
        </w:rPr>
        <w:footnoteRef/>
      </w:r>
      <w:r>
        <w:t xml:space="preserve"> NREL, J. Keller, B. Kroposki, “Understanding Fault Characteristics of Inverter-Based Distributed Energy Resources,” January, 2010. </w:t>
      </w:r>
      <w:r w:rsidRPr="00805B2F">
        <w:t>https://www.nrel.gov/docs/fy10osti/46698.pdf</w:t>
      </w:r>
    </w:p>
  </w:footnote>
  <w:footnote w:id="57">
    <w:p w14:paraId="0BE534C8" w14:textId="77777777" w:rsidR="00AC4277" w:rsidRDefault="00AC4277" w:rsidP="00AC4277">
      <w:pPr>
        <w:pStyle w:val="FootnoteText"/>
      </w:pPr>
      <w:r>
        <w:rPr>
          <w:rStyle w:val="FootnoteReference"/>
        </w:rPr>
        <w:footnoteRef/>
      </w:r>
      <w:r>
        <w:t xml:space="preserve"> IEEE. Impact of Inverter Based Generation on Bulk Power System Dynamics and Short-Circuit Performance. September, 2018. </w:t>
      </w:r>
      <w:hyperlink r:id="rId47" w:history="1">
        <w:r w:rsidRPr="00836FB9">
          <w:rPr>
            <w:rStyle w:val="Hyperlink"/>
          </w:rPr>
          <w:t>https://resourcecenter.ieee-pes.org/publications/technical-reports/PES_TR_7-18_0068.html</w:t>
        </w:r>
      </w:hyperlink>
    </w:p>
  </w:footnote>
  <w:footnote w:id="58">
    <w:p w14:paraId="732699DF" w14:textId="77777777" w:rsidR="00AC4277" w:rsidRDefault="00AC4277" w:rsidP="00AC4277">
      <w:pPr>
        <w:pStyle w:val="FootnoteText"/>
      </w:pPr>
      <w:r>
        <w:rPr>
          <w:rStyle w:val="FootnoteReference"/>
        </w:rPr>
        <w:footnoteRef/>
      </w:r>
      <w:r>
        <w:t xml:space="preserve"> EPRI. Impact of Inverter-Based Resources on Protection Schemes Based on Negative Sequence Components. July, 2019. </w:t>
      </w:r>
      <w:hyperlink r:id="rId48" w:history="1">
        <w:r w:rsidRPr="00836FB9">
          <w:rPr>
            <w:rStyle w:val="Hyperlink"/>
          </w:rPr>
          <w:t>https://www.epri.com/research/products/000000003002016197</w:t>
        </w:r>
      </w:hyperlink>
    </w:p>
  </w:footnote>
  <w:footnote w:id="59">
    <w:p w14:paraId="2AE9E936" w14:textId="77777777" w:rsidR="00AC4277" w:rsidRDefault="00AC4277" w:rsidP="00AC4277">
      <w:pPr>
        <w:pStyle w:val="FootnoteText"/>
      </w:pPr>
      <w:r>
        <w:rPr>
          <w:rStyle w:val="FootnoteReference"/>
        </w:rPr>
        <w:footnoteRef/>
      </w:r>
      <w:r>
        <w:t xml:space="preserve"> IEEE, M. Nagpal, C. Henville, “Impact of Power-Electronic Sources on Transmission Line Ground Fault Protection,” May, 2017. </w:t>
      </w:r>
      <w:hyperlink r:id="rId49" w:history="1">
        <w:r w:rsidRPr="00836FB9">
          <w:rPr>
            <w:rStyle w:val="Hyperlink"/>
          </w:rPr>
          <w:t>https://ieeexplore.ieee.org/document/7935410</w:t>
        </w:r>
      </w:hyperlink>
    </w:p>
  </w:footnote>
  <w:footnote w:id="60">
    <w:p w14:paraId="6AA4975A" w14:textId="77777777" w:rsidR="00AC4277" w:rsidRDefault="00AC4277" w:rsidP="00AC4277">
      <w:pPr>
        <w:pStyle w:val="FootnoteText"/>
      </w:pPr>
      <w:r>
        <w:rPr>
          <w:rStyle w:val="FootnoteReference"/>
        </w:rPr>
        <w:footnoteRef/>
      </w:r>
      <w:r>
        <w:t xml:space="preserve"> SNL. Impact of Inverter-Based Resource Negative-Sequence Current Injection on Transmission System Protection. January, 2020. </w:t>
      </w:r>
      <w:r w:rsidRPr="007224C3">
        <w:t>https://www.osti.gov/biblio/1595917</w:t>
      </w:r>
    </w:p>
  </w:footnote>
  <w:footnote w:id="61">
    <w:p w14:paraId="474F56A0" w14:textId="77777777" w:rsidR="00AC4277" w:rsidRDefault="00AC4277" w:rsidP="00AC4277">
      <w:pPr>
        <w:pStyle w:val="FootnoteText"/>
      </w:pPr>
      <w:r>
        <w:rPr>
          <w:rStyle w:val="FootnoteReference"/>
        </w:rPr>
        <w:footnoteRef/>
      </w:r>
      <w:r>
        <w:t xml:space="preserve"> NERC. State of Reliability 2017. June 2017. </w:t>
      </w:r>
      <w:r w:rsidRPr="007224C3">
        <w:t>https://www.nerc.com/pa/RAPA/PA/Performance%20Analysis%20DL/SOR_2017_MASTER_20170613.pdf</w:t>
      </w:r>
    </w:p>
  </w:footnote>
  <w:footnote w:id="62">
    <w:p w14:paraId="49BB066D" w14:textId="77777777" w:rsidR="00AC4277" w:rsidRDefault="00AC4277" w:rsidP="00AC4277">
      <w:pPr>
        <w:pStyle w:val="FootnoteText"/>
      </w:pPr>
      <w:r>
        <w:rPr>
          <w:rStyle w:val="FootnoteReference"/>
        </w:rPr>
        <w:footnoteRef/>
      </w:r>
      <w:r>
        <w:t xml:space="preserve"> BNL. Frequency Control Requirements for Reliable Interconnection Frequency Response. February, 2018. </w:t>
      </w:r>
      <w:hyperlink r:id="rId50" w:history="1">
        <w:r w:rsidRPr="00836FB9">
          <w:rPr>
            <w:rStyle w:val="Hyperlink"/>
          </w:rPr>
          <w:t>https://emp.lbl.gov/publications/frequency-control-requirements</w:t>
        </w:r>
      </w:hyperlink>
    </w:p>
  </w:footnote>
  <w:footnote w:id="63">
    <w:p w14:paraId="26F25652" w14:textId="77777777" w:rsidR="00AC4277" w:rsidRDefault="00AC4277" w:rsidP="00AC4277">
      <w:pPr>
        <w:pStyle w:val="FootnoteText"/>
      </w:pPr>
      <w:r>
        <w:rPr>
          <w:rStyle w:val="FootnoteReference"/>
        </w:rPr>
        <w:footnoteRef/>
      </w:r>
      <w:r>
        <w:t xml:space="preserve"> IEEE. Protection Challenges and Practices for Interconnecting Inverter Based Resources to Utility Transmission Systems. July, 2020. </w:t>
      </w:r>
      <w:r w:rsidRPr="00127615">
        <w:t>https://resourcecenter.ieee-pes.org/publications/technical-reports/PES_TP_TR81_PSRC_WGC32_071520.html</w:t>
      </w:r>
    </w:p>
  </w:footnote>
  <w:footnote w:id="64">
    <w:p w14:paraId="31937D6A" w14:textId="77777777" w:rsidR="00AC4277" w:rsidRDefault="00AC4277" w:rsidP="00AC4277">
      <w:pPr>
        <w:pStyle w:val="FootnoteText"/>
      </w:pPr>
      <w:r>
        <w:rPr>
          <w:rStyle w:val="FootnoteReference"/>
        </w:rPr>
        <w:footnoteRef/>
      </w:r>
      <w:r>
        <w:t xml:space="preserve"> PNNL. Protection of Distribution Circuits with High Penetration of Solar PV. October, 2021. </w:t>
      </w:r>
      <w:r w:rsidRPr="007224C3">
        <w:t>https://www.pnnl.gov/main/publications/external/technical_reports/PNNL-32230.pdf</w:t>
      </w:r>
    </w:p>
  </w:footnote>
  <w:footnote w:id="65">
    <w:p w14:paraId="023F2401" w14:textId="77777777" w:rsidR="00AC4277" w:rsidRDefault="00AC4277" w:rsidP="00AC4277">
      <w:pPr>
        <w:pStyle w:val="FootnoteText"/>
      </w:pPr>
      <w:r>
        <w:rPr>
          <w:rStyle w:val="FootnoteReference"/>
        </w:rPr>
        <w:footnoteRef/>
      </w:r>
      <w:r>
        <w:t xml:space="preserve"> PNNL. Relaying for Distributed and Microgrids Evolving from Radial to Bidirectional Power Flow. September, 2019. </w:t>
      </w:r>
      <w:r w:rsidRPr="007224C3">
        <w:t>https://www.osti.gov/biblio/1574999</w:t>
      </w:r>
    </w:p>
  </w:footnote>
  <w:footnote w:id="66">
    <w:p w14:paraId="4B54DB55" w14:textId="77777777" w:rsidR="00AC4277" w:rsidRDefault="00AC4277" w:rsidP="00AC4277">
      <w:pPr>
        <w:pStyle w:val="FootnoteText"/>
      </w:pPr>
      <w:r>
        <w:rPr>
          <w:rStyle w:val="FootnoteReference"/>
        </w:rPr>
        <w:footnoteRef/>
      </w:r>
      <w:r>
        <w:t xml:space="preserve"> NREL. High-Penetration PV Integration Handbook for Distribution Engineers. January, 2016. </w:t>
      </w:r>
      <w:r w:rsidRPr="000271FA">
        <w:t>https://www.nrel.gov/docs/fy16osti/63114.pdf</w:t>
      </w:r>
    </w:p>
  </w:footnote>
  <w:footnote w:id="67">
    <w:p w14:paraId="2DF92B5D" w14:textId="0C9A08FB" w:rsidR="00AC4277" w:rsidRDefault="00AC4277" w:rsidP="00AC4277">
      <w:pPr>
        <w:pStyle w:val="FootnoteText"/>
      </w:pPr>
      <w:r>
        <w:rPr>
          <w:rStyle w:val="FootnoteReference"/>
        </w:rPr>
        <w:footnoteRef/>
      </w:r>
      <w:r>
        <w:t xml:space="preserve"> IEEE, R. Chowdhury, N. Fischer, “Transmission Line Protection for Systems with Inverter-Based Resources – Part II: Solutions,” October, 2020. </w:t>
      </w:r>
      <w:hyperlink r:id="rId51" w:history="1">
        <w:r w:rsidR="00F836F4" w:rsidRPr="002941BC">
          <w:rPr>
            <w:rStyle w:val="Hyperlink"/>
          </w:rPr>
          <w:t>https://ieeexplore.ieee.org/document/9233925</w:t>
        </w:r>
      </w:hyperlink>
      <w:r w:rsidR="00F836F4">
        <w:t xml:space="preserve"> </w:t>
      </w:r>
    </w:p>
  </w:footnote>
  <w:footnote w:id="68">
    <w:p w14:paraId="4B015DAF" w14:textId="0BF7CC64" w:rsidR="00AC4277" w:rsidRDefault="00AC4277" w:rsidP="00AC4277">
      <w:pPr>
        <w:pStyle w:val="FootnoteText"/>
      </w:pPr>
      <w:r>
        <w:rPr>
          <w:rStyle w:val="FootnoteReference"/>
        </w:rPr>
        <w:footnoteRef/>
      </w:r>
      <w:r>
        <w:t xml:space="preserve"> IEEE, V. Telukunta, et. al., “Protection challenges under bulk penetration of renewable energy resources in power systems: A review,” December, 2017. </w:t>
      </w:r>
      <w:hyperlink r:id="rId52" w:history="1">
        <w:r w:rsidR="00F836F4" w:rsidRPr="002941BC">
          <w:rPr>
            <w:rStyle w:val="Hyperlink"/>
          </w:rPr>
          <w:t>https://ieeexplore.ieee.org/document/8233582</w:t>
        </w:r>
      </w:hyperlink>
      <w:r w:rsidR="00F836F4">
        <w:t xml:space="preserve"> </w:t>
      </w:r>
    </w:p>
  </w:footnote>
  <w:footnote w:id="69">
    <w:p w14:paraId="0E73E6AF" w14:textId="14FF1E5D" w:rsidR="00AC4277" w:rsidRDefault="00AC4277" w:rsidP="00AC4277">
      <w:pPr>
        <w:pStyle w:val="FootnoteText"/>
      </w:pPr>
      <w:r>
        <w:rPr>
          <w:rStyle w:val="FootnoteReference"/>
        </w:rPr>
        <w:footnoteRef/>
      </w:r>
      <w:r>
        <w:t xml:space="preserve"> IEEE, P. Adhikari, et. al., ”Source-Agnostic Time-Domain Distance Relay,” December, 2021. </w:t>
      </w:r>
      <w:hyperlink r:id="rId53" w:history="1">
        <w:r w:rsidR="00F836F4" w:rsidRPr="002941BC">
          <w:rPr>
            <w:rStyle w:val="Hyperlink"/>
          </w:rPr>
          <w:t>https://ieeexplore.ieee.org/document/9640501</w:t>
        </w:r>
      </w:hyperlink>
      <w:r w:rsidR="00F836F4">
        <w:t xml:space="preserve"> </w:t>
      </w:r>
    </w:p>
  </w:footnote>
  <w:footnote w:id="70">
    <w:p w14:paraId="0F656E77" w14:textId="2EB24B8A" w:rsidR="00AC4277" w:rsidRDefault="00AC4277" w:rsidP="00AC4277">
      <w:pPr>
        <w:pStyle w:val="FootnoteText"/>
      </w:pPr>
      <w:r>
        <w:rPr>
          <w:rStyle w:val="FootnoteReference"/>
        </w:rPr>
        <w:footnoteRef/>
      </w:r>
      <w:r>
        <w:t xml:space="preserve"> IEEE, R. Chowdhury, N. Fischer, “Transmission Line Protection for Systems with Inverter-Based Resources – Part I: Problems,” August, 2020. </w:t>
      </w:r>
      <w:hyperlink r:id="rId54" w:history="1">
        <w:r w:rsidR="00F836F4" w:rsidRPr="002941BC">
          <w:rPr>
            <w:rStyle w:val="Hyperlink"/>
          </w:rPr>
          <w:t>https://ieeexplore.ieee.org/document/9180079</w:t>
        </w:r>
      </w:hyperlink>
      <w:r w:rsidR="00F836F4">
        <w:t xml:space="preserve"> </w:t>
      </w:r>
    </w:p>
  </w:footnote>
  <w:footnote w:id="71">
    <w:p w14:paraId="414B891F" w14:textId="42ADCEEB" w:rsidR="00AC4277" w:rsidRDefault="00AC4277" w:rsidP="00AC4277">
      <w:pPr>
        <w:pStyle w:val="FootnoteText"/>
      </w:pPr>
      <w:r>
        <w:rPr>
          <w:rStyle w:val="FootnoteReference"/>
        </w:rPr>
        <w:footnoteRef/>
      </w:r>
      <w:r>
        <w:t xml:space="preserve"> NASPI. WAMS in the Control Room – A TSO Perspective. October, 2021. </w:t>
      </w:r>
      <w:hyperlink r:id="rId55" w:history="1">
        <w:r w:rsidR="00F836F4" w:rsidRPr="002941BC">
          <w:rPr>
            <w:rStyle w:val="Hyperlink"/>
          </w:rPr>
          <w:t>https://www.naspi.org/sites/default/files/2021-10/2021_oct_naspi_wg_keynote_rubesa.pdf</w:t>
        </w:r>
      </w:hyperlink>
      <w:r w:rsidR="00F836F4">
        <w:t xml:space="preserve"> </w:t>
      </w:r>
    </w:p>
  </w:footnote>
  <w:footnote w:id="72">
    <w:p w14:paraId="09D84574" w14:textId="55C1E593" w:rsidR="00AC4277" w:rsidRDefault="00AC4277" w:rsidP="00AC4277">
      <w:pPr>
        <w:pStyle w:val="FootnoteText"/>
      </w:pPr>
      <w:r>
        <w:rPr>
          <w:rStyle w:val="FootnoteReference"/>
        </w:rPr>
        <w:footnoteRef/>
      </w:r>
      <w:r>
        <w:t xml:space="preserve"> NASPI. Integrating Synchrophasor Technology into Power System Protection Applications. September, 2016. </w:t>
      </w:r>
      <w:hyperlink r:id="rId56" w:history="1">
        <w:r w:rsidR="00F836F4" w:rsidRPr="002941BC">
          <w:rPr>
            <w:rStyle w:val="Hyperlink"/>
          </w:rPr>
          <w:t>https://www.naspi.org/sites/default/files/reference_documents/naspi_2016_tr_007_power_system_protection_final.pdf</w:t>
        </w:r>
      </w:hyperlink>
      <w:r w:rsidR="00F836F4">
        <w:t xml:space="preserve"> </w:t>
      </w:r>
    </w:p>
  </w:footnote>
  <w:footnote w:id="73">
    <w:p w14:paraId="3D5978F1" w14:textId="77777777" w:rsidR="00AC4277" w:rsidRDefault="00AC4277" w:rsidP="00AC4277">
      <w:pPr>
        <w:pStyle w:val="FootnoteText"/>
      </w:pPr>
      <w:r>
        <w:rPr>
          <w:rStyle w:val="FootnoteReference"/>
        </w:rPr>
        <w:footnoteRef/>
      </w:r>
      <w:r>
        <w:t xml:space="preserve"> IEEE, D. Ramasubramanian, et. al., “Simulation of 100% Inverter-Based Resource Grids with Positive Sequence Modeling,” June, 2021. </w:t>
      </w:r>
      <w:r w:rsidRPr="00982F8C">
        <w:t>https://ieeexplore.ieee.org/document/9447546</w:t>
      </w:r>
    </w:p>
  </w:footnote>
  <w:footnote w:id="74">
    <w:p w14:paraId="2C817E3C" w14:textId="77777777" w:rsidR="00AC4277" w:rsidRDefault="00AC4277" w:rsidP="00AC4277">
      <w:pPr>
        <w:pStyle w:val="FootnoteText"/>
      </w:pPr>
      <w:r>
        <w:rPr>
          <w:rStyle w:val="FootnoteReference"/>
        </w:rPr>
        <w:footnoteRef/>
      </w:r>
      <w:r>
        <w:t xml:space="preserve"> EPRI, “An Overview of Co-Simulation Platforms for Transmission Planning,” December, 2019. </w:t>
      </w:r>
      <w:r w:rsidRPr="00041707">
        <w:t>https://www.epri.com/research/products/000000003002017494</w:t>
      </w:r>
    </w:p>
  </w:footnote>
  <w:footnote w:id="75">
    <w:p w14:paraId="21EC863E" w14:textId="77777777" w:rsidR="00EF3B1F" w:rsidRDefault="00EF3B1F" w:rsidP="00EF3B1F">
      <w:pPr>
        <w:pStyle w:val="FootnoteText"/>
      </w:pPr>
      <w:r>
        <w:rPr>
          <w:rStyle w:val="FootnoteReference"/>
        </w:rPr>
        <w:footnoteRef/>
      </w:r>
      <w:r>
        <w:t xml:space="preserve"> SETO. Enabling Extreme Real-time Grid Integration of Solar Energy (ENERGISE). </w:t>
      </w:r>
      <w:r w:rsidRPr="00C6233E">
        <w:t>https://www.energy.gov/eere/solar/enabling-extreme-real-time-grid-integration-solar-energy-energise</w:t>
      </w:r>
    </w:p>
  </w:footnote>
  <w:footnote w:id="76">
    <w:p w14:paraId="09E6AAF4" w14:textId="77777777" w:rsidR="00EF3B1F" w:rsidRDefault="00EF3B1F" w:rsidP="00EF3B1F">
      <w:pPr>
        <w:pStyle w:val="FootnoteText"/>
      </w:pPr>
      <w:r>
        <w:rPr>
          <w:rStyle w:val="FootnoteReference"/>
        </w:rPr>
        <w:footnoteRef/>
      </w:r>
      <w:r>
        <w:t xml:space="preserve"> SETO. Advanced Systems Integration for Solar Technologies (ASSIST): Situational Awareness and Resilient Solutions for Critical Infrastructure. </w:t>
      </w:r>
      <w:r w:rsidRPr="00C6233E">
        <w:t>https://www.energy.gov/eere/solar/advanced-systems-integration-solar-technologies-assist-situational-awareness-and</w:t>
      </w:r>
    </w:p>
  </w:footnote>
  <w:footnote w:id="77">
    <w:p w14:paraId="71390F7B" w14:textId="77777777" w:rsidR="00EF3B1F" w:rsidRDefault="00EF3B1F" w:rsidP="00EF3B1F">
      <w:pPr>
        <w:pStyle w:val="FootnoteText"/>
      </w:pPr>
      <w:r>
        <w:rPr>
          <w:rStyle w:val="FootnoteReference"/>
        </w:rPr>
        <w:footnoteRef/>
      </w:r>
      <w:r>
        <w:t xml:space="preserve"> SETO. SETO FY2019 – Advanced Solar Systems Integration Technologies. </w:t>
      </w:r>
      <w:r w:rsidRPr="00C6233E">
        <w:t>https://www.energy.gov/eere/solar/seto-fy2019-advanced-solar-systems-integration-technologies</w:t>
      </w:r>
    </w:p>
  </w:footnote>
  <w:footnote w:id="78">
    <w:p w14:paraId="4DEAFFBC" w14:textId="77777777" w:rsidR="00957B18" w:rsidRDefault="00957B18" w:rsidP="00957B18">
      <w:pPr>
        <w:rPr>
          <w:rStyle w:val="Hyperlink"/>
        </w:rPr>
      </w:pPr>
      <w:r>
        <w:rPr>
          <w:rStyle w:val="FootnoteReference"/>
        </w:rPr>
        <w:footnoteRef/>
      </w:r>
      <w:r>
        <w:t xml:space="preserve"> </w:t>
      </w:r>
      <w:r w:rsidRPr="00510B53">
        <w:rPr>
          <w:sz w:val="20"/>
        </w:rPr>
        <w:t xml:space="preserve">A </w:t>
      </w:r>
      <w:r>
        <w:rPr>
          <w:sz w:val="20"/>
        </w:rPr>
        <w:t>c</w:t>
      </w:r>
      <w:r w:rsidRPr="001E151E">
        <w:rPr>
          <w:sz w:val="20"/>
        </w:rPr>
        <w:t xml:space="preserve">ooperative </w:t>
      </w:r>
      <w:r>
        <w:rPr>
          <w:sz w:val="20"/>
        </w:rPr>
        <w:t>r</w:t>
      </w:r>
      <w:r w:rsidRPr="001E151E">
        <w:rPr>
          <w:sz w:val="20"/>
        </w:rPr>
        <w:t xml:space="preserve">esearch and </w:t>
      </w:r>
      <w:r>
        <w:rPr>
          <w:sz w:val="20"/>
        </w:rPr>
        <w:t>d</w:t>
      </w:r>
      <w:r w:rsidRPr="001E151E">
        <w:rPr>
          <w:sz w:val="20"/>
        </w:rPr>
        <w:t xml:space="preserve">evelopment </w:t>
      </w:r>
      <w:r>
        <w:rPr>
          <w:sz w:val="20"/>
        </w:rPr>
        <w:t>a</w:t>
      </w:r>
      <w:r w:rsidRPr="001E151E">
        <w:rPr>
          <w:sz w:val="20"/>
        </w:rPr>
        <w:t xml:space="preserve">greement </w:t>
      </w:r>
      <w:r>
        <w:rPr>
          <w:sz w:val="20"/>
        </w:rPr>
        <w:t xml:space="preserve">is </w:t>
      </w:r>
      <w:r w:rsidRPr="001E151E">
        <w:rPr>
          <w:sz w:val="20"/>
        </w:rPr>
        <w:t xml:space="preserve">a contractual agreement between a national laboratory contractor and a private company or university to work together on research and development. For more information, see </w:t>
      </w:r>
      <w:hyperlink r:id="rId57" w:history="1">
        <w:r w:rsidRPr="001E151E">
          <w:rPr>
            <w:rStyle w:val="Hyperlink"/>
            <w:sz w:val="20"/>
          </w:rPr>
          <w:t>https://www.energy.gov/gc/downloads/doe-cooperative-research-and-development-agreements</w:t>
        </w:r>
      </w:hyperlink>
    </w:p>
    <w:p w14:paraId="4B61A397" w14:textId="77777777" w:rsidR="00957B18" w:rsidRDefault="00957B18" w:rsidP="00957B18">
      <w:pPr>
        <w:pStyle w:val="FootnoteText"/>
      </w:pPr>
    </w:p>
  </w:footnote>
  <w:footnote w:id="79">
    <w:p w14:paraId="4DF14445" w14:textId="77777777" w:rsidR="006628F7" w:rsidRDefault="006628F7" w:rsidP="006628F7">
      <w:pPr>
        <w:pStyle w:val="FootnoteText"/>
      </w:pPr>
      <w:r>
        <w:rPr>
          <w:rStyle w:val="FootnoteReference"/>
        </w:rPr>
        <w:footnoteRef/>
      </w:r>
      <w:r>
        <w:t xml:space="preserve"> </w:t>
      </w:r>
      <w:hyperlink r:id="rId58" w:history="1">
        <w:r>
          <w:rPr>
            <w:rStyle w:val="Hyperlink"/>
          </w:rPr>
          <w:t>Community Benefit Agreement (CBA) Toolkit | Department of Energy</w:t>
        </w:r>
      </w:hyperlink>
    </w:p>
  </w:footnote>
  <w:footnote w:id="80">
    <w:p w14:paraId="04BE9BA9" w14:textId="77777777" w:rsidR="00D3331E" w:rsidRDefault="00D3331E" w:rsidP="00D3331E">
      <w:pPr>
        <w:pStyle w:val="FootnoteText"/>
      </w:pPr>
      <w:r>
        <w:rPr>
          <w:rStyle w:val="FootnoteReference"/>
        </w:rPr>
        <w:footnoteRef/>
      </w:r>
      <w:r>
        <w:t xml:space="preserve"> A “quality job” is defined as a job that (1) exceeds the local prevailing wage for an industry in the region, includes basic benefits (e.g., paid leave, health insurance, retirement/savings plan), and/or is unionized, and (2) helps the employee develop the skills and experiences necessary to advance along a career path. See Economic Development Administration, ARPA Good Jobs Challenge NOFO, EDAHDQ-ARPGJ-2021-2006964, at n. 1, available at https://www.grants.gov/web/grants/viewopportunity.html?oppId=334720.</w:t>
      </w:r>
    </w:p>
  </w:footnote>
  <w:footnote w:id="81">
    <w:p w14:paraId="1F6657E5" w14:textId="77777777" w:rsidR="00D3331E" w:rsidRDefault="00D3331E" w:rsidP="00D3331E">
      <w:pPr>
        <w:pStyle w:val="FootnoteText"/>
      </w:pPr>
      <w:r>
        <w:rPr>
          <w:rStyle w:val="FootnoteReference"/>
        </w:rPr>
        <w:footnoteRef/>
      </w:r>
      <w:r>
        <w:t xml:space="preserve"> Tactics used to keep workers from exercising their rights include: misclassification, pitting workers against each other, hiring union-busting consultants, intimidation and harassment, holding “captive audience” meetings, delays and exploitation of loopholes, and others. </w:t>
      </w:r>
    </w:p>
  </w:footnote>
  <w:footnote w:id="82">
    <w:p w14:paraId="3446BA31" w14:textId="658F859C" w:rsidR="00D3331E" w:rsidRDefault="00D3331E" w:rsidP="00D3331E">
      <w:pPr>
        <w:pStyle w:val="FootnoteText"/>
        <w:rPr>
          <w:rFonts w:ascii="Calibri" w:eastAsia="Calibri" w:hAnsi="Calibri" w:cs="Arial"/>
          <w:highlight w:val="green"/>
        </w:rPr>
      </w:pPr>
      <w:r w:rsidRPr="00573443">
        <w:rPr>
          <w:rStyle w:val="FootnoteReference"/>
        </w:rPr>
        <w:footnoteRef/>
      </w:r>
      <w:r w:rsidRPr="00960F2A">
        <w:rPr>
          <w:rFonts w:ascii="Calibri" w:eastAsia="Calibri" w:hAnsi="Calibri" w:cs="Arial"/>
        </w:rPr>
        <w:t xml:space="preserve"> Successful applicants will be asked to submit detail on the </w:t>
      </w:r>
      <w:r w:rsidRPr="00960F2A">
        <w:rPr>
          <w:rFonts w:ascii="Calibri" w:hAnsi="Calibri"/>
        </w:rPr>
        <w:t xml:space="preserve">minimum number of full-time operations-phase/production jobs and the associated job classifications, including </w:t>
      </w:r>
      <w:r w:rsidRPr="00960F2A">
        <w:t>anticipated minimum hourly wages and fringe benefits rates by worker classification</w:t>
      </w:r>
      <w:r w:rsidR="00573443">
        <w:t>.</w:t>
      </w:r>
    </w:p>
  </w:footnote>
  <w:footnote w:id="83">
    <w:p w14:paraId="1861C704" w14:textId="77777777" w:rsidR="00D3331E" w:rsidRDefault="00D3331E" w:rsidP="00D3331E">
      <w:pPr>
        <w:pStyle w:val="FootnoteText"/>
      </w:pPr>
      <w:r>
        <w:rPr>
          <w:rStyle w:val="FootnoteReference"/>
        </w:rPr>
        <w:footnoteRef/>
      </w:r>
      <w:r>
        <w:t xml:space="preserve"> </w:t>
      </w:r>
      <w:r w:rsidRPr="005B542A">
        <w:rPr>
          <w:rFonts w:cstheme="minorHAnsi"/>
          <w:color w:val="111111"/>
          <w:shd w:val="clear" w:color="auto" w:fill="FFFFFF"/>
        </w:rPr>
        <w:t>Federal Service Labor Management Relations Statute (5 U.S.C. 7101(a)(1))</w:t>
      </w:r>
    </w:p>
  </w:footnote>
  <w:footnote w:id="84">
    <w:p w14:paraId="7A1C966D" w14:textId="77777777" w:rsidR="00D3331E" w:rsidRDefault="00D3331E" w:rsidP="00D3331E">
      <w:pPr>
        <w:pStyle w:val="FootnoteText"/>
      </w:pPr>
      <w:r>
        <w:rPr>
          <w:rStyle w:val="FootnoteReference"/>
        </w:rPr>
        <w:footnoteRef/>
      </w:r>
      <w:r>
        <w:t xml:space="preserve"> Ability to require labor peace agreements: </w:t>
      </w:r>
    </w:p>
    <w:p w14:paraId="35C3D9B8" w14:textId="77777777" w:rsidR="00D3331E" w:rsidRDefault="00D3331E" w:rsidP="00D3331E">
      <w:pPr>
        <w:pStyle w:val="FootnoteText"/>
      </w:pPr>
      <w:r>
        <w:t xml:space="preserve">• By a governmental entity: Where a governmental entity receives DOE grant funds, whether directly as an Eligible Entity or as a subgrantee, and the governmental entity uses those funds for the construction of facilities over which it will maintain a proprietary interest (e.g., governmental ownership of the network), it is authorized and encouraged to require labor peace agreements, unless prohibited by state or local law. </w:t>
      </w:r>
    </w:p>
    <w:p w14:paraId="35844714" w14:textId="77777777" w:rsidR="00D3331E" w:rsidRDefault="00D3331E" w:rsidP="00D3331E">
      <w:pPr>
        <w:pStyle w:val="FootnoteText"/>
      </w:pPr>
      <w:r>
        <w:t>• By a non-governmental subgrantee: Subgrantees that are non-governmental entities, and engage in construction or operations over which no governmental entity maintains a proprietary interest, are authorized and encouraged to require labor peace agreements, unless prohibited by state or local law</w:t>
      </w:r>
    </w:p>
  </w:footnote>
  <w:footnote w:id="85">
    <w:p w14:paraId="12D27B8F" w14:textId="77777777" w:rsidR="00F1770F" w:rsidRDefault="00F1770F" w:rsidP="00F1770F">
      <w:pPr>
        <w:pStyle w:val="FootnoteText"/>
      </w:pPr>
      <w:r>
        <w:rPr>
          <w:rStyle w:val="FootnoteReference"/>
        </w:rPr>
        <w:footnoteRef/>
      </w:r>
      <w:r>
        <w:t xml:space="preserve"> </w:t>
      </w:r>
      <w:r w:rsidRPr="00DC7D9B">
        <w:t>Typically, these individuals have doctoral or other professional degrees, although individuals at the masters or baccalaureate level may be considered senior/key personnel if their involvement meets this definition. Consultants</w:t>
      </w:r>
      <w:r>
        <w:t>, graduate students,</w:t>
      </w:r>
      <w:r w:rsidRPr="00DC7D9B">
        <w:t xml:space="preserve"> and those with a postdoctoral role also may be considered senior/key personnel if they meet this definition.</w:t>
      </w:r>
    </w:p>
  </w:footnote>
  <w:footnote w:id="86">
    <w:p w14:paraId="295B5B71" w14:textId="77777777" w:rsidR="001C26C4" w:rsidRPr="001C26C4" w:rsidRDefault="001C26C4" w:rsidP="001C26C4">
      <w:pPr>
        <w:pStyle w:val="FootnoteText"/>
      </w:pPr>
      <w:r w:rsidRPr="001C26C4">
        <w:rPr>
          <w:rStyle w:val="FootnoteReference"/>
        </w:rPr>
        <w:footnoteRef/>
      </w:r>
      <w:r w:rsidRPr="001C26C4">
        <w:t xml:space="preserve"> See OFCCP’s Technical Assistance Guide</w:t>
      </w:r>
      <w:r w:rsidRPr="001C26C4">
        <w:rPr>
          <w:rFonts w:cstheme="minorHAnsi"/>
        </w:rPr>
        <w:t xml:space="preserve"> at: </w:t>
      </w:r>
      <w:hyperlink r:id="rId59" w:history="1">
        <w:r w:rsidRPr="001C26C4">
          <w:rPr>
            <w:rStyle w:val="Hyperlink"/>
            <w:rFonts w:cstheme="minorHAnsi"/>
          </w:rPr>
          <w:t>https://www.dol.gov/sites/dolgov/files/ofccp/Construction/files/ConstructionTAG.pdf?msclkid=9e397d68c4b111ec9d8e6fecb6c710ec</w:t>
        </w:r>
      </w:hyperlink>
      <w:r w:rsidRPr="001C26C4">
        <w:rPr>
          <w:rFonts w:cstheme="minorHAnsi"/>
        </w:rPr>
        <w:t xml:space="preserve"> Also see the National Policy Assurances </w:t>
      </w:r>
      <w:hyperlink r:id="rId60" w:history="1">
        <w:r w:rsidRPr="001C26C4">
          <w:rPr>
            <w:rStyle w:val="Hyperlink"/>
          </w:rPr>
          <w:t>http://www.nsf.gov/awards/managing/rtc.jsp</w:t>
        </w:r>
      </w:hyperlink>
    </w:p>
  </w:footnote>
  <w:footnote w:id="87">
    <w:p w14:paraId="30CFCC0D" w14:textId="77777777" w:rsidR="001C26C4" w:rsidRDefault="001C26C4" w:rsidP="001C26C4">
      <w:pPr>
        <w:pStyle w:val="FootnoteText"/>
      </w:pPr>
      <w:r w:rsidRPr="001C26C4">
        <w:rPr>
          <w:rStyle w:val="FootnoteReference"/>
        </w:rPr>
        <w:footnoteRef/>
      </w:r>
      <w:r w:rsidRPr="001C26C4">
        <w:t xml:space="preserve"> For more information regarding this program, see </w:t>
      </w:r>
      <w:r w:rsidRPr="001C26C4">
        <w:tab/>
        <w:t>https://www.dol.gov/agencies/ofccp/construction/mega-program.</w:t>
      </w:r>
    </w:p>
  </w:footnote>
  <w:footnote w:id="88">
    <w:p w14:paraId="4DD230A7" w14:textId="77777777" w:rsidR="008B5F00" w:rsidRDefault="008B5F00" w:rsidP="008B5F00">
      <w:pPr>
        <w:pStyle w:val="FootnoteText"/>
      </w:pPr>
      <w:r>
        <w:rPr>
          <w:rStyle w:val="FootnoteReference"/>
        </w:rPr>
        <w:footnoteRef/>
      </w:r>
      <w:r>
        <w:t xml:space="preserve"> DOE’s interim COI Policy can be found at </w:t>
      </w:r>
      <w:hyperlink r:id="rId61" w:history="1">
        <w:r w:rsidRPr="0070634A">
          <w:rPr>
            <w:color w:val="0000FF"/>
            <w:u w:val="single"/>
          </w:rPr>
          <w:t>PF 2022-17 FAL 2022-02 Department of Energy Interim Conflict of Interest Policy Requirements for Financial Assistance</w:t>
        </w:r>
      </w:hyperlink>
      <w:r>
        <w:t>. </w:t>
      </w:r>
    </w:p>
  </w:footnote>
  <w:footnote w:id="89">
    <w:p w14:paraId="18C6884C" w14:textId="77777777" w:rsidR="00A71885" w:rsidRDefault="00A71885" w:rsidP="00A71885">
      <w:pPr>
        <w:pStyle w:val="FootnoteText"/>
      </w:pPr>
      <w:r>
        <w:rPr>
          <w:rStyle w:val="FootnoteReference"/>
        </w:rPr>
        <w:footnoteRef/>
      </w:r>
      <w:r>
        <w:t xml:space="preserve"> BIL, § 70917(c)(1).</w:t>
      </w:r>
    </w:p>
  </w:footnote>
  <w:footnote w:id="90">
    <w:p w14:paraId="1367805D" w14:textId="77777777" w:rsidR="00A71885" w:rsidRDefault="00A71885" w:rsidP="00A71885">
      <w:pPr>
        <w:pStyle w:val="FootnoteText"/>
      </w:pPr>
      <w:r>
        <w:rPr>
          <w:rStyle w:val="FootnoteReference"/>
        </w:rPr>
        <w:footnoteRef/>
      </w:r>
      <w:r>
        <w:t xml:space="preserve"> Excludes cement and cementitious materials, aggregates such as stone, sand, or gravel, or aggregate binding agents or additives.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FFB3" w14:textId="77777777" w:rsidR="000A0B55" w:rsidRDefault="000A0B55">
    <w:pPr>
      <w:pStyle w:val="Header"/>
    </w:pPr>
    <w:r>
      <w:rPr>
        <w:noProof/>
      </w:rPr>
      <mc:AlternateContent>
        <mc:Choice Requires="wps">
          <w:drawing>
            <wp:anchor distT="0" distB="0" distL="114300" distR="114300" simplePos="0" relativeHeight="251658242" behindDoc="0" locked="0" layoutInCell="1" allowOverlap="1" wp14:anchorId="2E7079E3" wp14:editId="2C00D46E">
              <wp:simplePos x="0" y="0"/>
              <wp:positionH relativeFrom="margin">
                <wp:posOffset>2203450</wp:posOffset>
              </wp:positionH>
              <wp:positionV relativeFrom="paragraph">
                <wp:posOffset>-107950</wp:posOffset>
              </wp:positionV>
              <wp:extent cx="4302125" cy="561975"/>
              <wp:effectExtent l="0" t="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61975"/>
                      </a:xfrm>
                      <a:prstGeom prst="rect">
                        <a:avLst/>
                      </a:prstGeom>
                      <a:noFill/>
                      <a:ln w="9525">
                        <a:noFill/>
                        <a:miter lim="800000"/>
                        <a:headEnd/>
                        <a:tailEnd/>
                      </a:ln>
                    </wps:spPr>
                    <wps:txbx>
                      <w:txbxContent>
                        <w:p w14:paraId="1528F617" w14:textId="77777777" w:rsidR="000A0B55" w:rsidRDefault="000A0B55" w:rsidP="009423D0">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Pr>
                              <w:rFonts w:ascii="Calibri" w:hAnsi="Calibri"/>
                              <w:b/>
                              <w:color w:val="FFFFFF" w:themeColor="background1"/>
                              <w:szCs w:val="24"/>
                            </w:rPr>
                            <w:t>104</w:t>
                          </w:r>
                          <w:r w:rsidRPr="004641EB">
                            <w:rPr>
                              <w:rFonts w:ascii="Calibri" w:hAnsi="Calibri"/>
                              <w:b/>
                              <w:color w:val="FFFFFF" w:themeColor="background1"/>
                              <w:szCs w:val="24"/>
                            </w:rPr>
                            <w:t xml:space="preserve">: </w:t>
                          </w:r>
                          <w:r>
                            <w:rPr>
                              <w:rFonts w:ascii="Calibri" w:hAnsi="Calibri"/>
                              <w:b/>
                              <w:color w:val="FFFFFF" w:themeColor="background1"/>
                              <w:szCs w:val="24"/>
                            </w:rPr>
                            <w:t>Funding Opportunity Announcement</w:t>
                          </w:r>
                        </w:p>
                        <w:p w14:paraId="5F7590DE" w14:textId="77777777" w:rsidR="000A0B55" w:rsidRPr="00272D64" w:rsidRDefault="000A0B55" w:rsidP="009423D0">
                          <w:pPr>
                            <w:ind w:left="720"/>
                            <w:jc w:val="right"/>
                            <w:rPr>
                              <w:rFonts w:ascii="Calibri" w:hAnsi="Calibri"/>
                              <w:b/>
                              <w:color w:val="FFFFFF" w:themeColor="background1"/>
                              <w:sz w:val="10"/>
                              <w:szCs w:val="10"/>
                            </w:rPr>
                          </w:pPr>
                        </w:p>
                        <w:p w14:paraId="3C437D8C" w14:textId="77777777" w:rsidR="000A0B55" w:rsidRPr="006E3D58" w:rsidRDefault="000A0B55" w:rsidP="009423D0">
                          <w:pPr>
                            <w:ind w:left="720"/>
                            <w:jc w:val="right"/>
                            <w:rPr>
                              <w:rFonts w:ascii="Calibri" w:hAnsi="Calibri"/>
                              <w:b/>
                              <w:color w:val="FFFFFF" w:themeColor="background1"/>
                              <w:szCs w:val="24"/>
                            </w:rPr>
                          </w:pPr>
                        </w:p>
                        <w:p w14:paraId="04344917" w14:textId="77777777" w:rsidR="000A0B55" w:rsidRPr="006E3D58" w:rsidRDefault="000A0B55" w:rsidP="009423D0">
                          <w:pPr>
                            <w:ind w:left="1440" w:firstLine="720"/>
                            <w:jc w:val="right"/>
                            <w:rPr>
                              <w:rFonts w:ascii="Calibri" w:hAnsi="Calibri"/>
                              <w:color w:val="FFFFFF" w:themeColor="background1"/>
                              <w:szCs w:val="24"/>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2E7079E3" id="_x0000_t202" coordsize="21600,21600" o:spt="202" path="m,l,21600r21600,l21600,xe">
              <v:stroke joinstyle="miter"/>
              <v:path gradientshapeok="t" o:connecttype="rect"/>
            </v:shapetype>
            <v:shape id="Text Box 302" o:spid="_x0000_s1026" type="#_x0000_t202" style="position:absolute;margin-left:173.5pt;margin-top:-8.5pt;width:338.75pt;height:44.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" filled="f" stroked="f">
              <v:textbox>
                <w:txbxContent>
                  <w:p w14:paraId="1528F617" w14:textId="77777777" w:rsidR="000A0B55" w:rsidRDefault="000A0B55" w:rsidP="009423D0">
                    <w:pPr>
                      <w:ind w:left="720"/>
                      <w:jc w:val="right"/>
                      <w:rPr>
                        <w:rFonts w:ascii="Calibri" w:hAnsi="Calibri"/>
                        <w:b/>
                        <w:color w:val="FFFFFF" w:themeColor="background1"/>
                        <w:szCs w:val="24"/>
                      </w:rPr>
                    </w:pPr>
                    <w:r w:rsidRPr="004641EB">
                      <w:rPr>
                        <w:rFonts w:ascii="Calibri" w:hAnsi="Calibri"/>
                        <w:b/>
                        <w:color w:val="FFFFFF" w:themeColor="background1"/>
                        <w:szCs w:val="24"/>
                      </w:rPr>
                      <w:t xml:space="preserve">EERE </w:t>
                    </w:r>
                    <w:r>
                      <w:rPr>
                        <w:rFonts w:ascii="Calibri" w:hAnsi="Calibri"/>
                        <w:b/>
                        <w:color w:val="FFFFFF" w:themeColor="background1"/>
                        <w:szCs w:val="24"/>
                      </w:rPr>
                      <w:t>104</w:t>
                    </w:r>
                    <w:r w:rsidRPr="004641EB">
                      <w:rPr>
                        <w:rFonts w:ascii="Calibri" w:hAnsi="Calibri"/>
                        <w:b/>
                        <w:color w:val="FFFFFF" w:themeColor="background1"/>
                        <w:szCs w:val="24"/>
                      </w:rPr>
                      <w:t xml:space="preserve">: </w:t>
                    </w:r>
                    <w:r>
                      <w:rPr>
                        <w:rFonts w:ascii="Calibri" w:hAnsi="Calibri"/>
                        <w:b/>
                        <w:color w:val="FFFFFF" w:themeColor="background1"/>
                        <w:szCs w:val="24"/>
                      </w:rPr>
                      <w:t>Funding Opportunity Announcement</w:t>
                    </w:r>
                  </w:p>
                  <w:p w14:paraId="5F7590DE" w14:textId="77777777" w:rsidR="000A0B55" w:rsidRPr="00272D64" w:rsidRDefault="000A0B55" w:rsidP="009423D0">
                    <w:pPr>
                      <w:ind w:left="720"/>
                      <w:jc w:val="right"/>
                      <w:rPr>
                        <w:rFonts w:ascii="Calibri" w:hAnsi="Calibri"/>
                        <w:b/>
                        <w:color w:val="FFFFFF" w:themeColor="background1"/>
                        <w:sz w:val="10"/>
                        <w:szCs w:val="10"/>
                      </w:rPr>
                    </w:pPr>
                  </w:p>
                  <w:p w14:paraId="3C437D8C" w14:textId="77777777" w:rsidR="000A0B55" w:rsidRPr="006E3D58" w:rsidRDefault="000A0B55" w:rsidP="009423D0">
                    <w:pPr>
                      <w:ind w:left="720"/>
                      <w:jc w:val="right"/>
                      <w:rPr>
                        <w:rFonts w:ascii="Calibri" w:hAnsi="Calibri"/>
                        <w:b/>
                        <w:color w:val="FFFFFF" w:themeColor="background1"/>
                        <w:szCs w:val="24"/>
                      </w:rPr>
                    </w:pPr>
                  </w:p>
                  <w:p w14:paraId="04344917" w14:textId="77777777" w:rsidR="000A0B55" w:rsidRPr="006E3D58" w:rsidRDefault="000A0B55" w:rsidP="009423D0">
                    <w:pPr>
                      <w:ind w:left="1440" w:firstLine="720"/>
                      <w:jc w:val="right"/>
                      <w:rPr>
                        <w:rFonts w:ascii="Calibri" w:hAnsi="Calibri"/>
                        <w:color w:val="FFFFFF" w:themeColor="background1"/>
                        <w:szCs w:val="24"/>
                      </w:rPr>
                    </w:pPr>
                  </w:p>
                </w:txbxContent>
              </v:textbox>
              <w10:wrap anchorx="margin"/>
            </v:shape>
          </w:pict>
        </mc:Fallback>
      </mc:AlternateContent>
    </w:r>
    <w:r w:rsidRPr="00C95D6D">
      <w:rPr>
        <w:noProof/>
      </w:rPr>
      <w:drawing>
        <wp:inline distT="0" distB="0" distL="0" distR="0" wp14:anchorId="36E24712" wp14:editId="21CD3F7A">
          <wp:extent cx="3017520" cy="310896"/>
          <wp:effectExtent l="0" t="0" r="0" b="0"/>
          <wp:docPr id="19" name="Picture 19" descr="Q:\EE-62P\~~PMCO GENERAL\Communications\DOE Logos and Templates\EERE_identifiers\EERE Horizontal Identifiers\eere_logo_horiz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69537" name="Picture 2" descr="Q:\EE-62P\~~PMCO GENERAL\Communications\DOE Logos and Templates\EERE_identifiers\EERE Horizontal Identifiers\eere_logo_horiz_gree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17520" cy="310896"/>
                  </a:xfrm>
                  <a:prstGeom prst="rect">
                    <a:avLst/>
                  </a:prstGeom>
                  <a:noFill/>
                  <a:ln>
                    <a:noFill/>
                  </a:ln>
                </pic:spPr>
              </pic:pic>
            </a:graphicData>
          </a:graphic>
        </wp:inline>
      </w:drawing>
    </w:r>
    <w:r w:rsidRPr="009423D0">
      <w:rPr>
        <w:noProof/>
      </w:rPr>
      <mc:AlternateContent>
        <mc:Choice Requires="wps">
          <w:drawing>
            <wp:anchor distT="0" distB="0" distL="114300" distR="114300" simplePos="0" relativeHeight="251658243" behindDoc="1" locked="0" layoutInCell="1" allowOverlap="1" wp14:anchorId="5A08FF2A" wp14:editId="42043FA0">
              <wp:simplePos x="0" y="0"/>
              <wp:positionH relativeFrom="margin">
                <wp:posOffset>-50800</wp:posOffset>
              </wp:positionH>
              <wp:positionV relativeFrom="paragraph">
                <wp:posOffset>427990</wp:posOffset>
              </wp:positionV>
              <wp:extent cx="6217920" cy="0"/>
              <wp:effectExtent l="0" t="0" r="30480" b="19050"/>
              <wp:wrapNone/>
              <wp:docPr id="303" name="Straight Connector 303"/>
              <wp:cNvGraphicFramePr/>
              <a:graphic xmlns:a="http://schemas.openxmlformats.org/drawingml/2006/main">
                <a:graphicData uri="http://schemas.microsoft.com/office/word/2010/wordprocessingShape">
                  <wps:wsp>
                    <wps:cNvCnPr/>
                    <wps:spPr>
                      <a:xfrm>
                        <a:off x="0" y="0"/>
                        <a:ext cx="6217920"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1206F0" id="Straight Connector 303" o:spid="_x0000_s1026" style="position:absolute;z-index:-25165823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pt,33.7pt" to="485.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" strokecolor="gray [1629]" strokeweight="1.5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0390" w14:textId="70135D65" w:rsidR="000A0B55" w:rsidRPr="00F44784" w:rsidRDefault="000A0B55" w:rsidP="00F44784">
    <w:pPr>
      <w:pStyle w:val="Header"/>
    </w:pPr>
    <w:r>
      <w:rPr>
        <w:noProof/>
      </w:rPr>
      <mc:AlternateContent>
        <mc:Choice Requires="wps">
          <w:drawing>
            <wp:anchor distT="0" distB="0" distL="114300" distR="114300" simplePos="0" relativeHeight="251658249" behindDoc="0" locked="0" layoutInCell="1" allowOverlap="1" wp14:anchorId="31F2D5E7" wp14:editId="78A2C1FA">
              <wp:simplePos x="0" y="0"/>
              <wp:positionH relativeFrom="column">
                <wp:posOffset>2155190</wp:posOffset>
              </wp:positionH>
              <wp:positionV relativeFrom="paragraph">
                <wp:posOffset>-19050</wp:posOffset>
              </wp:positionV>
              <wp:extent cx="4302125" cy="5619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561975"/>
                      </a:xfrm>
                      <a:prstGeom prst="rect">
                        <a:avLst/>
                      </a:prstGeom>
                      <a:noFill/>
                      <a:ln w="9525">
                        <a:noFill/>
                        <a:miter lim="800000"/>
                        <a:headEnd/>
                        <a:tailEnd/>
                      </a:ln>
                    </wps:spPr>
                    <wps:txbx>
                      <w:txbxContent>
                        <w:p w14:paraId="25A683C7" w14:textId="77777777" w:rsidR="000A0B55" w:rsidRDefault="000A0B55" w:rsidP="00942CAD">
                          <w:pPr>
                            <w:ind w:left="720"/>
                            <w:jc w:val="right"/>
                            <w:rPr>
                              <w:rFonts w:ascii="Calibri" w:hAnsi="Calibri"/>
                              <w:b/>
                              <w:color w:val="FFFFFF" w:themeColor="background1"/>
                              <w:szCs w:val="24"/>
                            </w:rPr>
                          </w:pPr>
                          <w:r w:rsidRPr="006A531E">
                            <w:rPr>
                              <w:rFonts w:ascii="Calibri" w:hAnsi="Calibri"/>
                              <w:b/>
                              <w:color w:val="FFFFFF" w:themeColor="background1"/>
                              <w:szCs w:val="24"/>
                            </w:rPr>
                            <w:t>EERE T 540.117-01</w:t>
                          </w:r>
                          <w:r w:rsidRPr="004641EB">
                            <w:rPr>
                              <w:rFonts w:ascii="Calibri" w:hAnsi="Calibri"/>
                              <w:b/>
                              <w:color w:val="FFFFFF" w:themeColor="background1"/>
                              <w:szCs w:val="24"/>
                            </w:rPr>
                            <w:t xml:space="preserve">: </w:t>
                          </w:r>
                          <w:r>
                            <w:rPr>
                              <w:rFonts w:ascii="Calibri" w:hAnsi="Calibri"/>
                              <w:b/>
                              <w:color w:val="FFFFFF" w:themeColor="background1"/>
                              <w:szCs w:val="24"/>
                            </w:rPr>
                            <w:t>Funding Opportunity Announcement</w:t>
                          </w:r>
                        </w:p>
                        <w:p w14:paraId="001A26F7" w14:textId="77777777" w:rsidR="000A0B55" w:rsidRPr="00272D64" w:rsidRDefault="000A0B55" w:rsidP="00942CAD">
                          <w:pPr>
                            <w:ind w:left="720"/>
                            <w:jc w:val="right"/>
                            <w:rPr>
                              <w:rFonts w:ascii="Calibri" w:hAnsi="Calibri"/>
                              <w:b/>
                              <w:color w:val="FFFFFF" w:themeColor="background1"/>
                              <w:sz w:val="10"/>
                              <w:szCs w:val="10"/>
                            </w:rPr>
                          </w:pPr>
                        </w:p>
                        <w:p w14:paraId="065571A7" w14:textId="77777777" w:rsidR="000A0B55" w:rsidRPr="006E3D58" w:rsidRDefault="000A0B55" w:rsidP="00942CAD">
                          <w:pPr>
                            <w:ind w:left="720"/>
                            <w:jc w:val="right"/>
                            <w:rPr>
                              <w:rFonts w:ascii="Calibri" w:hAnsi="Calibri"/>
                              <w:b/>
                              <w:color w:val="FFFFFF" w:themeColor="background1"/>
                              <w:szCs w:val="24"/>
                            </w:rPr>
                          </w:pPr>
                        </w:p>
                        <w:p w14:paraId="16F5D5AF" w14:textId="77777777" w:rsidR="000A0B55" w:rsidRPr="006E3D58" w:rsidRDefault="000A0B55" w:rsidP="00942CAD">
                          <w:pPr>
                            <w:ind w:left="1440" w:firstLine="720"/>
                            <w:jc w:val="right"/>
                            <w:rPr>
                              <w:rFonts w:ascii="Calibri" w:hAnsi="Calibri"/>
                              <w:color w:val="FFFFFF" w:themeColor="background1"/>
                              <w:szCs w:val="24"/>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1F2D5E7" id="_x0000_t202" coordsize="21600,21600" o:spt="202" path="m,l,21600r21600,l21600,xe">
              <v:stroke joinstyle="miter"/>
              <v:path gradientshapeok="t" o:connecttype="rect"/>
            </v:shapetype>
            <v:shape id="Text Box 9" o:spid="_x0000_s1027" type="#_x0000_t202" style="position:absolute;margin-left:169.7pt;margin-top:-1.5pt;width:338.75pt;height:44.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" filled="f" stroked="f">
              <v:textbox>
                <w:txbxContent>
                  <w:p w14:paraId="25A683C7" w14:textId="77777777" w:rsidR="000A0B55" w:rsidRDefault="000A0B55" w:rsidP="00942CAD">
                    <w:pPr>
                      <w:ind w:left="720"/>
                      <w:jc w:val="right"/>
                      <w:rPr>
                        <w:rFonts w:ascii="Calibri" w:hAnsi="Calibri"/>
                        <w:b/>
                        <w:color w:val="FFFFFF" w:themeColor="background1"/>
                        <w:szCs w:val="24"/>
                      </w:rPr>
                    </w:pPr>
                    <w:r w:rsidRPr="006A531E">
                      <w:rPr>
                        <w:rFonts w:ascii="Calibri" w:hAnsi="Calibri"/>
                        <w:b/>
                        <w:color w:val="FFFFFF" w:themeColor="background1"/>
                        <w:szCs w:val="24"/>
                      </w:rPr>
                      <w:t>EERE T 540.117-01</w:t>
                    </w:r>
                    <w:r w:rsidRPr="004641EB">
                      <w:rPr>
                        <w:rFonts w:ascii="Calibri" w:hAnsi="Calibri"/>
                        <w:b/>
                        <w:color w:val="FFFFFF" w:themeColor="background1"/>
                        <w:szCs w:val="24"/>
                      </w:rPr>
                      <w:t xml:space="preserve">: </w:t>
                    </w:r>
                    <w:r>
                      <w:rPr>
                        <w:rFonts w:ascii="Calibri" w:hAnsi="Calibri"/>
                        <w:b/>
                        <w:color w:val="FFFFFF" w:themeColor="background1"/>
                        <w:szCs w:val="24"/>
                      </w:rPr>
                      <w:t>Funding Opportunity Announcement</w:t>
                    </w:r>
                  </w:p>
                  <w:p w14:paraId="001A26F7" w14:textId="77777777" w:rsidR="000A0B55" w:rsidRPr="00272D64" w:rsidRDefault="000A0B55" w:rsidP="00942CAD">
                    <w:pPr>
                      <w:ind w:left="720"/>
                      <w:jc w:val="right"/>
                      <w:rPr>
                        <w:rFonts w:ascii="Calibri" w:hAnsi="Calibri"/>
                        <w:b/>
                        <w:color w:val="FFFFFF" w:themeColor="background1"/>
                        <w:sz w:val="10"/>
                        <w:szCs w:val="10"/>
                      </w:rPr>
                    </w:pPr>
                  </w:p>
                  <w:p w14:paraId="065571A7" w14:textId="77777777" w:rsidR="000A0B55" w:rsidRPr="006E3D58" w:rsidRDefault="000A0B55" w:rsidP="00942CAD">
                    <w:pPr>
                      <w:ind w:left="720"/>
                      <w:jc w:val="right"/>
                      <w:rPr>
                        <w:rFonts w:ascii="Calibri" w:hAnsi="Calibri"/>
                        <w:b/>
                        <w:color w:val="FFFFFF" w:themeColor="background1"/>
                        <w:szCs w:val="24"/>
                      </w:rPr>
                    </w:pPr>
                  </w:p>
                  <w:p w14:paraId="16F5D5AF" w14:textId="77777777" w:rsidR="000A0B55" w:rsidRPr="006E3D58" w:rsidRDefault="000A0B55" w:rsidP="00942CAD">
                    <w:pPr>
                      <w:ind w:left="1440" w:firstLine="720"/>
                      <w:jc w:val="right"/>
                      <w:rPr>
                        <w:rFonts w:ascii="Calibri" w:hAnsi="Calibri"/>
                        <w:color w:val="FFFFFF" w:themeColor="background1"/>
                        <w:szCs w:val="24"/>
                      </w:rPr>
                    </w:pPr>
                  </w:p>
                </w:txbxContent>
              </v:textbox>
            </v:shape>
          </w:pict>
        </mc:Fallback>
      </mc:AlternateContent>
    </w:r>
    <w:r>
      <w:rPr>
        <w:rFonts w:cstheme="minorBidi"/>
        <w:noProof/>
        <w:szCs w:val="24"/>
      </w:rPr>
      <mc:AlternateContent>
        <mc:Choice Requires="wpg">
          <w:drawing>
            <wp:anchor distT="0" distB="0" distL="114300" distR="114300" simplePos="0" relativeHeight="251658248" behindDoc="0" locked="0" layoutInCell="1" allowOverlap="1" wp14:anchorId="70E39C68" wp14:editId="4F8CAE0B">
              <wp:simplePos x="0" y="0"/>
              <wp:positionH relativeFrom="column">
                <wp:posOffset>-390525</wp:posOffset>
              </wp:positionH>
              <wp:positionV relativeFrom="paragraph">
                <wp:posOffset>-190500</wp:posOffset>
              </wp:positionV>
              <wp:extent cx="6843077" cy="649449"/>
              <wp:effectExtent l="0" t="0" r="0" b="0"/>
              <wp:wrapNone/>
              <wp:docPr id="26" name="Group 26"/>
              <wp:cNvGraphicFramePr/>
              <a:graphic xmlns:a="http://schemas.openxmlformats.org/drawingml/2006/main">
                <a:graphicData uri="http://schemas.microsoft.com/office/word/2010/wordprocessingGroup">
                  <wpg:wgp>
                    <wpg:cNvGrpSpPr/>
                    <wpg:grpSpPr>
                      <a:xfrm>
                        <a:off x="0" y="0"/>
                        <a:ext cx="6843077" cy="649449"/>
                        <a:chOff x="0" y="0"/>
                        <a:chExt cx="6843077" cy="649449"/>
                      </a:xfrm>
                    </wpg:grpSpPr>
                    <wps:wsp>
                      <wps:cNvPr id="22" name="Rectangle 22"/>
                      <wps:cNvSpPr/>
                      <wps:spPr>
                        <a:xfrm>
                          <a:off x="0" y="0"/>
                          <a:ext cx="6838950" cy="609600"/>
                        </a:xfrm>
                        <a:prstGeom prst="rect">
                          <a:avLst/>
                        </a:prstGeom>
                        <a:solidFill>
                          <a:srgbClr val="0079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601824"/>
                          <a:ext cx="6838950" cy="47625"/>
                        </a:xfrm>
                        <a:prstGeom prst="rect">
                          <a:avLst/>
                        </a:prstGeom>
                        <a:solidFill>
                          <a:srgbClr val="5B66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814804" y="601824"/>
                          <a:ext cx="5028273" cy="45719"/>
                        </a:xfrm>
                        <a:prstGeom prst="rect">
                          <a:avLst/>
                        </a:prstGeom>
                        <a:solidFill>
                          <a:srgbClr val="76BC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121298" y="158620"/>
                          <a:ext cx="2738120" cy="28575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215FA2C3" id="Group 26" o:spid="_x0000_s1026" style="position:absolute;margin-left:-30.75pt;margin-top:-15pt;width:538.8pt;height:51.15pt;z-index:251658248;mso-width-relative:margin;mso-height-relative:margin" coordsize="68430,6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">
              <v:rect id="Rectangle 22" o:spid="_x0000_s1027" style="position:absolute;width:6838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" fillcolor="#007934" stroked="f" strokeweight="2pt"/>
              <v:rect id="Rectangle 23" o:spid="_x0000_s1028" style="position:absolute;top:6018;width:68389;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" fillcolor="#5b6670" stroked="f" strokeweight="2pt"/>
              <v:rect id="Rectangle 24" o:spid="_x0000_s1029" style="position:absolute;left:18148;top:6018;width:5028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" fillcolor="#76bc21"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0" type="#_x0000_t75" style="position:absolute;left:1212;top:1586;width:2738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&#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046C" w14:textId="77777777" w:rsidR="000A0B55" w:rsidRDefault="000A0B55">
    <w:pPr>
      <w:pStyle w:val="Header"/>
    </w:pPr>
    <w:r>
      <w:rPr>
        <w:i/>
        <w:noProof/>
        <w:sz w:val="20"/>
      </w:rPr>
      <mc:AlternateContent>
        <mc:Choice Requires="wps">
          <w:drawing>
            <wp:anchor distT="0" distB="0" distL="114300" distR="114300" simplePos="0" relativeHeight="251658241" behindDoc="1" locked="0" layoutInCell="1" allowOverlap="1" wp14:anchorId="79888329" wp14:editId="051CA3E6">
              <wp:simplePos x="0" y="0"/>
              <wp:positionH relativeFrom="margin">
                <wp:align>left</wp:align>
              </wp:positionH>
              <wp:positionV relativeFrom="paragraph">
                <wp:posOffset>389890</wp:posOffset>
              </wp:positionV>
              <wp:extent cx="6217920" cy="0"/>
              <wp:effectExtent l="0" t="0" r="30480" b="19050"/>
              <wp:wrapNone/>
              <wp:docPr id="297" name="Straight Connector 297"/>
              <wp:cNvGraphicFramePr/>
              <a:graphic xmlns:a="http://schemas.openxmlformats.org/drawingml/2006/main">
                <a:graphicData uri="http://schemas.microsoft.com/office/word/2010/wordprocessingShape">
                  <wps:wsp>
                    <wps:cNvCnPr/>
                    <wps:spPr>
                      <a:xfrm>
                        <a:off x="0" y="0"/>
                        <a:ext cx="6217920"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5E7945" id="Straight Connector 297" o:spid="_x0000_s1026" style="position:absolute;z-index:-251658239;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0.7pt" to="489.6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" strokecolor="gray [1629]" strokeweight="1.5pt">
              <w10:wrap anchorx="margin"/>
            </v:line>
          </w:pict>
        </mc:Fallback>
      </mc:AlternateContent>
    </w:r>
    <w:r w:rsidRPr="00C95D6D">
      <w:rPr>
        <w:noProof/>
      </w:rPr>
      <w:drawing>
        <wp:inline distT="0" distB="0" distL="0" distR="0" wp14:anchorId="36C86687" wp14:editId="411216D2">
          <wp:extent cx="3017520" cy="310896"/>
          <wp:effectExtent l="0" t="0" r="0" b="0"/>
          <wp:docPr id="6" name="Picture 6" descr="Q:\EE-62P\~~PMCO GENERAL\Communications\DOE Logos and Templates\EERE_identifiers\EERE Horizontal Identifiers\eere_logo_horiz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546839" name="Picture 2" descr="Q:\EE-62P\~~PMCO GENERAL\Communications\DOE Logos and Templates\EERE_identifiers\EERE Horizontal Identifiers\eere_logo_horiz_gree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17520" cy="31089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498D" w14:textId="29AEB095" w:rsidR="000A0B55" w:rsidRDefault="000A0B55">
    <w:pPr>
      <w:pStyle w:val="Header"/>
    </w:pPr>
    <w:r>
      <w:rPr>
        <w:i/>
        <w:noProof/>
        <w:sz w:val="20"/>
      </w:rPr>
      <mc:AlternateContent>
        <mc:Choice Requires="wps">
          <w:drawing>
            <wp:anchor distT="0" distB="0" distL="114300" distR="114300" simplePos="0" relativeHeight="251658244" behindDoc="1" locked="0" layoutInCell="1" allowOverlap="1" wp14:anchorId="0C10095F" wp14:editId="5E4444CC">
              <wp:simplePos x="0" y="0"/>
              <wp:positionH relativeFrom="margin">
                <wp:align>left</wp:align>
              </wp:positionH>
              <wp:positionV relativeFrom="paragraph">
                <wp:posOffset>439759</wp:posOffset>
              </wp:positionV>
              <wp:extent cx="6217920" cy="13648"/>
              <wp:effectExtent l="0" t="0" r="30480" b="24765"/>
              <wp:wrapNone/>
              <wp:docPr id="296" name="Straight Connector 296"/>
              <wp:cNvGraphicFramePr/>
              <a:graphic xmlns:a="http://schemas.openxmlformats.org/drawingml/2006/main">
                <a:graphicData uri="http://schemas.microsoft.com/office/word/2010/wordprocessingShape">
                  <wps:wsp>
                    <wps:cNvCnPr/>
                    <wps:spPr>
                      <a:xfrm flipV="1">
                        <a:off x="0" y="0"/>
                        <a:ext cx="6217920" cy="13648"/>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09555" id="Straight Connector 296" o:spid="_x0000_s1026" style="position:absolute;flip:y;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65pt" to="489.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" strokecolor="gray [1629]" strokeweight="1.5pt">
              <w10:wrap anchorx="margin"/>
            </v:line>
          </w:pict>
        </mc:Fallback>
      </mc:AlternateContent>
    </w:r>
    <w:r w:rsidRPr="00C95D6D">
      <w:rPr>
        <w:noProof/>
      </w:rPr>
      <w:drawing>
        <wp:inline distT="0" distB="0" distL="0" distR="0" wp14:anchorId="7C10244A" wp14:editId="124D3774">
          <wp:extent cx="3017520" cy="310896"/>
          <wp:effectExtent l="0" t="0" r="0" b="0"/>
          <wp:docPr id="21" name="Picture 21" descr="Q:\EE-62P\~~PMCO GENERAL\Communications\DOE Logos and Templates\EERE_identifiers\EERE Horizontal Identifiers\eere_logo_horiz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51086" name="Picture 2" descr="Q:\EE-62P\~~PMCO GENERAL\Communications\DOE Logos and Templates\EERE_identifiers\EERE Horizontal Identifiers\eere_logo_horiz_gree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17520" cy="310896"/>
                  </a:xfrm>
                  <a:prstGeom prst="rect">
                    <a:avLst/>
                  </a:prstGeom>
                  <a:noFill/>
                  <a:ln>
                    <a:noFill/>
                  </a:ln>
                </pic:spPr>
              </pic:pic>
            </a:graphicData>
          </a:graphic>
        </wp:inline>
      </w:drawing>
    </w:r>
  </w:p>
  <w:p w14:paraId="2DB90851" w14:textId="77777777" w:rsidR="002C2703" w:rsidRDefault="002C2703" w:rsidP="002C2703">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EDE4BE8"/>
    <w:lvl w:ilvl="0">
      <w:start w:val="1"/>
      <w:numFmt w:val="decimal"/>
      <w:lvlText w:val="(%1)"/>
      <w:lvlJc w:val="left"/>
      <w:pPr>
        <w:ind w:left="7020" w:hanging="360"/>
      </w:pPr>
      <w:rPr>
        <w:rFonts w:hint="default"/>
        <w:b/>
        <w:bCs w:val="0"/>
        <w:sz w:val="24"/>
        <w:szCs w:val="24"/>
      </w:rPr>
    </w:lvl>
    <w:lvl w:ilvl="1">
      <w:numFmt w:val="bullet"/>
      <w:lvlText w:val="•"/>
      <w:lvlJc w:val="left"/>
      <w:pPr>
        <w:ind w:left="5025" w:hanging="360"/>
      </w:pPr>
      <w:rPr>
        <w:rFonts w:hint="default"/>
      </w:rPr>
    </w:lvl>
    <w:lvl w:ilvl="2">
      <w:numFmt w:val="bullet"/>
      <w:lvlText w:val="•"/>
      <w:lvlJc w:val="left"/>
      <w:pPr>
        <w:ind w:left="5867" w:hanging="360"/>
      </w:pPr>
      <w:rPr>
        <w:rFonts w:hint="default"/>
      </w:rPr>
    </w:lvl>
    <w:lvl w:ilvl="3">
      <w:numFmt w:val="bullet"/>
      <w:lvlText w:val="•"/>
      <w:lvlJc w:val="left"/>
      <w:pPr>
        <w:ind w:left="6709" w:hanging="360"/>
      </w:pPr>
      <w:rPr>
        <w:rFonts w:hint="default"/>
      </w:rPr>
    </w:lvl>
    <w:lvl w:ilvl="4">
      <w:numFmt w:val="bullet"/>
      <w:lvlText w:val="•"/>
      <w:lvlJc w:val="left"/>
      <w:pPr>
        <w:ind w:left="7550" w:hanging="360"/>
      </w:pPr>
      <w:rPr>
        <w:rFonts w:hint="default"/>
      </w:rPr>
    </w:lvl>
    <w:lvl w:ilvl="5">
      <w:numFmt w:val="bullet"/>
      <w:lvlText w:val="•"/>
      <w:lvlJc w:val="left"/>
      <w:pPr>
        <w:ind w:left="8392" w:hanging="360"/>
      </w:pPr>
      <w:rPr>
        <w:rFonts w:hint="default"/>
      </w:rPr>
    </w:lvl>
    <w:lvl w:ilvl="6">
      <w:numFmt w:val="bullet"/>
      <w:lvlText w:val="•"/>
      <w:lvlJc w:val="left"/>
      <w:pPr>
        <w:ind w:left="9233" w:hanging="360"/>
      </w:pPr>
      <w:rPr>
        <w:rFonts w:hint="default"/>
      </w:rPr>
    </w:lvl>
    <w:lvl w:ilvl="7">
      <w:numFmt w:val="bullet"/>
      <w:lvlText w:val="•"/>
      <w:lvlJc w:val="left"/>
      <w:pPr>
        <w:ind w:left="10075" w:hanging="360"/>
      </w:pPr>
      <w:rPr>
        <w:rFonts w:hint="default"/>
      </w:rPr>
    </w:lvl>
    <w:lvl w:ilvl="8">
      <w:numFmt w:val="bullet"/>
      <w:lvlText w:val="•"/>
      <w:lvlJc w:val="left"/>
      <w:pPr>
        <w:ind w:left="10916" w:hanging="360"/>
      </w:pPr>
      <w:rPr>
        <w:rFonts w:hint="default"/>
      </w:rPr>
    </w:lvl>
  </w:abstractNum>
  <w:abstractNum w:abstractNumId="1" w15:restartNumberingAfterBreak="0">
    <w:nsid w:val="000B4F81"/>
    <w:multiLevelType w:val="hybridMultilevel"/>
    <w:tmpl w:val="81703130"/>
    <w:lvl w:ilvl="0" w:tplc="700C0C2C">
      <w:numFmt w:val="bullet"/>
      <w:lvlText w:val=""/>
      <w:lvlJc w:val="left"/>
      <w:pPr>
        <w:ind w:left="2280" w:hanging="360"/>
      </w:pPr>
      <w:rPr>
        <w:rFonts w:ascii="Wingdings" w:eastAsia="Wingdings" w:hAnsi="Wingdings" w:cs="Wingdings" w:hint="default"/>
        <w:b w:val="0"/>
        <w:bCs w:val="0"/>
        <w:i w:val="0"/>
        <w:iCs w:val="0"/>
        <w:w w:val="100"/>
        <w:sz w:val="24"/>
        <w:szCs w:val="24"/>
        <w:lang w:val="en-US" w:eastAsia="en-US" w:bidi="ar-SA"/>
      </w:rPr>
    </w:lvl>
    <w:lvl w:ilvl="1" w:tplc="2EF49B5C">
      <w:numFmt w:val="bullet"/>
      <w:lvlText w:val="•"/>
      <w:lvlJc w:val="left"/>
      <w:pPr>
        <w:ind w:left="3084" w:hanging="360"/>
      </w:pPr>
      <w:rPr>
        <w:rFonts w:hint="default"/>
        <w:lang w:val="en-US" w:eastAsia="en-US" w:bidi="ar-SA"/>
      </w:rPr>
    </w:lvl>
    <w:lvl w:ilvl="2" w:tplc="885CD1DA">
      <w:numFmt w:val="bullet"/>
      <w:lvlText w:val="•"/>
      <w:lvlJc w:val="left"/>
      <w:pPr>
        <w:ind w:left="3888" w:hanging="360"/>
      </w:pPr>
      <w:rPr>
        <w:rFonts w:hint="default"/>
        <w:lang w:val="en-US" w:eastAsia="en-US" w:bidi="ar-SA"/>
      </w:rPr>
    </w:lvl>
    <w:lvl w:ilvl="3" w:tplc="4566E766">
      <w:numFmt w:val="bullet"/>
      <w:lvlText w:val="•"/>
      <w:lvlJc w:val="left"/>
      <w:pPr>
        <w:ind w:left="4692" w:hanging="360"/>
      </w:pPr>
      <w:rPr>
        <w:rFonts w:hint="default"/>
        <w:lang w:val="en-US" w:eastAsia="en-US" w:bidi="ar-SA"/>
      </w:rPr>
    </w:lvl>
    <w:lvl w:ilvl="4" w:tplc="DB6EBDB8">
      <w:numFmt w:val="bullet"/>
      <w:lvlText w:val="•"/>
      <w:lvlJc w:val="left"/>
      <w:pPr>
        <w:ind w:left="5496" w:hanging="360"/>
      </w:pPr>
      <w:rPr>
        <w:rFonts w:hint="default"/>
        <w:lang w:val="en-US" w:eastAsia="en-US" w:bidi="ar-SA"/>
      </w:rPr>
    </w:lvl>
    <w:lvl w:ilvl="5" w:tplc="BCEE9B6A">
      <w:numFmt w:val="bullet"/>
      <w:lvlText w:val="•"/>
      <w:lvlJc w:val="left"/>
      <w:pPr>
        <w:ind w:left="6300" w:hanging="360"/>
      </w:pPr>
      <w:rPr>
        <w:rFonts w:hint="default"/>
        <w:lang w:val="en-US" w:eastAsia="en-US" w:bidi="ar-SA"/>
      </w:rPr>
    </w:lvl>
    <w:lvl w:ilvl="6" w:tplc="B58EA53E">
      <w:numFmt w:val="bullet"/>
      <w:lvlText w:val="•"/>
      <w:lvlJc w:val="left"/>
      <w:pPr>
        <w:ind w:left="7104" w:hanging="360"/>
      </w:pPr>
      <w:rPr>
        <w:rFonts w:hint="default"/>
        <w:lang w:val="en-US" w:eastAsia="en-US" w:bidi="ar-SA"/>
      </w:rPr>
    </w:lvl>
    <w:lvl w:ilvl="7" w:tplc="AF086C76">
      <w:numFmt w:val="bullet"/>
      <w:lvlText w:val="•"/>
      <w:lvlJc w:val="left"/>
      <w:pPr>
        <w:ind w:left="7908" w:hanging="360"/>
      </w:pPr>
      <w:rPr>
        <w:rFonts w:hint="default"/>
        <w:lang w:val="en-US" w:eastAsia="en-US" w:bidi="ar-SA"/>
      </w:rPr>
    </w:lvl>
    <w:lvl w:ilvl="8" w:tplc="81A03A40">
      <w:numFmt w:val="bullet"/>
      <w:lvlText w:val="•"/>
      <w:lvlJc w:val="left"/>
      <w:pPr>
        <w:ind w:left="8712" w:hanging="360"/>
      </w:pPr>
      <w:rPr>
        <w:rFonts w:hint="default"/>
        <w:lang w:val="en-US" w:eastAsia="en-US" w:bidi="ar-SA"/>
      </w:rPr>
    </w:lvl>
  </w:abstractNum>
  <w:abstractNum w:abstractNumId="2" w15:restartNumberingAfterBreak="0">
    <w:nsid w:val="00CE03A0"/>
    <w:multiLevelType w:val="hybridMultilevel"/>
    <w:tmpl w:val="7F14BA42"/>
    <w:lvl w:ilvl="0" w:tplc="E6A86EBC">
      <w:start w:val="1"/>
      <w:numFmt w:val="bullet"/>
      <w:lvlText w:val=""/>
      <w:lvlJc w:val="left"/>
      <w:pPr>
        <w:ind w:left="720" w:hanging="360"/>
      </w:pPr>
      <w:rPr>
        <w:rFonts w:ascii="Symbol" w:hAnsi="Symbol" w:hint="default"/>
      </w:rPr>
    </w:lvl>
    <w:lvl w:ilvl="1" w:tplc="89E22998" w:tentative="1">
      <w:start w:val="1"/>
      <w:numFmt w:val="bullet"/>
      <w:lvlText w:val="o"/>
      <w:lvlJc w:val="left"/>
      <w:pPr>
        <w:ind w:left="1440" w:hanging="360"/>
      </w:pPr>
      <w:rPr>
        <w:rFonts w:ascii="Courier New" w:hAnsi="Courier New" w:cs="Courier New" w:hint="default"/>
      </w:rPr>
    </w:lvl>
    <w:lvl w:ilvl="2" w:tplc="23888A46" w:tentative="1">
      <w:start w:val="1"/>
      <w:numFmt w:val="bullet"/>
      <w:lvlText w:val=""/>
      <w:lvlJc w:val="left"/>
      <w:pPr>
        <w:ind w:left="2160" w:hanging="360"/>
      </w:pPr>
      <w:rPr>
        <w:rFonts w:ascii="Wingdings" w:hAnsi="Wingdings" w:hint="default"/>
      </w:rPr>
    </w:lvl>
    <w:lvl w:ilvl="3" w:tplc="064856B0" w:tentative="1">
      <w:start w:val="1"/>
      <w:numFmt w:val="bullet"/>
      <w:lvlText w:val=""/>
      <w:lvlJc w:val="left"/>
      <w:pPr>
        <w:ind w:left="2880" w:hanging="360"/>
      </w:pPr>
      <w:rPr>
        <w:rFonts w:ascii="Symbol" w:hAnsi="Symbol" w:hint="default"/>
      </w:rPr>
    </w:lvl>
    <w:lvl w:ilvl="4" w:tplc="F9D28BE2" w:tentative="1">
      <w:start w:val="1"/>
      <w:numFmt w:val="bullet"/>
      <w:lvlText w:val="o"/>
      <w:lvlJc w:val="left"/>
      <w:pPr>
        <w:ind w:left="3600" w:hanging="360"/>
      </w:pPr>
      <w:rPr>
        <w:rFonts w:ascii="Courier New" w:hAnsi="Courier New" w:cs="Courier New" w:hint="default"/>
      </w:rPr>
    </w:lvl>
    <w:lvl w:ilvl="5" w:tplc="EE6411DE" w:tentative="1">
      <w:start w:val="1"/>
      <w:numFmt w:val="bullet"/>
      <w:lvlText w:val=""/>
      <w:lvlJc w:val="left"/>
      <w:pPr>
        <w:ind w:left="4320" w:hanging="360"/>
      </w:pPr>
      <w:rPr>
        <w:rFonts w:ascii="Wingdings" w:hAnsi="Wingdings" w:hint="default"/>
      </w:rPr>
    </w:lvl>
    <w:lvl w:ilvl="6" w:tplc="EE9A1556" w:tentative="1">
      <w:start w:val="1"/>
      <w:numFmt w:val="bullet"/>
      <w:lvlText w:val=""/>
      <w:lvlJc w:val="left"/>
      <w:pPr>
        <w:ind w:left="5040" w:hanging="360"/>
      </w:pPr>
      <w:rPr>
        <w:rFonts w:ascii="Symbol" w:hAnsi="Symbol" w:hint="default"/>
      </w:rPr>
    </w:lvl>
    <w:lvl w:ilvl="7" w:tplc="EBA4970A" w:tentative="1">
      <w:start w:val="1"/>
      <w:numFmt w:val="bullet"/>
      <w:lvlText w:val="o"/>
      <w:lvlJc w:val="left"/>
      <w:pPr>
        <w:ind w:left="5760" w:hanging="360"/>
      </w:pPr>
      <w:rPr>
        <w:rFonts w:ascii="Courier New" w:hAnsi="Courier New" w:cs="Courier New" w:hint="default"/>
      </w:rPr>
    </w:lvl>
    <w:lvl w:ilvl="8" w:tplc="BEBE185C" w:tentative="1">
      <w:start w:val="1"/>
      <w:numFmt w:val="bullet"/>
      <w:lvlText w:val=""/>
      <w:lvlJc w:val="left"/>
      <w:pPr>
        <w:ind w:left="6480" w:hanging="360"/>
      </w:pPr>
      <w:rPr>
        <w:rFonts w:ascii="Wingdings" w:hAnsi="Wingdings" w:hint="default"/>
      </w:rPr>
    </w:lvl>
  </w:abstractNum>
  <w:abstractNum w:abstractNumId="3" w15:restartNumberingAfterBreak="0">
    <w:nsid w:val="01676E0B"/>
    <w:multiLevelType w:val="hybridMultilevel"/>
    <w:tmpl w:val="AD3695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05D03678"/>
    <w:multiLevelType w:val="hybridMultilevel"/>
    <w:tmpl w:val="E4948DDA"/>
    <w:lvl w:ilvl="0" w:tplc="25020022">
      <w:start w:val="1"/>
      <w:numFmt w:val="decimal"/>
      <w:lvlText w:val="(%1)"/>
      <w:lvlJc w:val="left"/>
      <w:pPr>
        <w:ind w:left="720" w:hanging="360"/>
      </w:pPr>
      <w:rPr>
        <w:rFonts w:hint="default"/>
        <w:b/>
      </w:rPr>
    </w:lvl>
    <w:lvl w:ilvl="1" w:tplc="6B946A60" w:tentative="1">
      <w:start w:val="1"/>
      <w:numFmt w:val="lowerLetter"/>
      <w:lvlText w:val="%2."/>
      <w:lvlJc w:val="left"/>
      <w:pPr>
        <w:ind w:left="1440" w:hanging="360"/>
      </w:pPr>
    </w:lvl>
    <w:lvl w:ilvl="2" w:tplc="5B4E244A" w:tentative="1">
      <w:start w:val="1"/>
      <w:numFmt w:val="lowerRoman"/>
      <w:lvlText w:val="%3."/>
      <w:lvlJc w:val="right"/>
      <w:pPr>
        <w:ind w:left="2160" w:hanging="180"/>
      </w:pPr>
    </w:lvl>
    <w:lvl w:ilvl="3" w:tplc="7AF21792" w:tentative="1">
      <w:start w:val="1"/>
      <w:numFmt w:val="decimal"/>
      <w:lvlText w:val="%4."/>
      <w:lvlJc w:val="left"/>
      <w:pPr>
        <w:ind w:left="2880" w:hanging="360"/>
      </w:pPr>
    </w:lvl>
    <w:lvl w:ilvl="4" w:tplc="AFF2896E" w:tentative="1">
      <w:start w:val="1"/>
      <w:numFmt w:val="lowerLetter"/>
      <w:lvlText w:val="%5."/>
      <w:lvlJc w:val="left"/>
      <w:pPr>
        <w:ind w:left="3600" w:hanging="360"/>
      </w:pPr>
    </w:lvl>
    <w:lvl w:ilvl="5" w:tplc="A454C9A4" w:tentative="1">
      <w:start w:val="1"/>
      <w:numFmt w:val="lowerRoman"/>
      <w:lvlText w:val="%6."/>
      <w:lvlJc w:val="right"/>
      <w:pPr>
        <w:ind w:left="4320" w:hanging="180"/>
      </w:pPr>
    </w:lvl>
    <w:lvl w:ilvl="6" w:tplc="51BC2486" w:tentative="1">
      <w:start w:val="1"/>
      <w:numFmt w:val="decimal"/>
      <w:lvlText w:val="%7."/>
      <w:lvlJc w:val="left"/>
      <w:pPr>
        <w:ind w:left="5040" w:hanging="360"/>
      </w:pPr>
    </w:lvl>
    <w:lvl w:ilvl="7" w:tplc="986E19B4" w:tentative="1">
      <w:start w:val="1"/>
      <w:numFmt w:val="lowerLetter"/>
      <w:lvlText w:val="%8."/>
      <w:lvlJc w:val="left"/>
      <w:pPr>
        <w:ind w:left="5760" w:hanging="360"/>
      </w:pPr>
    </w:lvl>
    <w:lvl w:ilvl="8" w:tplc="819CA338" w:tentative="1">
      <w:start w:val="1"/>
      <w:numFmt w:val="lowerRoman"/>
      <w:lvlText w:val="%9."/>
      <w:lvlJc w:val="right"/>
      <w:pPr>
        <w:ind w:left="6480" w:hanging="180"/>
      </w:pPr>
    </w:lvl>
  </w:abstractNum>
  <w:abstractNum w:abstractNumId="5" w15:restartNumberingAfterBreak="0">
    <w:nsid w:val="074222E6"/>
    <w:multiLevelType w:val="hybridMultilevel"/>
    <w:tmpl w:val="EE2E02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820A4B"/>
    <w:multiLevelType w:val="hybridMultilevel"/>
    <w:tmpl w:val="0E4259CC"/>
    <w:lvl w:ilvl="0" w:tplc="86947CD2">
      <w:start w:val="1"/>
      <w:numFmt w:val="bullet"/>
      <w:lvlText w:val=""/>
      <w:lvlJc w:val="left"/>
      <w:pPr>
        <w:ind w:left="720" w:hanging="360"/>
      </w:pPr>
      <w:rPr>
        <w:rFonts w:ascii="Symbol" w:hAnsi="Symbol" w:hint="default"/>
      </w:rPr>
    </w:lvl>
    <w:lvl w:ilvl="1" w:tplc="2250D224" w:tentative="1">
      <w:start w:val="1"/>
      <w:numFmt w:val="bullet"/>
      <w:lvlText w:val="o"/>
      <w:lvlJc w:val="left"/>
      <w:pPr>
        <w:ind w:left="1440" w:hanging="360"/>
      </w:pPr>
      <w:rPr>
        <w:rFonts w:ascii="Courier New" w:hAnsi="Courier New" w:cs="Courier New" w:hint="default"/>
      </w:rPr>
    </w:lvl>
    <w:lvl w:ilvl="2" w:tplc="31A01694" w:tentative="1">
      <w:start w:val="1"/>
      <w:numFmt w:val="bullet"/>
      <w:lvlText w:val=""/>
      <w:lvlJc w:val="left"/>
      <w:pPr>
        <w:ind w:left="2160" w:hanging="360"/>
      </w:pPr>
      <w:rPr>
        <w:rFonts w:ascii="Wingdings" w:hAnsi="Wingdings" w:hint="default"/>
      </w:rPr>
    </w:lvl>
    <w:lvl w:ilvl="3" w:tplc="B2ACEEB6" w:tentative="1">
      <w:start w:val="1"/>
      <w:numFmt w:val="bullet"/>
      <w:lvlText w:val=""/>
      <w:lvlJc w:val="left"/>
      <w:pPr>
        <w:ind w:left="2880" w:hanging="360"/>
      </w:pPr>
      <w:rPr>
        <w:rFonts w:ascii="Symbol" w:hAnsi="Symbol" w:hint="default"/>
      </w:rPr>
    </w:lvl>
    <w:lvl w:ilvl="4" w:tplc="707838B0" w:tentative="1">
      <w:start w:val="1"/>
      <w:numFmt w:val="bullet"/>
      <w:lvlText w:val="o"/>
      <w:lvlJc w:val="left"/>
      <w:pPr>
        <w:ind w:left="3600" w:hanging="360"/>
      </w:pPr>
      <w:rPr>
        <w:rFonts w:ascii="Courier New" w:hAnsi="Courier New" w:cs="Courier New" w:hint="default"/>
      </w:rPr>
    </w:lvl>
    <w:lvl w:ilvl="5" w:tplc="36A82922" w:tentative="1">
      <w:start w:val="1"/>
      <w:numFmt w:val="bullet"/>
      <w:lvlText w:val=""/>
      <w:lvlJc w:val="left"/>
      <w:pPr>
        <w:ind w:left="4320" w:hanging="360"/>
      </w:pPr>
      <w:rPr>
        <w:rFonts w:ascii="Wingdings" w:hAnsi="Wingdings" w:hint="default"/>
      </w:rPr>
    </w:lvl>
    <w:lvl w:ilvl="6" w:tplc="6A0A6112" w:tentative="1">
      <w:start w:val="1"/>
      <w:numFmt w:val="bullet"/>
      <w:lvlText w:val=""/>
      <w:lvlJc w:val="left"/>
      <w:pPr>
        <w:ind w:left="5040" w:hanging="360"/>
      </w:pPr>
      <w:rPr>
        <w:rFonts w:ascii="Symbol" w:hAnsi="Symbol" w:hint="default"/>
      </w:rPr>
    </w:lvl>
    <w:lvl w:ilvl="7" w:tplc="748ECF70" w:tentative="1">
      <w:start w:val="1"/>
      <w:numFmt w:val="bullet"/>
      <w:lvlText w:val="o"/>
      <w:lvlJc w:val="left"/>
      <w:pPr>
        <w:ind w:left="5760" w:hanging="360"/>
      </w:pPr>
      <w:rPr>
        <w:rFonts w:ascii="Courier New" w:hAnsi="Courier New" w:cs="Courier New" w:hint="default"/>
      </w:rPr>
    </w:lvl>
    <w:lvl w:ilvl="8" w:tplc="79205CB8" w:tentative="1">
      <w:start w:val="1"/>
      <w:numFmt w:val="bullet"/>
      <w:lvlText w:val=""/>
      <w:lvlJc w:val="left"/>
      <w:pPr>
        <w:ind w:left="6480" w:hanging="360"/>
      </w:pPr>
      <w:rPr>
        <w:rFonts w:ascii="Wingdings" w:hAnsi="Wingdings" w:hint="default"/>
      </w:rPr>
    </w:lvl>
  </w:abstractNum>
  <w:abstractNum w:abstractNumId="7" w15:restartNumberingAfterBreak="0">
    <w:nsid w:val="08DE5DEB"/>
    <w:multiLevelType w:val="hybridMultilevel"/>
    <w:tmpl w:val="81E24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41249"/>
    <w:multiLevelType w:val="hybridMultilevel"/>
    <w:tmpl w:val="7BD86776"/>
    <w:lvl w:ilvl="0" w:tplc="461606E8">
      <w:start w:val="1"/>
      <w:numFmt w:val="bullet"/>
      <w:lvlText w:val=""/>
      <w:lvlJc w:val="left"/>
      <w:pPr>
        <w:ind w:left="720" w:hanging="360"/>
      </w:pPr>
      <w:rPr>
        <w:rFonts w:ascii="Symbol" w:hAnsi="Symbol"/>
      </w:rPr>
    </w:lvl>
    <w:lvl w:ilvl="1" w:tplc="38683E6E">
      <w:start w:val="1"/>
      <w:numFmt w:val="bullet"/>
      <w:lvlText w:val="o"/>
      <w:lvlJc w:val="left"/>
      <w:pPr>
        <w:ind w:left="1440" w:hanging="360"/>
      </w:pPr>
      <w:rPr>
        <w:rFonts w:ascii="Courier New" w:hAnsi="Courier New"/>
      </w:rPr>
    </w:lvl>
    <w:lvl w:ilvl="2" w:tplc="67F24CDA">
      <w:start w:val="1"/>
      <w:numFmt w:val="bullet"/>
      <w:lvlText w:val=""/>
      <w:lvlJc w:val="left"/>
      <w:pPr>
        <w:tabs>
          <w:tab w:val="num" w:pos="2160"/>
        </w:tabs>
        <w:ind w:left="2160" w:hanging="360"/>
      </w:pPr>
      <w:rPr>
        <w:rFonts w:ascii="Wingdings" w:hAnsi="Wingdings"/>
      </w:rPr>
    </w:lvl>
    <w:lvl w:ilvl="3" w:tplc="CC0EC270">
      <w:start w:val="1"/>
      <w:numFmt w:val="bullet"/>
      <w:lvlText w:val=""/>
      <w:lvlJc w:val="left"/>
      <w:pPr>
        <w:tabs>
          <w:tab w:val="num" w:pos="2880"/>
        </w:tabs>
        <w:ind w:left="2880" w:hanging="360"/>
      </w:pPr>
      <w:rPr>
        <w:rFonts w:ascii="Symbol" w:hAnsi="Symbol"/>
      </w:rPr>
    </w:lvl>
    <w:lvl w:ilvl="4" w:tplc="C6C04566">
      <w:start w:val="1"/>
      <w:numFmt w:val="bullet"/>
      <w:lvlText w:val="o"/>
      <w:lvlJc w:val="left"/>
      <w:pPr>
        <w:tabs>
          <w:tab w:val="num" w:pos="3600"/>
        </w:tabs>
        <w:ind w:left="3600" w:hanging="360"/>
      </w:pPr>
      <w:rPr>
        <w:rFonts w:ascii="Courier New" w:hAnsi="Courier New"/>
      </w:rPr>
    </w:lvl>
    <w:lvl w:ilvl="5" w:tplc="C77A220C">
      <w:start w:val="1"/>
      <w:numFmt w:val="bullet"/>
      <w:lvlText w:val=""/>
      <w:lvlJc w:val="left"/>
      <w:pPr>
        <w:tabs>
          <w:tab w:val="num" w:pos="4320"/>
        </w:tabs>
        <w:ind w:left="4320" w:hanging="360"/>
      </w:pPr>
      <w:rPr>
        <w:rFonts w:ascii="Wingdings" w:hAnsi="Wingdings"/>
      </w:rPr>
    </w:lvl>
    <w:lvl w:ilvl="6" w:tplc="809EA55C">
      <w:start w:val="1"/>
      <w:numFmt w:val="bullet"/>
      <w:lvlText w:val=""/>
      <w:lvlJc w:val="left"/>
      <w:pPr>
        <w:tabs>
          <w:tab w:val="num" w:pos="5040"/>
        </w:tabs>
        <w:ind w:left="5040" w:hanging="360"/>
      </w:pPr>
      <w:rPr>
        <w:rFonts w:ascii="Symbol" w:hAnsi="Symbol"/>
      </w:rPr>
    </w:lvl>
    <w:lvl w:ilvl="7" w:tplc="6B425600">
      <w:start w:val="1"/>
      <w:numFmt w:val="bullet"/>
      <w:lvlText w:val="o"/>
      <w:lvlJc w:val="left"/>
      <w:pPr>
        <w:tabs>
          <w:tab w:val="num" w:pos="5760"/>
        </w:tabs>
        <w:ind w:left="5760" w:hanging="360"/>
      </w:pPr>
      <w:rPr>
        <w:rFonts w:ascii="Courier New" w:hAnsi="Courier New"/>
      </w:rPr>
    </w:lvl>
    <w:lvl w:ilvl="8" w:tplc="D4D6CE22">
      <w:start w:val="1"/>
      <w:numFmt w:val="bullet"/>
      <w:lvlText w:val=""/>
      <w:lvlJc w:val="left"/>
      <w:pPr>
        <w:tabs>
          <w:tab w:val="num" w:pos="6480"/>
        </w:tabs>
        <w:ind w:left="6480" w:hanging="360"/>
      </w:pPr>
      <w:rPr>
        <w:rFonts w:ascii="Wingdings" w:hAnsi="Wingdings"/>
      </w:rPr>
    </w:lvl>
  </w:abstractNum>
  <w:abstractNum w:abstractNumId="9" w15:restartNumberingAfterBreak="0">
    <w:nsid w:val="0C9F6EE1"/>
    <w:multiLevelType w:val="hybridMultilevel"/>
    <w:tmpl w:val="FB9AE1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D7F0305"/>
    <w:multiLevelType w:val="hybridMultilevel"/>
    <w:tmpl w:val="204A0A3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MS Mincho" w:hAnsi="@MS Mincho" w:cs="@MS Mincho" w:hint="default"/>
      </w:rPr>
    </w:lvl>
    <w:lvl w:ilvl="2" w:tplc="FFFFFFFF" w:tentative="1">
      <w:start w:val="1"/>
      <w:numFmt w:val="bullet"/>
      <w:lvlText w:val=""/>
      <w:lvlJc w:val="left"/>
      <w:pPr>
        <w:ind w:left="2160" w:hanging="360"/>
      </w:pPr>
      <w:rPr>
        <w:rFonts w:ascii="Calibri" w:hAnsi="Calibri" w:hint="default"/>
      </w:rPr>
    </w:lvl>
    <w:lvl w:ilvl="3" w:tplc="FFFFFFFF" w:tentative="1">
      <w:start w:val="1"/>
      <w:numFmt w:val="bullet"/>
      <w:lvlText w:val=""/>
      <w:lvlJc w:val="left"/>
      <w:pPr>
        <w:ind w:left="2880" w:hanging="360"/>
      </w:pPr>
      <w:rPr>
        <w:rFonts w:ascii="Cambria Math" w:hAnsi="Cambria Math" w:hint="default"/>
      </w:rPr>
    </w:lvl>
    <w:lvl w:ilvl="4" w:tplc="FFFFFFFF" w:tentative="1">
      <w:start w:val="1"/>
      <w:numFmt w:val="bullet"/>
      <w:lvlText w:val="o"/>
      <w:lvlJc w:val="left"/>
      <w:pPr>
        <w:ind w:left="3600" w:hanging="360"/>
      </w:pPr>
      <w:rPr>
        <w:rFonts w:ascii="@MS Mincho" w:hAnsi="@MS Mincho" w:cs="@MS Mincho" w:hint="default"/>
      </w:rPr>
    </w:lvl>
    <w:lvl w:ilvl="5" w:tplc="FFFFFFFF" w:tentative="1">
      <w:start w:val="1"/>
      <w:numFmt w:val="bullet"/>
      <w:lvlText w:val=""/>
      <w:lvlJc w:val="left"/>
      <w:pPr>
        <w:ind w:left="4320" w:hanging="360"/>
      </w:pPr>
      <w:rPr>
        <w:rFonts w:ascii="Calibri" w:hAnsi="Calibri" w:hint="default"/>
      </w:rPr>
    </w:lvl>
    <w:lvl w:ilvl="6" w:tplc="FFFFFFFF" w:tentative="1">
      <w:start w:val="1"/>
      <w:numFmt w:val="bullet"/>
      <w:lvlText w:val=""/>
      <w:lvlJc w:val="left"/>
      <w:pPr>
        <w:ind w:left="5040" w:hanging="360"/>
      </w:pPr>
      <w:rPr>
        <w:rFonts w:ascii="Cambria Math" w:hAnsi="Cambria Math" w:hint="default"/>
      </w:rPr>
    </w:lvl>
    <w:lvl w:ilvl="7" w:tplc="FFFFFFFF" w:tentative="1">
      <w:start w:val="1"/>
      <w:numFmt w:val="bullet"/>
      <w:lvlText w:val="o"/>
      <w:lvlJc w:val="left"/>
      <w:pPr>
        <w:ind w:left="5760" w:hanging="360"/>
      </w:pPr>
      <w:rPr>
        <w:rFonts w:ascii="@MS Mincho" w:hAnsi="@MS Mincho" w:cs="@MS Mincho" w:hint="default"/>
      </w:rPr>
    </w:lvl>
    <w:lvl w:ilvl="8" w:tplc="FFFFFFFF" w:tentative="1">
      <w:start w:val="1"/>
      <w:numFmt w:val="bullet"/>
      <w:lvlText w:val=""/>
      <w:lvlJc w:val="left"/>
      <w:pPr>
        <w:ind w:left="6480" w:hanging="360"/>
      </w:pPr>
      <w:rPr>
        <w:rFonts w:ascii="Calibri" w:hAnsi="Calibri" w:hint="default"/>
      </w:rPr>
    </w:lvl>
  </w:abstractNum>
  <w:abstractNum w:abstractNumId="11" w15:restartNumberingAfterBreak="0">
    <w:nsid w:val="0DB33D61"/>
    <w:multiLevelType w:val="hybridMultilevel"/>
    <w:tmpl w:val="64DCA526"/>
    <w:lvl w:ilvl="0" w:tplc="536CBC5E">
      <w:start w:val="1"/>
      <w:numFmt w:val="bullet"/>
      <w:lvlText w:val=""/>
      <w:lvlJc w:val="left"/>
      <w:pPr>
        <w:ind w:left="2160" w:hanging="360"/>
      </w:pPr>
      <w:rPr>
        <w:rFonts w:ascii="Symbol" w:hAnsi="Symbol" w:hint="default"/>
        <w:color w:val="auto"/>
      </w:rPr>
    </w:lvl>
    <w:lvl w:ilvl="1" w:tplc="1924ED18" w:tentative="1">
      <w:start w:val="1"/>
      <w:numFmt w:val="bullet"/>
      <w:lvlText w:val="o"/>
      <w:lvlJc w:val="left"/>
      <w:pPr>
        <w:ind w:left="2880" w:hanging="360"/>
      </w:pPr>
      <w:rPr>
        <w:rFonts w:ascii="Courier New" w:hAnsi="Courier New" w:cs="Courier New" w:hint="default"/>
      </w:rPr>
    </w:lvl>
    <w:lvl w:ilvl="2" w:tplc="79540EA6" w:tentative="1">
      <w:start w:val="1"/>
      <w:numFmt w:val="bullet"/>
      <w:lvlText w:val=""/>
      <w:lvlJc w:val="left"/>
      <w:pPr>
        <w:ind w:left="3600" w:hanging="360"/>
      </w:pPr>
      <w:rPr>
        <w:rFonts w:ascii="Wingdings" w:hAnsi="Wingdings" w:hint="default"/>
      </w:rPr>
    </w:lvl>
    <w:lvl w:ilvl="3" w:tplc="337A5CDE" w:tentative="1">
      <w:start w:val="1"/>
      <w:numFmt w:val="bullet"/>
      <w:lvlText w:val=""/>
      <w:lvlJc w:val="left"/>
      <w:pPr>
        <w:ind w:left="4320" w:hanging="360"/>
      </w:pPr>
      <w:rPr>
        <w:rFonts w:ascii="Symbol" w:hAnsi="Symbol" w:hint="default"/>
      </w:rPr>
    </w:lvl>
    <w:lvl w:ilvl="4" w:tplc="4640937C" w:tentative="1">
      <w:start w:val="1"/>
      <w:numFmt w:val="bullet"/>
      <w:lvlText w:val="o"/>
      <w:lvlJc w:val="left"/>
      <w:pPr>
        <w:ind w:left="5040" w:hanging="360"/>
      </w:pPr>
      <w:rPr>
        <w:rFonts w:ascii="Courier New" w:hAnsi="Courier New" w:cs="Courier New" w:hint="default"/>
      </w:rPr>
    </w:lvl>
    <w:lvl w:ilvl="5" w:tplc="A080B88E" w:tentative="1">
      <w:start w:val="1"/>
      <w:numFmt w:val="bullet"/>
      <w:lvlText w:val=""/>
      <w:lvlJc w:val="left"/>
      <w:pPr>
        <w:ind w:left="5760" w:hanging="360"/>
      </w:pPr>
      <w:rPr>
        <w:rFonts w:ascii="Wingdings" w:hAnsi="Wingdings" w:hint="default"/>
      </w:rPr>
    </w:lvl>
    <w:lvl w:ilvl="6" w:tplc="999802D0" w:tentative="1">
      <w:start w:val="1"/>
      <w:numFmt w:val="bullet"/>
      <w:lvlText w:val=""/>
      <w:lvlJc w:val="left"/>
      <w:pPr>
        <w:ind w:left="6480" w:hanging="360"/>
      </w:pPr>
      <w:rPr>
        <w:rFonts w:ascii="Symbol" w:hAnsi="Symbol" w:hint="default"/>
      </w:rPr>
    </w:lvl>
    <w:lvl w:ilvl="7" w:tplc="4A261398" w:tentative="1">
      <w:start w:val="1"/>
      <w:numFmt w:val="bullet"/>
      <w:lvlText w:val="o"/>
      <w:lvlJc w:val="left"/>
      <w:pPr>
        <w:ind w:left="7200" w:hanging="360"/>
      </w:pPr>
      <w:rPr>
        <w:rFonts w:ascii="Courier New" w:hAnsi="Courier New" w:cs="Courier New" w:hint="default"/>
      </w:rPr>
    </w:lvl>
    <w:lvl w:ilvl="8" w:tplc="29FCF20A" w:tentative="1">
      <w:start w:val="1"/>
      <w:numFmt w:val="bullet"/>
      <w:lvlText w:val=""/>
      <w:lvlJc w:val="left"/>
      <w:pPr>
        <w:ind w:left="7920" w:hanging="360"/>
      </w:pPr>
      <w:rPr>
        <w:rFonts w:ascii="Wingdings" w:hAnsi="Wingdings" w:hint="default"/>
      </w:rPr>
    </w:lvl>
  </w:abstractNum>
  <w:abstractNum w:abstractNumId="12" w15:restartNumberingAfterBreak="0">
    <w:nsid w:val="0F393516"/>
    <w:multiLevelType w:val="multilevel"/>
    <w:tmpl w:val="A1EC4692"/>
    <w:numStyleLink w:val="FOATemplateListStyle1"/>
  </w:abstractNum>
  <w:abstractNum w:abstractNumId="13" w15:restartNumberingAfterBreak="0">
    <w:nsid w:val="109B43D3"/>
    <w:multiLevelType w:val="hybridMultilevel"/>
    <w:tmpl w:val="9CF28656"/>
    <w:lvl w:ilvl="0" w:tplc="D3BC4D4A">
      <w:start w:val="1"/>
      <w:numFmt w:val="lowerRoman"/>
      <w:pStyle w:val="FOAHeading3"/>
      <w:lvlText w:val="%1."/>
      <w:lvlJc w:val="right"/>
      <w:pPr>
        <w:ind w:left="720" w:hanging="360"/>
      </w:pPr>
    </w:lvl>
    <w:lvl w:ilvl="1" w:tplc="98E27A20">
      <w:start w:val="1"/>
      <w:numFmt w:val="lowerLetter"/>
      <w:lvlText w:val="%2."/>
      <w:lvlJc w:val="left"/>
      <w:pPr>
        <w:ind w:left="1440" w:hanging="360"/>
      </w:pPr>
    </w:lvl>
    <w:lvl w:ilvl="2" w:tplc="C08A053E">
      <w:start w:val="1"/>
      <w:numFmt w:val="lowerRoman"/>
      <w:lvlText w:val="%3."/>
      <w:lvlJc w:val="right"/>
      <w:pPr>
        <w:ind w:left="2160" w:hanging="180"/>
      </w:pPr>
    </w:lvl>
    <w:lvl w:ilvl="3" w:tplc="961E63F6" w:tentative="1">
      <w:start w:val="1"/>
      <w:numFmt w:val="decimal"/>
      <w:lvlText w:val="%4."/>
      <w:lvlJc w:val="left"/>
      <w:pPr>
        <w:ind w:left="2880" w:hanging="360"/>
      </w:pPr>
    </w:lvl>
    <w:lvl w:ilvl="4" w:tplc="37622430" w:tentative="1">
      <w:start w:val="1"/>
      <w:numFmt w:val="lowerLetter"/>
      <w:lvlText w:val="%5."/>
      <w:lvlJc w:val="left"/>
      <w:pPr>
        <w:ind w:left="3600" w:hanging="360"/>
      </w:pPr>
    </w:lvl>
    <w:lvl w:ilvl="5" w:tplc="A962AF1E" w:tentative="1">
      <w:start w:val="1"/>
      <w:numFmt w:val="lowerRoman"/>
      <w:lvlText w:val="%6."/>
      <w:lvlJc w:val="right"/>
      <w:pPr>
        <w:ind w:left="4320" w:hanging="180"/>
      </w:pPr>
    </w:lvl>
    <w:lvl w:ilvl="6" w:tplc="A516BA20" w:tentative="1">
      <w:start w:val="1"/>
      <w:numFmt w:val="decimal"/>
      <w:lvlText w:val="%7."/>
      <w:lvlJc w:val="left"/>
      <w:pPr>
        <w:ind w:left="5040" w:hanging="360"/>
      </w:pPr>
    </w:lvl>
    <w:lvl w:ilvl="7" w:tplc="0928A768" w:tentative="1">
      <w:start w:val="1"/>
      <w:numFmt w:val="lowerLetter"/>
      <w:lvlText w:val="%8."/>
      <w:lvlJc w:val="left"/>
      <w:pPr>
        <w:ind w:left="5760" w:hanging="360"/>
      </w:pPr>
    </w:lvl>
    <w:lvl w:ilvl="8" w:tplc="F544CAA0" w:tentative="1">
      <w:start w:val="1"/>
      <w:numFmt w:val="lowerRoman"/>
      <w:lvlText w:val="%9."/>
      <w:lvlJc w:val="right"/>
      <w:pPr>
        <w:ind w:left="6480" w:hanging="180"/>
      </w:pPr>
    </w:lvl>
  </w:abstractNum>
  <w:abstractNum w:abstractNumId="14" w15:restartNumberingAfterBreak="0">
    <w:nsid w:val="11256C9F"/>
    <w:multiLevelType w:val="hybridMultilevel"/>
    <w:tmpl w:val="A6D002C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5" w15:restartNumberingAfterBreak="0">
    <w:nsid w:val="131D6C19"/>
    <w:multiLevelType w:val="hybridMultilevel"/>
    <w:tmpl w:val="8FA8BED8"/>
    <w:lvl w:ilvl="0" w:tplc="D48CB65A">
      <w:start w:val="1"/>
      <w:numFmt w:val="bullet"/>
      <w:lvlText w:val=""/>
      <w:lvlJc w:val="left"/>
      <w:pPr>
        <w:ind w:left="2520" w:hanging="360"/>
      </w:pPr>
      <w:rPr>
        <w:rFonts w:ascii="Symbol" w:hAnsi="Symbol" w:hint="default"/>
      </w:rPr>
    </w:lvl>
    <w:lvl w:ilvl="1" w:tplc="40DEF6C2" w:tentative="1">
      <w:start w:val="1"/>
      <w:numFmt w:val="bullet"/>
      <w:lvlText w:val="o"/>
      <w:lvlJc w:val="left"/>
      <w:pPr>
        <w:ind w:left="3240" w:hanging="360"/>
      </w:pPr>
      <w:rPr>
        <w:rFonts w:ascii="Courier New" w:hAnsi="Courier New" w:cs="Courier New" w:hint="default"/>
      </w:rPr>
    </w:lvl>
    <w:lvl w:ilvl="2" w:tplc="22186934" w:tentative="1">
      <w:start w:val="1"/>
      <w:numFmt w:val="bullet"/>
      <w:lvlText w:val=""/>
      <w:lvlJc w:val="left"/>
      <w:pPr>
        <w:ind w:left="3960" w:hanging="360"/>
      </w:pPr>
      <w:rPr>
        <w:rFonts w:ascii="Wingdings" w:hAnsi="Wingdings" w:hint="default"/>
      </w:rPr>
    </w:lvl>
    <w:lvl w:ilvl="3" w:tplc="5A12C210" w:tentative="1">
      <w:start w:val="1"/>
      <w:numFmt w:val="bullet"/>
      <w:lvlText w:val=""/>
      <w:lvlJc w:val="left"/>
      <w:pPr>
        <w:ind w:left="4680" w:hanging="360"/>
      </w:pPr>
      <w:rPr>
        <w:rFonts w:ascii="Symbol" w:hAnsi="Symbol" w:hint="default"/>
      </w:rPr>
    </w:lvl>
    <w:lvl w:ilvl="4" w:tplc="585E6A44" w:tentative="1">
      <w:start w:val="1"/>
      <w:numFmt w:val="bullet"/>
      <w:lvlText w:val="o"/>
      <w:lvlJc w:val="left"/>
      <w:pPr>
        <w:ind w:left="5400" w:hanging="360"/>
      </w:pPr>
      <w:rPr>
        <w:rFonts w:ascii="Courier New" w:hAnsi="Courier New" w:cs="Courier New" w:hint="default"/>
      </w:rPr>
    </w:lvl>
    <w:lvl w:ilvl="5" w:tplc="27707752" w:tentative="1">
      <w:start w:val="1"/>
      <w:numFmt w:val="bullet"/>
      <w:lvlText w:val=""/>
      <w:lvlJc w:val="left"/>
      <w:pPr>
        <w:ind w:left="6120" w:hanging="360"/>
      </w:pPr>
      <w:rPr>
        <w:rFonts w:ascii="Wingdings" w:hAnsi="Wingdings" w:hint="default"/>
      </w:rPr>
    </w:lvl>
    <w:lvl w:ilvl="6" w:tplc="EFC2AD06" w:tentative="1">
      <w:start w:val="1"/>
      <w:numFmt w:val="bullet"/>
      <w:lvlText w:val=""/>
      <w:lvlJc w:val="left"/>
      <w:pPr>
        <w:ind w:left="6840" w:hanging="360"/>
      </w:pPr>
      <w:rPr>
        <w:rFonts w:ascii="Symbol" w:hAnsi="Symbol" w:hint="default"/>
      </w:rPr>
    </w:lvl>
    <w:lvl w:ilvl="7" w:tplc="611C0B82" w:tentative="1">
      <w:start w:val="1"/>
      <w:numFmt w:val="bullet"/>
      <w:lvlText w:val="o"/>
      <w:lvlJc w:val="left"/>
      <w:pPr>
        <w:ind w:left="7560" w:hanging="360"/>
      </w:pPr>
      <w:rPr>
        <w:rFonts w:ascii="Courier New" w:hAnsi="Courier New" w:cs="Courier New" w:hint="default"/>
      </w:rPr>
    </w:lvl>
    <w:lvl w:ilvl="8" w:tplc="E052425A" w:tentative="1">
      <w:start w:val="1"/>
      <w:numFmt w:val="bullet"/>
      <w:lvlText w:val=""/>
      <w:lvlJc w:val="left"/>
      <w:pPr>
        <w:ind w:left="8280" w:hanging="360"/>
      </w:pPr>
      <w:rPr>
        <w:rFonts w:ascii="Wingdings" w:hAnsi="Wingdings" w:hint="default"/>
      </w:rPr>
    </w:lvl>
  </w:abstractNum>
  <w:abstractNum w:abstractNumId="16" w15:restartNumberingAfterBreak="0">
    <w:nsid w:val="13625646"/>
    <w:multiLevelType w:val="hybridMultilevel"/>
    <w:tmpl w:val="039AAA8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7" w15:restartNumberingAfterBreak="0">
    <w:nsid w:val="147453D7"/>
    <w:multiLevelType w:val="hybridMultilevel"/>
    <w:tmpl w:val="2DBAC0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5190644"/>
    <w:multiLevelType w:val="hybridMultilevel"/>
    <w:tmpl w:val="E09EBAAE"/>
    <w:lvl w:ilvl="0" w:tplc="04090001">
      <w:start w:val="1"/>
      <w:numFmt w:val="bullet"/>
      <w:lvlText w:val=""/>
      <w:lvlJc w:val="left"/>
      <w:pPr>
        <w:ind w:left="504" w:hanging="360"/>
      </w:pPr>
      <w:rPr>
        <w:rFonts w:ascii="Symbol" w:hAnsi="Symbol"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1589629F"/>
    <w:multiLevelType w:val="hybridMultilevel"/>
    <w:tmpl w:val="623270F6"/>
    <w:lvl w:ilvl="0" w:tplc="F482BE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5F50DE5"/>
    <w:multiLevelType w:val="hybridMultilevel"/>
    <w:tmpl w:val="33BE7E3C"/>
    <w:lvl w:ilvl="0" w:tplc="5BDEB576">
      <w:start w:val="1"/>
      <w:numFmt w:val="lowerLetter"/>
      <w:lvlText w:val="%1."/>
      <w:lvlJc w:val="left"/>
      <w:pPr>
        <w:ind w:left="1440" w:hanging="360"/>
      </w:pPr>
      <w:rPr>
        <w:rFonts w:hint="default"/>
        <w:b/>
      </w:rPr>
    </w:lvl>
    <w:lvl w:ilvl="1" w:tplc="019AF26E" w:tentative="1">
      <w:start w:val="1"/>
      <w:numFmt w:val="lowerLetter"/>
      <w:lvlText w:val="%2."/>
      <w:lvlJc w:val="left"/>
      <w:pPr>
        <w:ind w:left="2160" w:hanging="360"/>
      </w:pPr>
    </w:lvl>
    <w:lvl w:ilvl="2" w:tplc="F97E0082" w:tentative="1">
      <w:start w:val="1"/>
      <w:numFmt w:val="lowerRoman"/>
      <w:lvlText w:val="%3."/>
      <w:lvlJc w:val="right"/>
      <w:pPr>
        <w:ind w:left="2880" w:hanging="180"/>
      </w:pPr>
    </w:lvl>
    <w:lvl w:ilvl="3" w:tplc="BB38F772" w:tentative="1">
      <w:start w:val="1"/>
      <w:numFmt w:val="decimal"/>
      <w:lvlText w:val="%4."/>
      <w:lvlJc w:val="left"/>
      <w:pPr>
        <w:ind w:left="3600" w:hanging="360"/>
      </w:pPr>
    </w:lvl>
    <w:lvl w:ilvl="4" w:tplc="556686EE" w:tentative="1">
      <w:start w:val="1"/>
      <w:numFmt w:val="lowerLetter"/>
      <w:lvlText w:val="%5."/>
      <w:lvlJc w:val="left"/>
      <w:pPr>
        <w:ind w:left="4320" w:hanging="360"/>
      </w:pPr>
    </w:lvl>
    <w:lvl w:ilvl="5" w:tplc="E42E7A96" w:tentative="1">
      <w:start w:val="1"/>
      <w:numFmt w:val="lowerRoman"/>
      <w:lvlText w:val="%6."/>
      <w:lvlJc w:val="right"/>
      <w:pPr>
        <w:ind w:left="5040" w:hanging="180"/>
      </w:pPr>
    </w:lvl>
    <w:lvl w:ilvl="6" w:tplc="5BA664E4" w:tentative="1">
      <w:start w:val="1"/>
      <w:numFmt w:val="decimal"/>
      <w:lvlText w:val="%7."/>
      <w:lvlJc w:val="left"/>
      <w:pPr>
        <w:ind w:left="5760" w:hanging="360"/>
      </w:pPr>
    </w:lvl>
    <w:lvl w:ilvl="7" w:tplc="06901BFA" w:tentative="1">
      <w:start w:val="1"/>
      <w:numFmt w:val="lowerLetter"/>
      <w:lvlText w:val="%8."/>
      <w:lvlJc w:val="left"/>
      <w:pPr>
        <w:ind w:left="6480" w:hanging="360"/>
      </w:pPr>
    </w:lvl>
    <w:lvl w:ilvl="8" w:tplc="867CEDB6" w:tentative="1">
      <w:start w:val="1"/>
      <w:numFmt w:val="lowerRoman"/>
      <w:lvlText w:val="%9."/>
      <w:lvlJc w:val="right"/>
      <w:pPr>
        <w:ind w:left="7200" w:hanging="180"/>
      </w:pPr>
    </w:lvl>
  </w:abstractNum>
  <w:abstractNum w:abstractNumId="21" w15:restartNumberingAfterBreak="0">
    <w:nsid w:val="16AAB7EE"/>
    <w:multiLevelType w:val="hybridMultilevel"/>
    <w:tmpl w:val="7BD86778"/>
    <w:lvl w:ilvl="0" w:tplc="80C82178">
      <w:start w:val="1"/>
      <w:numFmt w:val="bullet"/>
      <w:lvlText w:val=""/>
      <w:lvlJc w:val="left"/>
      <w:pPr>
        <w:ind w:left="720" w:hanging="360"/>
      </w:pPr>
      <w:rPr>
        <w:rFonts w:ascii="Symbol" w:hAnsi="Symbol"/>
      </w:rPr>
    </w:lvl>
    <w:lvl w:ilvl="1" w:tplc="82E61BC6">
      <w:start w:val="1"/>
      <w:numFmt w:val="bullet"/>
      <w:lvlText w:val="o"/>
      <w:lvlJc w:val="left"/>
      <w:pPr>
        <w:ind w:left="1440" w:hanging="360"/>
      </w:pPr>
      <w:rPr>
        <w:rFonts w:ascii="Courier New" w:hAnsi="Courier New"/>
      </w:rPr>
    </w:lvl>
    <w:lvl w:ilvl="2" w:tplc="00A87300">
      <w:start w:val="1"/>
      <w:numFmt w:val="bullet"/>
      <w:lvlText w:val=""/>
      <w:lvlJc w:val="left"/>
      <w:pPr>
        <w:tabs>
          <w:tab w:val="num" w:pos="2160"/>
        </w:tabs>
        <w:ind w:left="2160" w:hanging="360"/>
      </w:pPr>
      <w:rPr>
        <w:rFonts w:ascii="Wingdings" w:hAnsi="Wingdings"/>
      </w:rPr>
    </w:lvl>
    <w:lvl w:ilvl="3" w:tplc="4CA0F884">
      <w:start w:val="1"/>
      <w:numFmt w:val="bullet"/>
      <w:lvlText w:val=""/>
      <w:lvlJc w:val="left"/>
      <w:pPr>
        <w:tabs>
          <w:tab w:val="num" w:pos="2880"/>
        </w:tabs>
        <w:ind w:left="2880" w:hanging="360"/>
      </w:pPr>
      <w:rPr>
        <w:rFonts w:ascii="Symbol" w:hAnsi="Symbol"/>
      </w:rPr>
    </w:lvl>
    <w:lvl w:ilvl="4" w:tplc="93F81C92">
      <w:start w:val="1"/>
      <w:numFmt w:val="bullet"/>
      <w:lvlText w:val="o"/>
      <w:lvlJc w:val="left"/>
      <w:pPr>
        <w:tabs>
          <w:tab w:val="num" w:pos="3600"/>
        </w:tabs>
        <w:ind w:left="3600" w:hanging="360"/>
      </w:pPr>
      <w:rPr>
        <w:rFonts w:ascii="Courier New" w:hAnsi="Courier New"/>
      </w:rPr>
    </w:lvl>
    <w:lvl w:ilvl="5" w:tplc="65C478B6">
      <w:start w:val="1"/>
      <w:numFmt w:val="bullet"/>
      <w:lvlText w:val=""/>
      <w:lvlJc w:val="left"/>
      <w:pPr>
        <w:tabs>
          <w:tab w:val="num" w:pos="4320"/>
        </w:tabs>
        <w:ind w:left="4320" w:hanging="360"/>
      </w:pPr>
      <w:rPr>
        <w:rFonts w:ascii="Wingdings" w:hAnsi="Wingdings"/>
      </w:rPr>
    </w:lvl>
    <w:lvl w:ilvl="6" w:tplc="605E7B1C">
      <w:start w:val="1"/>
      <w:numFmt w:val="bullet"/>
      <w:lvlText w:val=""/>
      <w:lvlJc w:val="left"/>
      <w:pPr>
        <w:tabs>
          <w:tab w:val="num" w:pos="5040"/>
        </w:tabs>
        <w:ind w:left="5040" w:hanging="360"/>
      </w:pPr>
      <w:rPr>
        <w:rFonts w:ascii="Symbol" w:hAnsi="Symbol"/>
      </w:rPr>
    </w:lvl>
    <w:lvl w:ilvl="7" w:tplc="858CC9B8">
      <w:start w:val="1"/>
      <w:numFmt w:val="bullet"/>
      <w:lvlText w:val="o"/>
      <w:lvlJc w:val="left"/>
      <w:pPr>
        <w:tabs>
          <w:tab w:val="num" w:pos="5760"/>
        </w:tabs>
        <w:ind w:left="5760" w:hanging="360"/>
      </w:pPr>
      <w:rPr>
        <w:rFonts w:ascii="Courier New" w:hAnsi="Courier New"/>
      </w:rPr>
    </w:lvl>
    <w:lvl w:ilvl="8" w:tplc="29FAE098">
      <w:start w:val="1"/>
      <w:numFmt w:val="bullet"/>
      <w:lvlText w:val=""/>
      <w:lvlJc w:val="left"/>
      <w:pPr>
        <w:tabs>
          <w:tab w:val="num" w:pos="6480"/>
        </w:tabs>
        <w:ind w:left="6480" w:hanging="360"/>
      </w:pPr>
      <w:rPr>
        <w:rFonts w:ascii="Wingdings" w:hAnsi="Wingdings"/>
      </w:rPr>
    </w:lvl>
  </w:abstractNum>
  <w:abstractNum w:abstractNumId="22" w15:restartNumberingAfterBreak="0">
    <w:nsid w:val="171E23FE"/>
    <w:multiLevelType w:val="hybridMultilevel"/>
    <w:tmpl w:val="7BD86774"/>
    <w:lvl w:ilvl="0" w:tplc="35FE9D4C">
      <w:start w:val="1"/>
      <w:numFmt w:val="bullet"/>
      <w:lvlText w:val=""/>
      <w:lvlJc w:val="left"/>
      <w:pPr>
        <w:ind w:left="720" w:hanging="360"/>
      </w:pPr>
      <w:rPr>
        <w:rFonts w:ascii="Symbol" w:hAnsi="Symbol"/>
      </w:rPr>
    </w:lvl>
    <w:lvl w:ilvl="1" w:tplc="159AF56E">
      <w:start w:val="1"/>
      <w:numFmt w:val="bullet"/>
      <w:lvlText w:val="o"/>
      <w:lvlJc w:val="left"/>
      <w:pPr>
        <w:tabs>
          <w:tab w:val="num" w:pos="1440"/>
        </w:tabs>
        <w:ind w:left="1440" w:hanging="360"/>
      </w:pPr>
      <w:rPr>
        <w:rFonts w:ascii="Courier New" w:hAnsi="Courier New"/>
      </w:rPr>
    </w:lvl>
    <w:lvl w:ilvl="2" w:tplc="3AA0791E">
      <w:start w:val="1"/>
      <w:numFmt w:val="bullet"/>
      <w:lvlText w:val=""/>
      <w:lvlJc w:val="left"/>
      <w:pPr>
        <w:tabs>
          <w:tab w:val="num" w:pos="2160"/>
        </w:tabs>
        <w:ind w:left="2160" w:hanging="360"/>
      </w:pPr>
      <w:rPr>
        <w:rFonts w:ascii="Wingdings" w:hAnsi="Wingdings"/>
      </w:rPr>
    </w:lvl>
    <w:lvl w:ilvl="3" w:tplc="D2E0790E">
      <w:start w:val="1"/>
      <w:numFmt w:val="bullet"/>
      <w:lvlText w:val=""/>
      <w:lvlJc w:val="left"/>
      <w:pPr>
        <w:tabs>
          <w:tab w:val="num" w:pos="2880"/>
        </w:tabs>
        <w:ind w:left="2880" w:hanging="360"/>
      </w:pPr>
      <w:rPr>
        <w:rFonts w:ascii="Symbol" w:hAnsi="Symbol"/>
      </w:rPr>
    </w:lvl>
    <w:lvl w:ilvl="4" w:tplc="90EC282C">
      <w:start w:val="1"/>
      <w:numFmt w:val="bullet"/>
      <w:lvlText w:val="o"/>
      <w:lvlJc w:val="left"/>
      <w:pPr>
        <w:tabs>
          <w:tab w:val="num" w:pos="3600"/>
        </w:tabs>
        <w:ind w:left="3600" w:hanging="360"/>
      </w:pPr>
      <w:rPr>
        <w:rFonts w:ascii="Courier New" w:hAnsi="Courier New"/>
      </w:rPr>
    </w:lvl>
    <w:lvl w:ilvl="5" w:tplc="6750E698">
      <w:start w:val="1"/>
      <w:numFmt w:val="bullet"/>
      <w:lvlText w:val=""/>
      <w:lvlJc w:val="left"/>
      <w:pPr>
        <w:tabs>
          <w:tab w:val="num" w:pos="4320"/>
        </w:tabs>
        <w:ind w:left="4320" w:hanging="360"/>
      </w:pPr>
      <w:rPr>
        <w:rFonts w:ascii="Wingdings" w:hAnsi="Wingdings"/>
      </w:rPr>
    </w:lvl>
    <w:lvl w:ilvl="6" w:tplc="148CA0F0">
      <w:start w:val="1"/>
      <w:numFmt w:val="bullet"/>
      <w:lvlText w:val=""/>
      <w:lvlJc w:val="left"/>
      <w:pPr>
        <w:tabs>
          <w:tab w:val="num" w:pos="5040"/>
        </w:tabs>
        <w:ind w:left="5040" w:hanging="360"/>
      </w:pPr>
      <w:rPr>
        <w:rFonts w:ascii="Symbol" w:hAnsi="Symbol"/>
      </w:rPr>
    </w:lvl>
    <w:lvl w:ilvl="7" w:tplc="91A025F2">
      <w:start w:val="1"/>
      <w:numFmt w:val="bullet"/>
      <w:lvlText w:val="o"/>
      <w:lvlJc w:val="left"/>
      <w:pPr>
        <w:tabs>
          <w:tab w:val="num" w:pos="5760"/>
        </w:tabs>
        <w:ind w:left="5760" w:hanging="360"/>
      </w:pPr>
      <w:rPr>
        <w:rFonts w:ascii="Courier New" w:hAnsi="Courier New"/>
      </w:rPr>
    </w:lvl>
    <w:lvl w:ilvl="8" w:tplc="29FE6F04">
      <w:start w:val="1"/>
      <w:numFmt w:val="bullet"/>
      <w:lvlText w:val=""/>
      <w:lvlJc w:val="left"/>
      <w:pPr>
        <w:tabs>
          <w:tab w:val="num" w:pos="6480"/>
        </w:tabs>
        <w:ind w:left="6480" w:hanging="360"/>
      </w:pPr>
      <w:rPr>
        <w:rFonts w:ascii="Wingdings" w:hAnsi="Wingdings"/>
      </w:rPr>
    </w:lvl>
  </w:abstractNum>
  <w:abstractNum w:abstractNumId="23" w15:restartNumberingAfterBreak="0">
    <w:nsid w:val="1738690B"/>
    <w:multiLevelType w:val="hybridMultilevel"/>
    <w:tmpl w:val="6A523A76"/>
    <w:lvl w:ilvl="0" w:tplc="BCDAA51E">
      <w:start w:val="1"/>
      <w:numFmt w:val="bullet"/>
      <w:lvlText w:val=""/>
      <w:lvlJc w:val="left"/>
      <w:pPr>
        <w:ind w:left="4320" w:hanging="360"/>
      </w:pPr>
      <w:rPr>
        <w:rFonts w:ascii="Symbol" w:hAnsi="Symbol" w:hint="default"/>
      </w:rPr>
    </w:lvl>
    <w:lvl w:ilvl="1" w:tplc="F252F46A">
      <w:start w:val="1"/>
      <w:numFmt w:val="bullet"/>
      <w:lvlText w:val="o"/>
      <w:lvlJc w:val="left"/>
      <w:pPr>
        <w:ind w:left="7200" w:hanging="360"/>
      </w:pPr>
      <w:rPr>
        <w:rFonts w:ascii="Courier New" w:hAnsi="Courier New" w:cs="Courier New" w:hint="default"/>
      </w:rPr>
    </w:lvl>
    <w:lvl w:ilvl="2" w:tplc="25F813F2">
      <w:start w:val="1"/>
      <w:numFmt w:val="bullet"/>
      <w:lvlText w:val=""/>
      <w:lvlJc w:val="left"/>
      <w:pPr>
        <w:ind w:left="7920" w:hanging="360"/>
      </w:pPr>
      <w:rPr>
        <w:rFonts w:ascii="Wingdings" w:hAnsi="Wingdings" w:hint="default"/>
      </w:rPr>
    </w:lvl>
    <w:lvl w:ilvl="3" w:tplc="67D25734">
      <w:start w:val="1"/>
      <w:numFmt w:val="bullet"/>
      <w:lvlText w:val=""/>
      <w:lvlJc w:val="left"/>
      <w:pPr>
        <w:ind w:left="8640" w:hanging="360"/>
      </w:pPr>
      <w:rPr>
        <w:rFonts w:ascii="Symbol" w:hAnsi="Symbol" w:hint="default"/>
      </w:rPr>
    </w:lvl>
    <w:lvl w:ilvl="4" w:tplc="D5F0ECFA">
      <w:start w:val="1"/>
      <w:numFmt w:val="bullet"/>
      <w:lvlText w:val="o"/>
      <w:lvlJc w:val="left"/>
      <w:pPr>
        <w:ind w:left="9360" w:hanging="360"/>
      </w:pPr>
      <w:rPr>
        <w:rFonts w:ascii="Courier New" w:hAnsi="Courier New" w:cs="Courier New" w:hint="default"/>
      </w:rPr>
    </w:lvl>
    <w:lvl w:ilvl="5" w:tplc="D45C4744">
      <w:start w:val="1"/>
      <w:numFmt w:val="bullet"/>
      <w:lvlText w:val=""/>
      <w:lvlJc w:val="left"/>
      <w:pPr>
        <w:ind w:left="10080" w:hanging="360"/>
      </w:pPr>
      <w:rPr>
        <w:rFonts w:ascii="Wingdings" w:hAnsi="Wingdings" w:hint="default"/>
      </w:rPr>
    </w:lvl>
    <w:lvl w:ilvl="6" w:tplc="547440EA">
      <w:start w:val="1"/>
      <w:numFmt w:val="bullet"/>
      <w:lvlText w:val=""/>
      <w:lvlJc w:val="left"/>
      <w:pPr>
        <w:ind w:left="10800" w:hanging="360"/>
      </w:pPr>
      <w:rPr>
        <w:rFonts w:ascii="Symbol" w:hAnsi="Symbol" w:hint="default"/>
      </w:rPr>
    </w:lvl>
    <w:lvl w:ilvl="7" w:tplc="A3C64A96">
      <w:start w:val="1"/>
      <w:numFmt w:val="bullet"/>
      <w:lvlText w:val="o"/>
      <w:lvlJc w:val="left"/>
      <w:pPr>
        <w:ind w:left="11520" w:hanging="360"/>
      </w:pPr>
      <w:rPr>
        <w:rFonts w:ascii="Courier New" w:hAnsi="Courier New" w:cs="Courier New" w:hint="default"/>
      </w:rPr>
    </w:lvl>
    <w:lvl w:ilvl="8" w:tplc="DB2E0912">
      <w:start w:val="1"/>
      <w:numFmt w:val="bullet"/>
      <w:lvlText w:val=""/>
      <w:lvlJc w:val="left"/>
      <w:pPr>
        <w:ind w:left="12240" w:hanging="360"/>
      </w:pPr>
      <w:rPr>
        <w:rFonts w:ascii="Wingdings" w:hAnsi="Wingdings" w:hint="default"/>
      </w:rPr>
    </w:lvl>
  </w:abstractNum>
  <w:abstractNum w:abstractNumId="24" w15:restartNumberingAfterBreak="0">
    <w:nsid w:val="179F67A9"/>
    <w:multiLevelType w:val="hybridMultilevel"/>
    <w:tmpl w:val="2E3AE0EA"/>
    <w:lvl w:ilvl="0" w:tplc="81E21CD6">
      <w:start w:val="1"/>
      <w:numFmt w:val="decimal"/>
      <w:lvlText w:val="%1."/>
      <w:lvlJc w:val="left"/>
      <w:pPr>
        <w:ind w:left="720" w:hanging="360"/>
      </w:pPr>
    </w:lvl>
    <w:lvl w:ilvl="1" w:tplc="9B9ADED2" w:tentative="1">
      <w:start w:val="1"/>
      <w:numFmt w:val="lowerLetter"/>
      <w:lvlText w:val="%2."/>
      <w:lvlJc w:val="left"/>
      <w:pPr>
        <w:ind w:left="1440" w:hanging="360"/>
      </w:pPr>
    </w:lvl>
    <w:lvl w:ilvl="2" w:tplc="C3DC4778" w:tentative="1">
      <w:start w:val="1"/>
      <w:numFmt w:val="lowerRoman"/>
      <w:lvlText w:val="%3."/>
      <w:lvlJc w:val="right"/>
      <w:pPr>
        <w:ind w:left="2160" w:hanging="180"/>
      </w:pPr>
    </w:lvl>
    <w:lvl w:ilvl="3" w:tplc="18DE63C4" w:tentative="1">
      <w:start w:val="1"/>
      <w:numFmt w:val="decimal"/>
      <w:lvlText w:val="%4."/>
      <w:lvlJc w:val="left"/>
      <w:pPr>
        <w:ind w:left="2880" w:hanging="360"/>
      </w:pPr>
    </w:lvl>
    <w:lvl w:ilvl="4" w:tplc="AE86C988" w:tentative="1">
      <w:start w:val="1"/>
      <w:numFmt w:val="lowerLetter"/>
      <w:lvlText w:val="%5."/>
      <w:lvlJc w:val="left"/>
      <w:pPr>
        <w:ind w:left="3600" w:hanging="360"/>
      </w:pPr>
    </w:lvl>
    <w:lvl w:ilvl="5" w:tplc="22209FE6" w:tentative="1">
      <w:start w:val="1"/>
      <w:numFmt w:val="lowerRoman"/>
      <w:lvlText w:val="%6."/>
      <w:lvlJc w:val="right"/>
      <w:pPr>
        <w:ind w:left="4320" w:hanging="180"/>
      </w:pPr>
    </w:lvl>
    <w:lvl w:ilvl="6" w:tplc="AAAE4692" w:tentative="1">
      <w:start w:val="1"/>
      <w:numFmt w:val="decimal"/>
      <w:lvlText w:val="%7."/>
      <w:lvlJc w:val="left"/>
      <w:pPr>
        <w:ind w:left="5040" w:hanging="360"/>
      </w:pPr>
    </w:lvl>
    <w:lvl w:ilvl="7" w:tplc="A6B4EB72" w:tentative="1">
      <w:start w:val="1"/>
      <w:numFmt w:val="lowerLetter"/>
      <w:lvlText w:val="%8."/>
      <w:lvlJc w:val="left"/>
      <w:pPr>
        <w:ind w:left="5760" w:hanging="360"/>
      </w:pPr>
    </w:lvl>
    <w:lvl w:ilvl="8" w:tplc="01DA8A40" w:tentative="1">
      <w:start w:val="1"/>
      <w:numFmt w:val="lowerRoman"/>
      <w:lvlText w:val="%9."/>
      <w:lvlJc w:val="right"/>
      <w:pPr>
        <w:ind w:left="6480" w:hanging="180"/>
      </w:pPr>
    </w:lvl>
  </w:abstractNum>
  <w:abstractNum w:abstractNumId="25" w15:restartNumberingAfterBreak="0">
    <w:nsid w:val="18AE0451"/>
    <w:multiLevelType w:val="hybridMultilevel"/>
    <w:tmpl w:val="AF909710"/>
    <w:lvl w:ilvl="0" w:tplc="36EC8DDA">
      <w:start w:val="1"/>
      <w:numFmt w:val="bullet"/>
      <w:lvlText w:val=""/>
      <w:lvlJc w:val="left"/>
      <w:pPr>
        <w:ind w:left="3240" w:hanging="360"/>
      </w:pPr>
      <w:rPr>
        <w:rFonts w:ascii="Symbol" w:hAnsi="Symbol" w:hint="default"/>
      </w:rPr>
    </w:lvl>
    <w:lvl w:ilvl="1" w:tplc="5388DF4C" w:tentative="1">
      <w:start w:val="1"/>
      <w:numFmt w:val="bullet"/>
      <w:lvlText w:val="o"/>
      <w:lvlJc w:val="left"/>
      <w:pPr>
        <w:ind w:left="3960" w:hanging="360"/>
      </w:pPr>
      <w:rPr>
        <w:rFonts w:ascii="Courier New" w:hAnsi="Courier New" w:cs="Courier New" w:hint="default"/>
      </w:rPr>
    </w:lvl>
    <w:lvl w:ilvl="2" w:tplc="FB569D40" w:tentative="1">
      <w:start w:val="1"/>
      <w:numFmt w:val="bullet"/>
      <w:lvlText w:val=""/>
      <w:lvlJc w:val="left"/>
      <w:pPr>
        <w:ind w:left="4680" w:hanging="360"/>
      </w:pPr>
      <w:rPr>
        <w:rFonts w:ascii="Wingdings" w:hAnsi="Wingdings" w:hint="default"/>
      </w:rPr>
    </w:lvl>
    <w:lvl w:ilvl="3" w:tplc="323EDEB4" w:tentative="1">
      <w:start w:val="1"/>
      <w:numFmt w:val="bullet"/>
      <w:lvlText w:val=""/>
      <w:lvlJc w:val="left"/>
      <w:pPr>
        <w:ind w:left="5400" w:hanging="360"/>
      </w:pPr>
      <w:rPr>
        <w:rFonts w:ascii="Symbol" w:hAnsi="Symbol" w:hint="default"/>
      </w:rPr>
    </w:lvl>
    <w:lvl w:ilvl="4" w:tplc="24D8DFA6" w:tentative="1">
      <w:start w:val="1"/>
      <w:numFmt w:val="bullet"/>
      <w:lvlText w:val="o"/>
      <w:lvlJc w:val="left"/>
      <w:pPr>
        <w:ind w:left="6120" w:hanging="360"/>
      </w:pPr>
      <w:rPr>
        <w:rFonts w:ascii="Courier New" w:hAnsi="Courier New" w:cs="Courier New" w:hint="default"/>
      </w:rPr>
    </w:lvl>
    <w:lvl w:ilvl="5" w:tplc="617E8C6E" w:tentative="1">
      <w:start w:val="1"/>
      <w:numFmt w:val="bullet"/>
      <w:lvlText w:val=""/>
      <w:lvlJc w:val="left"/>
      <w:pPr>
        <w:ind w:left="6840" w:hanging="360"/>
      </w:pPr>
      <w:rPr>
        <w:rFonts w:ascii="Wingdings" w:hAnsi="Wingdings" w:hint="default"/>
      </w:rPr>
    </w:lvl>
    <w:lvl w:ilvl="6" w:tplc="EC68F62E" w:tentative="1">
      <w:start w:val="1"/>
      <w:numFmt w:val="bullet"/>
      <w:lvlText w:val=""/>
      <w:lvlJc w:val="left"/>
      <w:pPr>
        <w:ind w:left="7560" w:hanging="360"/>
      </w:pPr>
      <w:rPr>
        <w:rFonts w:ascii="Symbol" w:hAnsi="Symbol" w:hint="default"/>
      </w:rPr>
    </w:lvl>
    <w:lvl w:ilvl="7" w:tplc="D00CF618" w:tentative="1">
      <w:start w:val="1"/>
      <w:numFmt w:val="bullet"/>
      <w:lvlText w:val="o"/>
      <w:lvlJc w:val="left"/>
      <w:pPr>
        <w:ind w:left="8280" w:hanging="360"/>
      </w:pPr>
      <w:rPr>
        <w:rFonts w:ascii="Courier New" w:hAnsi="Courier New" w:cs="Courier New" w:hint="default"/>
      </w:rPr>
    </w:lvl>
    <w:lvl w:ilvl="8" w:tplc="AC04B5AA" w:tentative="1">
      <w:start w:val="1"/>
      <w:numFmt w:val="bullet"/>
      <w:lvlText w:val=""/>
      <w:lvlJc w:val="left"/>
      <w:pPr>
        <w:ind w:left="9000" w:hanging="360"/>
      </w:pPr>
      <w:rPr>
        <w:rFonts w:ascii="Wingdings" w:hAnsi="Wingdings" w:hint="default"/>
      </w:rPr>
    </w:lvl>
  </w:abstractNum>
  <w:abstractNum w:abstractNumId="26" w15:restartNumberingAfterBreak="0">
    <w:nsid w:val="1A5D86CD"/>
    <w:multiLevelType w:val="hybridMultilevel"/>
    <w:tmpl w:val="7BD8677B"/>
    <w:lvl w:ilvl="0" w:tplc="0B82C8EC">
      <w:start w:val="1"/>
      <w:numFmt w:val="bullet"/>
      <w:lvlText w:val=""/>
      <w:lvlJc w:val="left"/>
      <w:pPr>
        <w:ind w:left="720" w:hanging="360"/>
      </w:pPr>
      <w:rPr>
        <w:rFonts w:ascii="Symbol" w:hAnsi="Symbol"/>
      </w:rPr>
    </w:lvl>
    <w:lvl w:ilvl="1" w:tplc="9AF8C84A">
      <w:start w:val="1"/>
      <w:numFmt w:val="bullet"/>
      <w:lvlText w:val="o"/>
      <w:lvlJc w:val="left"/>
      <w:pPr>
        <w:tabs>
          <w:tab w:val="num" w:pos="1440"/>
        </w:tabs>
        <w:ind w:left="1440" w:hanging="360"/>
      </w:pPr>
      <w:rPr>
        <w:rFonts w:ascii="Courier New" w:hAnsi="Courier New"/>
      </w:rPr>
    </w:lvl>
    <w:lvl w:ilvl="2" w:tplc="72825FE8">
      <w:start w:val="1"/>
      <w:numFmt w:val="bullet"/>
      <w:lvlText w:val=""/>
      <w:lvlJc w:val="left"/>
      <w:pPr>
        <w:tabs>
          <w:tab w:val="num" w:pos="2160"/>
        </w:tabs>
        <w:ind w:left="2160" w:hanging="360"/>
      </w:pPr>
      <w:rPr>
        <w:rFonts w:ascii="Wingdings" w:hAnsi="Wingdings"/>
      </w:rPr>
    </w:lvl>
    <w:lvl w:ilvl="3" w:tplc="9A6817E0">
      <w:start w:val="1"/>
      <w:numFmt w:val="bullet"/>
      <w:lvlText w:val=""/>
      <w:lvlJc w:val="left"/>
      <w:pPr>
        <w:tabs>
          <w:tab w:val="num" w:pos="2880"/>
        </w:tabs>
        <w:ind w:left="2880" w:hanging="360"/>
      </w:pPr>
      <w:rPr>
        <w:rFonts w:ascii="Symbol" w:hAnsi="Symbol"/>
      </w:rPr>
    </w:lvl>
    <w:lvl w:ilvl="4" w:tplc="2D487662">
      <w:start w:val="1"/>
      <w:numFmt w:val="bullet"/>
      <w:lvlText w:val="o"/>
      <w:lvlJc w:val="left"/>
      <w:pPr>
        <w:tabs>
          <w:tab w:val="num" w:pos="3600"/>
        </w:tabs>
        <w:ind w:left="3600" w:hanging="360"/>
      </w:pPr>
      <w:rPr>
        <w:rFonts w:ascii="Courier New" w:hAnsi="Courier New"/>
      </w:rPr>
    </w:lvl>
    <w:lvl w:ilvl="5" w:tplc="25FC88AC">
      <w:start w:val="1"/>
      <w:numFmt w:val="bullet"/>
      <w:lvlText w:val=""/>
      <w:lvlJc w:val="left"/>
      <w:pPr>
        <w:tabs>
          <w:tab w:val="num" w:pos="4320"/>
        </w:tabs>
        <w:ind w:left="4320" w:hanging="360"/>
      </w:pPr>
      <w:rPr>
        <w:rFonts w:ascii="Wingdings" w:hAnsi="Wingdings"/>
      </w:rPr>
    </w:lvl>
    <w:lvl w:ilvl="6" w:tplc="B478E774">
      <w:start w:val="1"/>
      <w:numFmt w:val="bullet"/>
      <w:lvlText w:val=""/>
      <w:lvlJc w:val="left"/>
      <w:pPr>
        <w:tabs>
          <w:tab w:val="num" w:pos="5040"/>
        </w:tabs>
        <w:ind w:left="5040" w:hanging="360"/>
      </w:pPr>
      <w:rPr>
        <w:rFonts w:ascii="Symbol" w:hAnsi="Symbol"/>
      </w:rPr>
    </w:lvl>
    <w:lvl w:ilvl="7" w:tplc="EA881FA0">
      <w:start w:val="1"/>
      <w:numFmt w:val="bullet"/>
      <w:lvlText w:val="o"/>
      <w:lvlJc w:val="left"/>
      <w:pPr>
        <w:tabs>
          <w:tab w:val="num" w:pos="5760"/>
        </w:tabs>
        <w:ind w:left="5760" w:hanging="360"/>
      </w:pPr>
      <w:rPr>
        <w:rFonts w:ascii="Courier New" w:hAnsi="Courier New"/>
      </w:rPr>
    </w:lvl>
    <w:lvl w:ilvl="8" w:tplc="B37412D4">
      <w:start w:val="1"/>
      <w:numFmt w:val="bullet"/>
      <w:lvlText w:val=""/>
      <w:lvlJc w:val="left"/>
      <w:pPr>
        <w:tabs>
          <w:tab w:val="num" w:pos="6480"/>
        </w:tabs>
        <w:ind w:left="6480" w:hanging="360"/>
      </w:pPr>
      <w:rPr>
        <w:rFonts w:ascii="Wingdings" w:hAnsi="Wingdings"/>
      </w:rPr>
    </w:lvl>
  </w:abstractNum>
  <w:abstractNum w:abstractNumId="27" w15:restartNumberingAfterBreak="0">
    <w:nsid w:val="1A5F52CB"/>
    <w:multiLevelType w:val="multilevel"/>
    <w:tmpl w:val="5476A766"/>
    <w:lvl w:ilvl="0">
      <w:start w:val="1"/>
      <w:numFmt w:val="decimal"/>
      <w:lvlText w:val="%1)"/>
      <w:lvlJc w:val="left"/>
      <w:pPr>
        <w:ind w:left="1800" w:hanging="360"/>
      </w:pPr>
    </w:lvl>
    <w:lvl w:ilvl="1">
      <w:start w:val="1"/>
      <w:numFmt w:val="lowerLetter"/>
      <w:lvlText w:val="%2)"/>
      <w:lvlJc w:val="left"/>
      <w:pPr>
        <w:ind w:left="2160" w:hanging="360"/>
      </w:pPr>
      <w:rPr>
        <w:vertAlign w:val="baseline"/>
      </w:r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8" w15:restartNumberingAfterBreak="0">
    <w:nsid w:val="1A7D70F9"/>
    <w:multiLevelType w:val="hybridMultilevel"/>
    <w:tmpl w:val="A77CB264"/>
    <w:lvl w:ilvl="0" w:tplc="FAA4FD78">
      <w:start w:val="1"/>
      <w:numFmt w:val="bullet"/>
      <w:lvlText w:val=""/>
      <w:lvlJc w:val="left"/>
      <w:pPr>
        <w:ind w:left="720" w:hanging="360"/>
      </w:pPr>
      <w:rPr>
        <w:rFonts w:ascii="Symbol" w:hAnsi="Symbol" w:hint="default"/>
      </w:rPr>
    </w:lvl>
    <w:lvl w:ilvl="1" w:tplc="805A8C6A" w:tentative="1">
      <w:start w:val="1"/>
      <w:numFmt w:val="bullet"/>
      <w:lvlText w:val="o"/>
      <w:lvlJc w:val="left"/>
      <w:pPr>
        <w:ind w:left="1440" w:hanging="360"/>
      </w:pPr>
      <w:rPr>
        <w:rFonts w:ascii="Courier New" w:hAnsi="Courier New" w:cs="Courier New" w:hint="default"/>
      </w:rPr>
    </w:lvl>
    <w:lvl w:ilvl="2" w:tplc="3D30BDA2" w:tentative="1">
      <w:start w:val="1"/>
      <w:numFmt w:val="bullet"/>
      <w:lvlText w:val=""/>
      <w:lvlJc w:val="left"/>
      <w:pPr>
        <w:ind w:left="2160" w:hanging="360"/>
      </w:pPr>
      <w:rPr>
        <w:rFonts w:ascii="Wingdings" w:hAnsi="Wingdings" w:hint="default"/>
      </w:rPr>
    </w:lvl>
    <w:lvl w:ilvl="3" w:tplc="8412406A" w:tentative="1">
      <w:start w:val="1"/>
      <w:numFmt w:val="bullet"/>
      <w:lvlText w:val=""/>
      <w:lvlJc w:val="left"/>
      <w:pPr>
        <w:ind w:left="2880" w:hanging="360"/>
      </w:pPr>
      <w:rPr>
        <w:rFonts w:ascii="Symbol" w:hAnsi="Symbol" w:hint="default"/>
      </w:rPr>
    </w:lvl>
    <w:lvl w:ilvl="4" w:tplc="B2F60210" w:tentative="1">
      <w:start w:val="1"/>
      <w:numFmt w:val="bullet"/>
      <w:lvlText w:val="o"/>
      <w:lvlJc w:val="left"/>
      <w:pPr>
        <w:ind w:left="3600" w:hanging="360"/>
      </w:pPr>
      <w:rPr>
        <w:rFonts w:ascii="Courier New" w:hAnsi="Courier New" w:cs="Courier New" w:hint="default"/>
      </w:rPr>
    </w:lvl>
    <w:lvl w:ilvl="5" w:tplc="80CA546E" w:tentative="1">
      <w:start w:val="1"/>
      <w:numFmt w:val="bullet"/>
      <w:lvlText w:val=""/>
      <w:lvlJc w:val="left"/>
      <w:pPr>
        <w:ind w:left="4320" w:hanging="360"/>
      </w:pPr>
      <w:rPr>
        <w:rFonts w:ascii="Wingdings" w:hAnsi="Wingdings" w:hint="default"/>
      </w:rPr>
    </w:lvl>
    <w:lvl w:ilvl="6" w:tplc="6DA81EAE" w:tentative="1">
      <w:start w:val="1"/>
      <w:numFmt w:val="bullet"/>
      <w:lvlText w:val=""/>
      <w:lvlJc w:val="left"/>
      <w:pPr>
        <w:ind w:left="5040" w:hanging="360"/>
      </w:pPr>
      <w:rPr>
        <w:rFonts w:ascii="Symbol" w:hAnsi="Symbol" w:hint="default"/>
      </w:rPr>
    </w:lvl>
    <w:lvl w:ilvl="7" w:tplc="61684328" w:tentative="1">
      <w:start w:val="1"/>
      <w:numFmt w:val="bullet"/>
      <w:lvlText w:val="o"/>
      <w:lvlJc w:val="left"/>
      <w:pPr>
        <w:ind w:left="5760" w:hanging="360"/>
      </w:pPr>
      <w:rPr>
        <w:rFonts w:ascii="Courier New" w:hAnsi="Courier New" w:cs="Courier New" w:hint="default"/>
      </w:rPr>
    </w:lvl>
    <w:lvl w:ilvl="8" w:tplc="D60AC944" w:tentative="1">
      <w:start w:val="1"/>
      <w:numFmt w:val="bullet"/>
      <w:lvlText w:val=""/>
      <w:lvlJc w:val="left"/>
      <w:pPr>
        <w:ind w:left="6480" w:hanging="360"/>
      </w:pPr>
      <w:rPr>
        <w:rFonts w:ascii="Wingdings" w:hAnsi="Wingdings" w:hint="default"/>
      </w:rPr>
    </w:lvl>
  </w:abstractNum>
  <w:abstractNum w:abstractNumId="29" w15:restartNumberingAfterBreak="0">
    <w:nsid w:val="1ABC20D9"/>
    <w:multiLevelType w:val="hybridMultilevel"/>
    <w:tmpl w:val="7BD8677E"/>
    <w:lvl w:ilvl="0" w:tplc="76B0B7DE">
      <w:start w:val="1"/>
      <w:numFmt w:val="bullet"/>
      <w:lvlText w:val=""/>
      <w:lvlJc w:val="left"/>
      <w:pPr>
        <w:ind w:left="720" w:hanging="360"/>
      </w:pPr>
      <w:rPr>
        <w:rFonts w:ascii="Symbol" w:hAnsi="Symbol"/>
      </w:rPr>
    </w:lvl>
    <w:lvl w:ilvl="1" w:tplc="747AF2A2">
      <w:start w:val="1"/>
      <w:numFmt w:val="bullet"/>
      <w:lvlText w:val="o"/>
      <w:lvlJc w:val="left"/>
      <w:pPr>
        <w:tabs>
          <w:tab w:val="num" w:pos="1440"/>
        </w:tabs>
        <w:ind w:left="1440" w:hanging="360"/>
      </w:pPr>
      <w:rPr>
        <w:rFonts w:ascii="Courier New" w:hAnsi="Courier New"/>
      </w:rPr>
    </w:lvl>
    <w:lvl w:ilvl="2" w:tplc="FBA6C010">
      <w:start w:val="1"/>
      <w:numFmt w:val="bullet"/>
      <w:lvlText w:val=""/>
      <w:lvlJc w:val="left"/>
      <w:pPr>
        <w:tabs>
          <w:tab w:val="num" w:pos="2160"/>
        </w:tabs>
        <w:ind w:left="2160" w:hanging="360"/>
      </w:pPr>
      <w:rPr>
        <w:rFonts w:ascii="Wingdings" w:hAnsi="Wingdings"/>
      </w:rPr>
    </w:lvl>
    <w:lvl w:ilvl="3" w:tplc="BAA849EE">
      <w:start w:val="1"/>
      <w:numFmt w:val="bullet"/>
      <w:lvlText w:val=""/>
      <w:lvlJc w:val="left"/>
      <w:pPr>
        <w:tabs>
          <w:tab w:val="num" w:pos="2880"/>
        </w:tabs>
        <w:ind w:left="2880" w:hanging="360"/>
      </w:pPr>
      <w:rPr>
        <w:rFonts w:ascii="Symbol" w:hAnsi="Symbol"/>
      </w:rPr>
    </w:lvl>
    <w:lvl w:ilvl="4" w:tplc="A3B4BDB2">
      <w:start w:val="1"/>
      <w:numFmt w:val="bullet"/>
      <w:lvlText w:val="o"/>
      <w:lvlJc w:val="left"/>
      <w:pPr>
        <w:tabs>
          <w:tab w:val="num" w:pos="3600"/>
        </w:tabs>
        <w:ind w:left="3600" w:hanging="360"/>
      </w:pPr>
      <w:rPr>
        <w:rFonts w:ascii="Courier New" w:hAnsi="Courier New"/>
      </w:rPr>
    </w:lvl>
    <w:lvl w:ilvl="5" w:tplc="DEF2AAA0">
      <w:start w:val="1"/>
      <w:numFmt w:val="bullet"/>
      <w:lvlText w:val=""/>
      <w:lvlJc w:val="left"/>
      <w:pPr>
        <w:tabs>
          <w:tab w:val="num" w:pos="4320"/>
        </w:tabs>
        <w:ind w:left="4320" w:hanging="360"/>
      </w:pPr>
      <w:rPr>
        <w:rFonts w:ascii="Wingdings" w:hAnsi="Wingdings"/>
      </w:rPr>
    </w:lvl>
    <w:lvl w:ilvl="6" w:tplc="6ADE2FC4">
      <w:start w:val="1"/>
      <w:numFmt w:val="bullet"/>
      <w:lvlText w:val=""/>
      <w:lvlJc w:val="left"/>
      <w:pPr>
        <w:tabs>
          <w:tab w:val="num" w:pos="5040"/>
        </w:tabs>
        <w:ind w:left="5040" w:hanging="360"/>
      </w:pPr>
      <w:rPr>
        <w:rFonts w:ascii="Symbol" w:hAnsi="Symbol"/>
      </w:rPr>
    </w:lvl>
    <w:lvl w:ilvl="7" w:tplc="0030686A">
      <w:start w:val="1"/>
      <w:numFmt w:val="bullet"/>
      <w:lvlText w:val="o"/>
      <w:lvlJc w:val="left"/>
      <w:pPr>
        <w:tabs>
          <w:tab w:val="num" w:pos="5760"/>
        </w:tabs>
        <w:ind w:left="5760" w:hanging="360"/>
      </w:pPr>
      <w:rPr>
        <w:rFonts w:ascii="Courier New" w:hAnsi="Courier New"/>
      </w:rPr>
    </w:lvl>
    <w:lvl w:ilvl="8" w:tplc="36ACAD06">
      <w:start w:val="1"/>
      <w:numFmt w:val="bullet"/>
      <w:lvlText w:val=""/>
      <w:lvlJc w:val="left"/>
      <w:pPr>
        <w:tabs>
          <w:tab w:val="num" w:pos="6480"/>
        </w:tabs>
        <w:ind w:left="6480" w:hanging="360"/>
      </w:pPr>
      <w:rPr>
        <w:rFonts w:ascii="Wingdings" w:hAnsi="Wingdings"/>
      </w:rPr>
    </w:lvl>
  </w:abstractNum>
  <w:abstractNum w:abstractNumId="30" w15:restartNumberingAfterBreak="0">
    <w:nsid w:val="1DEC645F"/>
    <w:multiLevelType w:val="hybridMultilevel"/>
    <w:tmpl w:val="7BD8677A"/>
    <w:lvl w:ilvl="0" w:tplc="81889C7C">
      <w:start w:val="1"/>
      <w:numFmt w:val="bullet"/>
      <w:lvlText w:val=""/>
      <w:lvlJc w:val="left"/>
      <w:pPr>
        <w:ind w:left="720" w:hanging="360"/>
      </w:pPr>
      <w:rPr>
        <w:rFonts w:ascii="Symbol" w:hAnsi="Symbol"/>
      </w:rPr>
    </w:lvl>
    <w:lvl w:ilvl="1" w:tplc="DEFE67CA">
      <w:start w:val="1"/>
      <w:numFmt w:val="bullet"/>
      <w:lvlText w:val="o"/>
      <w:lvlJc w:val="left"/>
      <w:pPr>
        <w:tabs>
          <w:tab w:val="num" w:pos="1440"/>
        </w:tabs>
        <w:ind w:left="1440" w:hanging="360"/>
      </w:pPr>
      <w:rPr>
        <w:rFonts w:ascii="Courier New" w:hAnsi="Courier New"/>
      </w:rPr>
    </w:lvl>
    <w:lvl w:ilvl="2" w:tplc="227675E2">
      <w:start w:val="1"/>
      <w:numFmt w:val="bullet"/>
      <w:lvlText w:val=""/>
      <w:lvlJc w:val="left"/>
      <w:pPr>
        <w:tabs>
          <w:tab w:val="num" w:pos="2160"/>
        </w:tabs>
        <w:ind w:left="2160" w:hanging="360"/>
      </w:pPr>
      <w:rPr>
        <w:rFonts w:ascii="Wingdings" w:hAnsi="Wingdings"/>
      </w:rPr>
    </w:lvl>
    <w:lvl w:ilvl="3" w:tplc="017C3DB2">
      <w:start w:val="1"/>
      <w:numFmt w:val="bullet"/>
      <w:lvlText w:val=""/>
      <w:lvlJc w:val="left"/>
      <w:pPr>
        <w:tabs>
          <w:tab w:val="num" w:pos="2880"/>
        </w:tabs>
        <w:ind w:left="2880" w:hanging="360"/>
      </w:pPr>
      <w:rPr>
        <w:rFonts w:ascii="Symbol" w:hAnsi="Symbol"/>
      </w:rPr>
    </w:lvl>
    <w:lvl w:ilvl="4" w:tplc="5ED82022">
      <w:start w:val="1"/>
      <w:numFmt w:val="bullet"/>
      <w:lvlText w:val="o"/>
      <w:lvlJc w:val="left"/>
      <w:pPr>
        <w:tabs>
          <w:tab w:val="num" w:pos="3600"/>
        </w:tabs>
        <w:ind w:left="3600" w:hanging="360"/>
      </w:pPr>
      <w:rPr>
        <w:rFonts w:ascii="Courier New" w:hAnsi="Courier New"/>
      </w:rPr>
    </w:lvl>
    <w:lvl w:ilvl="5" w:tplc="F91AF9C4">
      <w:start w:val="1"/>
      <w:numFmt w:val="bullet"/>
      <w:lvlText w:val=""/>
      <w:lvlJc w:val="left"/>
      <w:pPr>
        <w:tabs>
          <w:tab w:val="num" w:pos="4320"/>
        </w:tabs>
        <w:ind w:left="4320" w:hanging="360"/>
      </w:pPr>
      <w:rPr>
        <w:rFonts w:ascii="Wingdings" w:hAnsi="Wingdings"/>
      </w:rPr>
    </w:lvl>
    <w:lvl w:ilvl="6" w:tplc="7F6CF868">
      <w:start w:val="1"/>
      <w:numFmt w:val="bullet"/>
      <w:lvlText w:val=""/>
      <w:lvlJc w:val="left"/>
      <w:pPr>
        <w:tabs>
          <w:tab w:val="num" w:pos="5040"/>
        </w:tabs>
        <w:ind w:left="5040" w:hanging="360"/>
      </w:pPr>
      <w:rPr>
        <w:rFonts w:ascii="Symbol" w:hAnsi="Symbol"/>
      </w:rPr>
    </w:lvl>
    <w:lvl w:ilvl="7" w:tplc="3FA6514C">
      <w:start w:val="1"/>
      <w:numFmt w:val="bullet"/>
      <w:lvlText w:val="o"/>
      <w:lvlJc w:val="left"/>
      <w:pPr>
        <w:tabs>
          <w:tab w:val="num" w:pos="5760"/>
        </w:tabs>
        <w:ind w:left="5760" w:hanging="360"/>
      </w:pPr>
      <w:rPr>
        <w:rFonts w:ascii="Courier New" w:hAnsi="Courier New"/>
      </w:rPr>
    </w:lvl>
    <w:lvl w:ilvl="8" w:tplc="3DF8A99A">
      <w:start w:val="1"/>
      <w:numFmt w:val="bullet"/>
      <w:lvlText w:val=""/>
      <w:lvlJc w:val="left"/>
      <w:pPr>
        <w:tabs>
          <w:tab w:val="num" w:pos="6480"/>
        </w:tabs>
        <w:ind w:left="6480" w:hanging="360"/>
      </w:pPr>
      <w:rPr>
        <w:rFonts w:ascii="Wingdings" w:hAnsi="Wingdings"/>
      </w:rPr>
    </w:lvl>
  </w:abstractNum>
  <w:abstractNum w:abstractNumId="31" w15:restartNumberingAfterBreak="0">
    <w:nsid w:val="21225D97"/>
    <w:multiLevelType w:val="hybridMultilevel"/>
    <w:tmpl w:val="AFE69DB6"/>
    <w:lvl w:ilvl="0" w:tplc="E74E45D4">
      <w:start w:val="1"/>
      <w:numFmt w:val="decimal"/>
      <w:lvlText w:val="%1."/>
      <w:lvlJc w:val="left"/>
      <w:pPr>
        <w:ind w:left="1440" w:hanging="360"/>
      </w:pPr>
      <w:rPr>
        <w:b/>
      </w:rPr>
    </w:lvl>
    <w:lvl w:ilvl="1" w:tplc="28B28500" w:tentative="1">
      <w:start w:val="1"/>
      <w:numFmt w:val="lowerLetter"/>
      <w:lvlText w:val="%2."/>
      <w:lvlJc w:val="left"/>
      <w:pPr>
        <w:ind w:left="1440" w:hanging="360"/>
      </w:pPr>
    </w:lvl>
    <w:lvl w:ilvl="2" w:tplc="DA16125C" w:tentative="1">
      <w:start w:val="1"/>
      <w:numFmt w:val="lowerRoman"/>
      <w:lvlText w:val="%3."/>
      <w:lvlJc w:val="right"/>
      <w:pPr>
        <w:ind w:left="2160" w:hanging="180"/>
      </w:pPr>
    </w:lvl>
    <w:lvl w:ilvl="3" w:tplc="AD948EC8" w:tentative="1">
      <w:start w:val="1"/>
      <w:numFmt w:val="decimal"/>
      <w:lvlText w:val="%4."/>
      <w:lvlJc w:val="left"/>
      <w:pPr>
        <w:ind w:left="2880" w:hanging="360"/>
      </w:pPr>
    </w:lvl>
    <w:lvl w:ilvl="4" w:tplc="289EB2E2" w:tentative="1">
      <w:start w:val="1"/>
      <w:numFmt w:val="lowerLetter"/>
      <w:lvlText w:val="%5."/>
      <w:lvlJc w:val="left"/>
      <w:pPr>
        <w:ind w:left="3600" w:hanging="360"/>
      </w:pPr>
    </w:lvl>
    <w:lvl w:ilvl="5" w:tplc="116E147C" w:tentative="1">
      <w:start w:val="1"/>
      <w:numFmt w:val="lowerRoman"/>
      <w:lvlText w:val="%6."/>
      <w:lvlJc w:val="right"/>
      <w:pPr>
        <w:ind w:left="4320" w:hanging="180"/>
      </w:pPr>
    </w:lvl>
    <w:lvl w:ilvl="6" w:tplc="52E22008" w:tentative="1">
      <w:start w:val="1"/>
      <w:numFmt w:val="decimal"/>
      <w:lvlText w:val="%7."/>
      <w:lvlJc w:val="left"/>
      <w:pPr>
        <w:ind w:left="5040" w:hanging="360"/>
      </w:pPr>
    </w:lvl>
    <w:lvl w:ilvl="7" w:tplc="55EC9CCE" w:tentative="1">
      <w:start w:val="1"/>
      <w:numFmt w:val="lowerLetter"/>
      <w:lvlText w:val="%8."/>
      <w:lvlJc w:val="left"/>
      <w:pPr>
        <w:ind w:left="5760" w:hanging="360"/>
      </w:pPr>
    </w:lvl>
    <w:lvl w:ilvl="8" w:tplc="23E20A1C" w:tentative="1">
      <w:start w:val="1"/>
      <w:numFmt w:val="lowerRoman"/>
      <w:lvlText w:val="%9."/>
      <w:lvlJc w:val="right"/>
      <w:pPr>
        <w:ind w:left="6480" w:hanging="180"/>
      </w:pPr>
    </w:lvl>
  </w:abstractNum>
  <w:abstractNum w:abstractNumId="32" w15:restartNumberingAfterBreak="0">
    <w:nsid w:val="21376297"/>
    <w:multiLevelType w:val="hybridMultilevel"/>
    <w:tmpl w:val="132E50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3" w15:restartNumberingAfterBreak="0">
    <w:nsid w:val="218D4D50"/>
    <w:multiLevelType w:val="hybridMultilevel"/>
    <w:tmpl w:val="C42415BA"/>
    <w:lvl w:ilvl="0" w:tplc="1AA23006">
      <w:start w:val="1"/>
      <w:numFmt w:val="lowerLetter"/>
      <w:lvlText w:val="%1."/>
      <w:lvlJc w:val="left"/>
      <w:pPr>
        <w:ind w:left="2880" w:hanging="360"/>
      </w:pPr>
      <w:rPr>
        <w:rFonts w:hint="default"/>
        <w:b/>
      </w:rPr>
    </w:lvl>
    <w:lvl w:ilvl="1" w:tplc="A552C602" w:tentative="1">
      <w:start w:val="1"/>
      <w:numFmt w:val="lowerLetter"/>
      <w:lvlText w:val="%2."/>
      <w:lvlJc w:val="left"/>
      <w:pPr>
        <w:ind w:left="3600" w:hanging="360"/>
      </w:pPr>
    </w:lvl>
    <w:lvl w:ilvl="2" w:tplc="B492C776" w:tentative="1">
      <w:start w:val="1"/>
      <w:numFmt w:val="lowerRoman"/>
      <w:lvlText w:val="%3."/>
      <w:lvlJc w:val="right"/>
      <w:pPr>
        <w:ind w:left="4320" w:hanging="180"/>
      </w:pPr>
    </w:lvl>
    <w:lvl w:ilvl="3" w:tplc="A62688D6" w:tentative="1">
      <w:start w:val="1"/>
      <w:numFmt w:val="decimal"/>
      <w:lvlText w:val="%4."/>
      <w:lvlJc w:val="left"/>
      <w:pPr>
        <w:ind w:left="5040" w:hanging="360"/>
      </w:pPr>
    </w:lvl>
    <w:lvl w:ilvl="4" w:tplc="05781F30" w:tentative="1">
      <w:start w:val="1"/>
      <w:numFmt w:val="lowerLetter"/>
      <w:lvlText w:val="%5."/>
      <w:lvlJc w:val="left"/>
      <w:pPr>
        <w:ind w:left="5760" w:hanging="360"/>
      </w:pPr>
    </w:lvl>
    <w:lvl w:ilvl="5" w:tplc="C290A3BA" w:tentative="1">
      <w:start w:val="1"/>
      <w:numFmt w:val="lowerRoman"/>
      <w:lvlText w:val="%6."/>
      <w:lvlJc w:val="right"/>
      <w:pPr>
        <w:ind w:left="6480" w:hanging="180"/>
      </w:pPr>
    </w:lvl>
    <w:lvl w:ilvl="6" w:tplc="A2D2C460" w:tentative="1">
      <w:start w:val="1"/>
      <w:numFmt w:val="decimal"/>
      <w:lvlText w:val="%7."/>
      <w:lvlJc w:val="left"/>
      <w:pPr>
        <w:ind w:left="7200" w:hanging="360"/>
      </w:pPr>
    </w:lvl>
    <w:lvl w:ilvl="7" w:tplc="46CEB71E" w:tentative="1">
      <w:start w:val="1"/>
      <w:numFmt w:val="lowerLetter"/>
      <w:lvlText w:val="%8."/>
      <w:lvlJc w:val="left"/>
      <w:pPr>
        <w:ind w:left="7920" w:hanging="360"/>
      </w:pPr>
    </w:lvl>
    <w:lvl w:ilvl="8" w:tplc="74821A4C" w:tentative="1">
      <w:start w:val="1"/>
      <w:numFmt w:val="lowerRoman"/>
      <w:lvlText w:val="%9."/>
      <w:lvlJc w:val="right"/>
      <w:pPr>
        <w:ind w:left="8640" w:hanging="180"/>
      </w:pPr>
    </w:lvl>
  </w:abstractNum>
  <w:abstractNum w:abstractNumId="34" w15:restartNumberingAfterBreak="0">
    <w:nsid w:val="2278153A"/>
    <w:multiLevelType w:val="hybridMultilevel"/>
    <w:tmpl w:val="7D5CCFE2"/>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251E396A"/>
    <w:multiLevelType w:val="hybridMultilevel"/>
    <w:tmpl w:val="442470E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252F24C1"/>
    <w:multiLevelType w:val="hybridMultilevel"/>
    <w:tmpl w:val="59384252"/>
    <w:lvl w:ilvl="0" w:tplc="52A6FFCA">
      <w:start w:val="1"/>
      <w:numFmt w:val="bullet"/>
      <w:lvlText w:val=""/>
      <w:lvlJc w:val="left"/>
      <w:pPr>
        <w:ind w:left="720" w:hanging="360"/>
      </w:pPr>
      <w:rPr>
        <w:rFonts w:ascii="Symbol" w:hAnsi="Symbol" w:hint="default"/>
      </w:rPr>
    </w:lvl>
    <w:lvl w:ilvl="1" w:tplc="A2DC6CA8" w:tentative="1">
      <w:start w:val="1"/>
      <w:numFmt w:val="bullet"/>
      <w:lvlText w:val="o"/>
      <w:lvlJc w:val="left"/>
      <w:pPr>
        <w:ind w:left="1440" w:hanging="360"/>
      </w:pPr>
      <w:rPr>
        <w:rFonts w:ascii="Courier New" w:hAnsi="Courier New" w:cs="Courier New" w:hint="default"/>
      </w:rPr>
    </w:lvl>
    <w:lvl w:ilvl="2" w:tplc="D598C544" w:tentative="1">
      <w:start w:val="1"/>
      <w:numFmt w:val="bullet"/>
      <w:lvlText w:val=""/>
      <w:lvlJc w:val="left"/>
      <w:pPr>
        <w:ind w:left="2160" w:hanging="360"/>
      </w:pPr>
      <w:rPr>
        <w:rFonts w:ascii="Wingdings" w:hAnsi="Wingdings" w:hint="default"/>
      </w:rPr>
    </w:lvl>
    <w:lvl w:ilvl="3" w:tplc="6B8A0218" w:tentative="1">
      <w:start w:val="1"/>
      <w:numFmt w:val="bullet"/>
      <w:lvlText w:val=""/>
      <w:lvlJc w:val="left"/>
      <w:pPr>
        <w:ind w:left="2880" w:hanging="360"/>
      </w:pPr>
      <w:rPr>
        <w:rFonts w:ascii="Symbol" w:hAnsi="Symbol" w:hint="default"/>
      </w:rPr>
    </w:lvl>
    <w:lvl w:ilvl="4" w:tplc="8CF8B20A" w:tentative="1">
      <w:start w:val="1"/>
      <w:numFmt w:val="bullet"/>
      <w:lvlText w:val="o"/>
      <w:lvlJc w:val="left"/>
      <w:pPr>
        <w:ind w:left="3600" w:hanging="360"/>
      </w:pPr>
      <w:rPr>
        <w:rFonts w:ascii="Courier New" w:hAnsi="Courier New" w:cs="Courier New" w:hint="default"/>
      </w:rPr>
    </w:lvl>
    <w:lvl w:ilvl="5" w:tplc="A9408F98" w:tentative="1">
      <w:start w:val="1"/>
      <w:numFmt w:val="bullet"/>
      <w:lvlText w:val=""/>
      <w:lvlJc w:val="left"/>
      <w:pPr>
        <w:ind w:left="4320" w:hanging="360"/>
      </w:pPr>
      <w:rPr>
        <w:rFonts w:ascii="Wingdings" w:hAnsi="Wingdings" w:hint="default"/>
      </w:rPr>
    </w:lvl>
    <w:lvl w:ilvl="6" w:tplc="3EE89A88" w:tentative="1">
      <w:start w:val="1"/>
      <w:numFmt w:val="bullet"/>
      <w:lvlText w:val=""/>
      <w:lvlJc w:val="left"/>
      <w:pPr>
        <w:ind w:left="5040" w:hanging="360"/>
      </w:pPr>
      <w:rPr>
        <w:rFonts w:ascii="Symbol" w:hAnsi="Symbol" w:hint="default"/>
      </w:rPr>
    </w:lvl>
    <w:lvl w:ilvl="7" w:tplc="DEDC5D12" w:tentative="1">
      <w:start w:val="1"/>
      <w:numFmt w:val="bullet"/>
      <w:lvlText w:val="o"/>
      <w:lvlJc w:val="left"/>
      <w:pPr>
        <w:ind w:left="5760" w:hanging="360"/>
      </w:pPr>
      <w:rPr>
        <w:rFonts w:ascii="Courier New" w:hAnsi="Courier New" w:cs="Courier New" w:hint="default"/>
      </w:rPr>
    </w:lvl>
    <w:lvl w:ilvl="8" w:tplc="E3F61630" w:tentative="1">
      <w:start w:val="1"/>
      <w:numFmt w:val="bullet"/>
      <w:lvlText w:val=""/>
      <w:lvlJc w:val="left"/>
      <w:pPr>
        <w:ind w:left="6480" w:hanging="360"/>
      </w:pPr>
      <w:rPr>
        <w:rFonts w:ascii="Wingdings" w:hAnsi="Wingdings" w:hint="default"/>
      </w:rPr>
    </w:lvl>
  </w:abstractNum>
  <w:abstractNum w:abstractNumId="37" w15:restartNumberingAfterBreak="0">
    <w:nsid w:val="26CB646E"/>
    <w:multiLevelType w:val="multilevel"/>
    <w:tmpl w:val="A3BC1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3"/>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8120153"/>
    <w:multiLevelType w:val="hybridMultilevel"/>
    <w:tmpl w:val="0FBC02C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6B5513"/>
    <w:multiLevelType w:val="hybridMultilevel"/>
    <w:tmpl w:val="E4785784"/>
    <w:lvl w:ilvl="0" w:tplc="70863CA4">
      <w:start w:val="1"/>
      <w:numFmt w:val="lowerLetter"/>
      <w:lvlText w:val="%1."/>
      <w:lvlJc w:val="left"/>
      <w:pPr>
        <w:ind w:left="720" w:hanging="360"/>
      </w:pPr>
      <w:rPr>
        <w:rFonts w:hint="default"/>
        <w:b/>
      </w:rPr>
    </w:lvl>
    <w:lvl w:ilvl="1" w:tplc="BA34E1AC" w:tentative="1">
      <w:start w:val="1"/>
      <w:numFmt w:val="lowerLetter"/>
      <w:lvlText w:val="%2."/>
      <w:lvlJc w:val="left"/>
      <w:pPr>
        <w:ind w:left="1440" w:hanging="360"/>
      </w:pPr>
    </w:lvl>
    <w:lvl w:ilvl="2" w:tplc="1E727BF0" w:tentative="1">
      <w:start w:val="1"/>
      <w:numFmt w:val="lowerRoman"/>
      <w:lvlText w:val="%3."/>
      <w:lvlJc w:val="right"/>
      <w:pPr>
        <w:ind w:left="2160" w:hanging="180"/>
      </w:pPr>
    </w:lvl>
    <w:lvl w:ilvl="3" w:tplc="09821DC6" w:tentative="1">
      <w:start w:val="1"/>
      <w:numFmt w:val="decimal"/>
      <w:lvlText w:val="%4."/>
      <w:lvlJc w:val="left"/>
      <w:pPr>
        <w:ind w:left="2880" w:hanging="360"/>
      </w:pPr>
    </w:lvl>
    <w:lvl w:ilvl="4" w:tplc="BAC8FBB4" w:tentative="1">
      <w:start w:val="1"/>
      <w:numFmt w:val="lowerLetter"/>
      <w:lvlText w:val="%5."/>
      <w:lvlJc w:val="left"/>
      <w:pPr>
        <w:ind w:left="3600" w:hanging="360"/>
      </w:pPr>
    </w:lvl>
    <w:lvl w:ilvl="5" w:tplc="CDD891C4" w:tentative="1">
      <w:start w:val="1"/>
      <w:numFmt w:val="lowerRoman"/>
      <w:lvlText w:val="%6."/>
      <w:lvlJc w:val="right"/>
      <w:pPr>
        <w:ind w:left="4320" w:hanging="180"/>
      </w:pPr>
    </w:lvl>
    <w:lvl w:ilvl="6" w:tplc="878EFADA" w:tentative="1">
      <w:start w:val="1"/>
      <w:numFmt w:val="decimal"/>
      <w:lvlText w:val="%7."/>
      <w:lvlJc w:val="left"/>
      <w:pPr>
        <w:ind w:left="5040" w:hanging="360"/>
      </w:pPr>
    </w:lvl>
    <w:lvl w:ilvl="7" w:tplc="2250D1E4" w:tentative="1">
      <w:start w:val="1"/>
      <w:numFmt w:val="lowerLetter"/>
      <w:lvlText w:val="%8."/>
      <w:lvlJc w:val="left"/>
      <w:pPr>
        <w:ind w:left="5760" w:hanging="360"/>
      </w:pPr>
    </w:lvl>
    <w:lvl w:ilvl="8" w:tplc="9E5A5040" w:tentative="1">
      <w:start w:val="1"/>
      <w:numFmt w:val="lowerRoman"/>
      <w:lvlText w:val="%9."/>
      <w:lvlJc w:val="right"/>
      <w:pPr>
        <w:ind w:left="6480" w:hanging="180"/>
      </w:pPr>
    </w:lvl>
  </w:abstractNum>
  <w:abstractNum w:abstractNumId="40" w15:restartNumberingAfterBreak="0">
    <w:nsid w:val="28DD5428"/>
    <w:multiLevelType w:val="hybridMultilevel"/>
    <w:tmpl w:val="79868BB2"/>
    <w:lvl w:ilvl="0" w:tplc="AB80ED48">
      <w:start w:val="1"/>
      <w:numFmt w:val="bullet"/>
      <w:lvlText w:val=""/>
      <w:lvlJc w:val="left"/>
      <w:pPr>
        <w:ind w:left="1800" w:hanging="360"/>
      </w:pPr>
      <w:rPr>
        <w:rFonts w:ascii="Symbol" w:hAnsi="Symbol" w:hint="default"/>
      </w:rPr>
    </w:lvl>
    <w:lvl w:ilvl="1" w:tplc="93245536" w:tentative="1">
      <w:start w:val="1"/>
      <w:numFmt w:val="bullet"/>
      <w:lvlText w:val="o"/>
      <w:lvlJc w:val="left"/>
      <w:pPr>
        <w:ind w:left="2520" w:hanging="360"/>
      </w:pPr>
      <w:rPr>
        <w:rFonts w:ascii="Courier New" w:hAnsi="Courier New" w:cs="Courier New" w:hint="default"/>
      </w:rPr>
    </w:lvl>
    <w:lvl w:ilvl="2" w:tplc="713C7988" w:tentative="1">
      <w:start w:val="1"/>
      <w:numFmt w:val="bullet"/>
      <w:lvlText w:val=""/>
      <w:lvlJc w:val="left"/>
      <w:pPr>
        <w:ind w:left="3240" w:hanging="360"/>
      </w:pPr>
      <w:rPr>
        <w:rFonts w:ascii="Wingdings" w:hAnsi="Wingdings" w:hint="default"/>
      </w:rPr>
    </w:lvl>
    <w:lvl w:ilvl="3" w:tplc="F3468576" w:tentative="1">
      <w:start w:val="1"/>
      <w:numFmt w:val="bullet"/>
      <w:lvlText w:val=""/>
      <w:lvlJc w:val="left"/>
      <w:pPr>
        <w:ind w:left="3960" w:hanging="360"/>
      </w:pPr>
      <w:rPr>
        <w:rFonts w:ascii="Symbol" w:hAnsi="Symbol" w:hint="default"/>
      </w:rPr>
    </w:lvl>
    <w:lvl w:ilvl="4" w:tplc="658AEEDA" w:tentative="1">
      <w:start w:val="1"/>
      <w:numFmt w:val="bullet"/>
      <w:lvlText w:val="o"/>
      <w:lvlJc w:val="left"/>
      <w:pPr>
        <w:ind w:left="4680" w:hanging="360"/>
      </w:pPr>
      <w:rPr>
        <w:rFonts w:ascii="Courier New" w:hAnsi="Courier New" w:cs="Courier New" w:hint="default"/>
      </w:rPr>
    </w:lvl>
    <w:lvl w:ilvl="5" w:tplc="CB3C51D4" w:tentative="1">
      <w:start w:val="1"/>
      <w:numFmt w:val="bullet"/>
      <w:lvlText w:val=""/>
      <w:lvlJc w:val="left"/>
      <w:pPr>
        <w:ind w:left="5400" w:hanging="360"/>
      </w:pPr>
      <w:rPr>
        <w:rFonts w:ascii="Wingdings" w:hAnsi="Wingdings" w:hint="default"/>
      </w:rPr>
    </w:lvl>
    <w:lvl w:ilvl="6" w:tplc="B18A88D8" w:tentative="1">
      <w:start w:val="1"/>
      <w:numFmt w:val="bullet"/>
      <w:lvlText w:val=""/>
      <w:lvlJc w:val="left"/>
      <w:pPr>
        <w:ind w:left="6120" w:hanging="360"/>
      </w:pPr>
      <w:rPr>
        <w:rFonts w:ascii="Symbol" w:hAnsi="Symbol" w:hint="default"/>
      </w:rPr>
    </w:lvl>
    <w:lvl w:ilvl="7" w:tplc="51F4774C" w:tentative="1">
      <w:start w:val="1"/>
      <w:numFmt w:val="bullet"/>
      <w:lvlText w:val="o"/>
      <w:lvlJc w:val="left"/>
      <w:pPr>
        <w:ind w:left="6840" w:hanging="360"/>
      </w:pPr>
      <w:rPr>
        <w:rFonts w:ascii="Courier New" w:hAnsi="Courier New" w:cs="Courier New" w:hint="default"/>
      </w:rPr>
    </w:lvl>
    <w:lvl w:ilvl="8" w:tplc="13423C7A" w:tentative="1">
      <w:start w:val="1"/>
      <w:numFmt w:val="bullet"/>
      <w:lvlText w:val=""/>
      <w:lvlJc w:val="left"/>
      <w:pPr>
        <w:ind w:left="7560" w:hanging="360"/>
      </w:pPr>
      <w:rPr>
        <w:rFonts w:ascii="Wingdings" w:hAnsi="Wingdings" w:hint="default"/>
      </w:rPr>
    </w:lvl>
  </w:abstractNum>
  <w:abstractNum w:abstractNumId="41" w15:restartNumberingAfterBreak="0">
    <w:nsid w:val="28FE4E91"/>
    <w:multiLevelType w:val="hybridMultilevel"/>
    <w:tmpl w:val="AAA400AE"/>
    <w:lvl w:ilvl="0" w:tplc="59B4A2D8">
      <w:start w:val="1"/>
      <w:numFmt w:val="bullet"/>
      <w:lvlText w:val=""/>
      <w:lvlJc w:val="left"/>
      <w:pPr>
        <w:ind w:left="2520" w:hanging="360"/>
      </w:pPr>
      <w:rPr>
        <w:rFonts w:ascii="Symbol" w:hAnsi="Symbol" w:hint="default"/>
      </w:rPr>
    </w:lvl>
    <w:lvl w:ilvl="1" w:tplc="D9DEAC5E" w:tentative="1">
      <w:start w:val="1"/>
      <w:numFmt w:val="bullet"/>
      <w:lvlText w:val="o"/>
      <w:lvlJc w:val="left"/>
      <w:pPr>
        <w:ind w:left="3240" w:hanging="360"/>
      </w:pPr>
      <w:rPr>
        <w:rFonts w:ascii="Courier New" w:hAnsi="Courier New" w:cs="Courier New" w:hint="default"/>
      </w:rPr>
    </w:lvl>
    <w:lvl w:ilvl="2" w:tplc="084821A8" w:tentative="1">
      <w:start w:val="1"/>
      <w:numFmt w:val="bullet"/>
      <w:lvlText w:val=""/>
      <w:lvlJc w:val="left"/>
      <w:pPr>
        <w:ind w:left="3960" w:hanging="360"/>
      </w:pPr>
      <w:rPr>
        <w:rFonts w:ascii="Wingdings" w:hAnsi="Wingdings" w:hint="default"/>
      </w:rPr>
    </w:lvl>
    <w:lvl w:ilvl="3" w:tplc="9E94FF38" w:tentative="1">
      <w:start w:val="1"/>
      <w:numFmt w:val="bullet"/>
      <w:lvlText w:val=""/>
      <w:lvlJc w:val="left"/>
      <w:pPr>
        <w:ind w:left="4680" w:hanging="360"/>
      </w:pPr>
      <w:rPr>
        <w:rFonts w:ascii="Symbol" w:hAnsi="Symbol" w:hint="default"/>
      </w:rPr>
    </w:lvl>
    <w:lvl w:ilvl="4" w:tplc="8C9E168E" w:tentative="1">
      <w:start w:val="1"/>
      <w:numFmt w:val="bullet"/>
      <w:lvlText w:val="o"/>
      <w:lvlJc w:val="left"/>
      <w:pPr>
        <w:ind w:left="5400" w:hanging="360"/>
      </w:pPr>
      <w:rPr>
        <w:rFonts w:ascii="Courier New" w:hAnsi="Courier New" w:cs="Courier New" w:hint="default"/>
      </w:rPr>
    </w:lvl>
    <w:lvl w:ilvl="5" w:tplc="AEF21ECA" w:tentative="1">
      <w:start w:val="1"/>
      <w:numFmt w:val="bullet"/>
      <w:lvlText w:val=""/>
      <w:lvlJc w:val="left"/>
      <w:pPr>
        <w:ind w:left="6120" w:hanging="360"/>
      </w:pPr>
      <w:rPr>
        <w:rFonts w:ascii="Wingdings" w:hAnsi="Wingdings" w:hint="default"/>
      </w:rPr>
    </w:lvl>
    <w:lvl w:ilvl="6" w:tplc="73F27F26" w:tentative="1">
      <w:start w:val="1"/>
      <w:numFmt w:val="bullet"/>
      <w:lvlText w:val=""/>
      <w:lvlJc w:val="left"/>
      <w:pPr>
        <w:ind w:left="6840" w:hanging="360"/>
      </w:pPr>
      <w:rPr>
        <w:rFonts w:ascii="Symbol" w:hAnsi="Symbol" w:hint="default"/>
      </w:rPr>
    </w:lvl>
    <w:lvl w:ilvl="7" w:tplc="494A0174" w:tentative="1">
      <w:start w:val="1"/>
      <w:numFmt w:val="bullet"/>
      <w:lvlText w:val="o"/>
      <w:lvlJc w:val="left"/>
      <w:pPr>
        <w:ind w:left="7560" w:hanging="360"/>
      </w:pPr>
      <w:rPr>
        <w:rFonts w:ascii="Courier New" w:hAnsi="Courier New" w:cs="Courier New" w:hint="default"/>
      </w:rPr>
    </w:lvl>
    <w:lvl w:ilvl="8" w:tplc="0FE4165A" w:tentative="1">
      <w:start w:val="1"/>
      <w:numFmt w:val="bullet"/>
      <w:lvlText w:val=""/>
      <w:lvlJc w:val="left"/>
      <w:pPr>
        <w:ind w:left="8280" w:hanging="360"/>
      </w:pPr>
      <w:rPr>
        <w:rFonts w:ascii="Wingdings" w:hAnsi="Wingdings" w:hint="default"/>
      </w:rPr>
    </w:lvl>
  </w:abstractNum>
  <w:abstractNum w:abstractNumId="42" w15:restartNumberingAfterBreak="0">
    <w:nsid w:val="2A2E667C"/>
    <w:multiLevelType w:val="hybridMultilevel"/>
    <w:tmpl w:val="EB301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2AC73C65"/>
    <w:multiLevelType w:val="hybridMultilevel"/>
    <w:tmpl w:val="CF243032"/>
    <w:lvl w:ilvl="0" w:tplc="4DF29C52">
      <w:start w:val="1"/>
      <w:numFmt w:val="decimal"/>
      <w:lvlText w:val="%1."/>
      <w:lvlJc w:val="left"/>
      <w:pPr>
        <w:ind w:left="720" w:hanging="360"/>
      </w:pPr>
      <w:rPr>
        <w:b/>
      </w:rPr>
    </w:lvl>
    <w:lvl w:ilvl="1" w:tplc="A25C11F4" w:tentative="1">
      <w:start w:val="1"/>
      <w:numFmt w:val="lowerLetter"/>
      <w:lvlText w:val="%2."/>
      <w:lvlJc w:val="left"/>
      <w:pPr>
        <w:ind w:left="1440" w:hanging="360"/>
      </w:pPr>
    </w:lvl>
    <w:lvl w:ilvl="2" w:tplc="21CE3F00" w:tentative="1">
      <w:start w:val="1"/>
      <w:numFmt w:val="lowerRoman"/>
      <w:lvlText w:val="%3."/>
      <w:lvlJc w:val="right"/>
      <w:pPr>
        <w:ind w:left="2160" w:hanging="180"/>
      </w:pPr>
    </w:lvl>
    <w:lvl w:ilvl="3" w:tplc="6FD820C4" w:tentative="1">
      <w:start w:val="1"/>
      <w:numFmt w:val="decimal"/>
      <w:lvlText w:val="%4."/>
      <w:lvlJc w:val="left"/>
      <w:pPr>
        <w:ind w:left="2880" w:hanging="360"/>
      </w:pPr>
    </w:lvl>
    <w:lvl w:ilvl="4" w:tplc="502CFA98" w:tentative="1">
      <w:start w:val="1"/>
      <w:numFmt w:val="lowerLetter"/>
      <w:lvlText w:val="%5."/>
      <w:lvlJc w:val="left"/>
      <w:pPr>
        <w:ind w:left="3600" w:hanging="360"/>
      </w:pPr>
    </w:lvl>
    <w:lvl w:ilvl="5" w:tplc="5762A89A" w:tentative="1">
      <w:start w:val="1"/>
      <w:numFmt w:val="lowerRoman"/>
      <w:lvlText w:val="%6."/>
      <w:lvlJc w:val="right"/>
      <w:pPr>
        <w:ind w:left="4320" w:hanging="180"/>
      </w:pPr>
    </w:lvl>
    <w:lvl w:ilvl="6" w:tplc="A126ABE4" w:tentative="1">
      <w:start w:val="1"/>
      <w:numFmt w:val="decimal"/>
      <w:lvlText w:val="%7."/>
      <w:lvlJc w:val="left"/>
      <w:pPr>
        <w:ind w:left="5040" w:hanging="360"/>
      </w:pPr>
    </w:lvl>
    <w:lvl w:ilvl="7" w:tplc="B4BC3BE2" w:tentative="1">
      <w:start w:val="1"/>
      <w:numFmt w:val="lowerLetter"/>
      <w:lvlText w:val="%8."/>
      <w:lvlJc w:val="left"/>
      <w:pPr>
        <w:ind w:left="5760" w:hanging="360"/>
      </w:pPr>
    </w:lvl>
    <w:lvl w:ilvl="8" w:tplc="D7045A8C" w:tentative="1">
      <w:start w:val="1"/>
      <w:numFmt w:val="lowerRoman"/>
      <w:lvlText w:val="%9."/>
      <w:lvlJc w:val="right"/>
      <w:pPr>
        <w:ind w:left="6480" w:hanging="180"/>
      </w:pPr>
    </w:lvl>
  </w:abstractNum>
  <w:abstractNum w:abstractNumId="44" w15:restartNumberingAfterBreak="0">
    <w:nsid w:val="2B261B26"/>
    <w:multiLevelType w:val="hybridMultilevel"/>
    <w:tmpl w:val="BB8A13B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2EF40601"/>
    <w:multiLevelType w:val="hybridMultilevel"/>
    <w:tmpl w:val="49BABD16"/>
    <w:lvl w:ilvl="0" w:tplc="570AA66C">
      <w:start w:val="1"/>
      <w:numFmt w:val="decimal"/>
      <w:lvlText w:val="(%1)"/>
      <w:lvlJc w:val="left"/>
      <w:pPr>
        <w:ind w:left="720" w:hanging="360"/>
      </w:pPr>
      <w:rPr>
        <w:rFonts w:hint="default"/>
        <w:b/>
      </w:rPr>
    </w:lvl>
    <w:lvl w:ilvl="1" w:tplc="E7DA4642">
      <w:start w:val="1"/>
      <w:numFmt w:val="lowerLetter"/>
      <w:lvlText w:val="%2."/>
      <w:lvlJc w:val="left"/>
      <w:pPr>
        <w:ind w:left="1440" w:hanging="360"/>
      </w:pPr>
    </w:lvl>
    <w:lvl w:ilvl="2" w:tplc="BFFA808A" w:tentative="1">
      <w:start w:val="1"/>
      <w:numFmt w:val="lowerRoman"/>
      <w:lvlText w:val="%3."/>
      <w:lvlJc w:val="right"/>
      <w:pPr>
        <w:ind w:left="2160" w:hanging="180"/>
      </w:pPr>
    </w:lvl>
    <w:lvl w:ilvl="3" w:tplc="B74EDFC0" w:tentative="1">
      <w:start w:val="1"/>
      <w:numFmt w:val="decimal"/>
      <w:lvlText w:val="%4."/>
      <w:lvlJc w:val="left"/>
      <w:pPr>
        <w:ind w:left="2880" w:hanging="360"/>
      </w:pPr>
    </w:lvl>
    <w:lvl w:ilvl="4" w:tplc="72EE9612" w:tentative="1">
      <w:start w:val="1"/>
      <w:numFmt w:val="lowerLetter"/>
      <w:lvlText w:val="%5."/>
      <w:lvlJc w:val="left"/>
      <w:pPr>
        <w:ind w:left="3600" w:hanging="360"/>
      </w:pPr>
    </w:lvl>
    <w:lvl w:ilvl="5" w:tplc="B9301078" w:tentative="1">
      <w:start w:val="1"/>
      <w:numFmt w:val="lowerRoman"/>
      <w:lvlText w:val="%6."/>
      <w:lvlJc w:val="right"/>
      <w:pPr>
        <w:ind w:left="4320" w:hanging="180"/>
      </w:pPr>
    </w:lvl>
    <w:lvl w:ilvl="6" w:tplc="15E8B746" w:tentative="1">
      <w:start w:val="1"/>
      <w:numFmt w:val="decimal"/>
      <w:lvlText w:val="%7."/>
      <w:lvlJc w:val="left"/>
      <w:pPr>
        <w:ind w:left="5040" w:hanging="360"/>
      </w:pPr>
    </w:lvl>
    <w:lvl w:ilvl="7" w:tplc="B1C08AA6" w:tentative="1">
      <w:start w:val="1"/>
      <w:numFmt w:val="lowerLetter"/>
      <w:lvlText w:val="%8."/>
      <w:lvlJc w:val="left"/>
      <w:pPr>
        <w:ind w:left="5760" w:hanging="360"/>
      </w:pPr>
    </w:lvl>
    <w:lvl w:ilvl="8" w:tplc="808AD036" w:tentative="1">
      <w:start w:val="1"/>
      <w:numFmt w:val="lowerRoman"/>
      <w:lvlText w:val="%9."/>
      <w:lvlJc w:val="right"/>
      <w:pPr>
        <w:ind w:left="6480" w:hanging="180"/>
      </w:pPr>
    </w:lvl>
  </w:abstractNum>
  <w:abstractNum w:abstractNumId="46" w15:restartNumberingAfterBreak="0">
    <w:nsid w:val="333F368B"/>
    <w:multiLevelType w:val="hybridMultilevel"/>
    <w:tmpl w:val="7F86C67C"/>
    <w:lvl w:ilvl="0" w:tplc="7E70F106">
      <w:start w:val="1"/>
      <w:numFmt w:val="decimal"/>
      <w:lvlText w:val="%1."/>
      <w:lvlJc w:val="left"/>
      <w:pPr>
        <w:ind w:left="2520" w:hanging="360"/>
      </w:pPr>
    </w:lvl>
    <w:lvl w:ilvl="1" w:tplc="3690A98E" w:tentative="1">
      <w:start w:val="1"/>
      <w:numFmt w:val="lowerLetter"/>
      <w:lvlText w:val="%2."/>
      <w:lvlJc w:val="left"/>
      <w:pPr>
        <w:ind w:left="3240" w:hanging="360"/>
      </w:pPr>
    </w:lvl>
    <w:lvl w:ilvl="2" w:tplc="25B84D94" w:tentative="1">
      <w:start w:val="1"/>
      <w:numFmt w:val="lowerRoman"/>
      <w:lvlText w:val="%3."/>
      <w:lvlJc w:val="right"/>
      <w:pPr>
        <w:ind w:left="3960" w:hanging="180"/>
      </w:pPr>
    </w:lvl>
    <w:lvl w:ilvl="3" w:tplc="BD3E8AF0" w:tentative="1">
      <w:start w:val="1"/>
      <w:numFmt w:val="decimal"/>
      <w:lvlText w:val="%4."/>
      <w:lvlJc w:val="left"/>
      <w:pPr>
        <w:ind w:left="4680" w:hanging="360"/>
      </w:pPr>
    </w:lvl>
    <w:lvl w:ilvl="4" w:tplc="BC42BF5C" w:tentative="1">
      <w:start w:val="1"/>
      <w:numFmt w:val="lowerLetter"/>
      <w:lvlText w:val="%5."/>
      <w:lvlJc w:val="left"/>
      <w:pPr>
        <w:ind w:left="5400" w:hanging="360"/>
      </w:pPr>
    </w:lvl>
    <w:lvl w:ilvl="5" w:tplc="B2D29C0E" w:tentative="1">
      <w:start w:val="1"/>
      <w:numFmt w:val="lowerRoman"/>
      <w:lvlText w:val="%6."/>
      <w:lvlJc w:val="right"/>
      <w:pPr>
        <w:ind w:left="6120" w:hanging="180"/>
      </w:pPr>
    </w:lvl>
    <w:lvl w:ilvl="6" w:tplc="2FCC2E5C" w:tentative="1">
      <w:start w:val="1"/>
      <w:numFmt w:val="decimal"/>
      <w:lvlText w:val="%7."/>
      <w:lvlJc w:val="left"/>
      <w:pPr>
        <w:ind w:left="6840" w:hanging="360"/>
      </w:pPr>
    </w:lvl>
    <w:lvl w:ilvl="7" w:tplc="03621708" w:tentative="1">
      <w:start w:val="1"/>
      <w:numFmt w:val="lowerLetter"/>
      <w:lvlText w:val="%8."/>
      <w:lvlJc w:val="left"/>
      <w:pPr>
        <w:ind w:left="7560" w:hanging="360"/>
      </w:pPr>
    </w:lvl>
    <w:lvl w:ilvl="8" w:tplc="F40AEDA4" w:tentative="1">
      <w:start w:val="1"/>
      <w:numFmt w:val="lowerRoman"/>
      <w:lvlText w:val="%9."/>
      <w:lvlJc w:val="right"/>
      <w:pPr>
        <w:ind w:left="8280" w:hanging="180"/>
      </w:pPr>
    </w:lvl>
  </w:abstractNum>
  <w:abstractNum w:abstractNumId="47" w15:restartNumberingAfterBreak="0">
    <w:nsid w:val="356E7DB7"/>
    <w:multiLevelType w:val="hybridMultilevel"/>
    <w:tmpl w:val="53E845A2"/>
    <w:lvl w:ilvl="0" w:tplc="F1F4E37C">
      <w:start w:val="1"/>
      <w:numFmt w:val="bullet"/>
      <w:lvlText w:val=""/>
      <w:lvlJc w:val="left"/>
      <w:pPr>
        <w:ind w:left="2520" w:hanging="360"/>
      </w:pPr>
      <w:rPr>
        <w:rFonts w:ascii="Symbol" w:hAnsi="Symbol" w:hint="default"/>
      </w:rPr>
    </w:lvl>
    <w:lvl w:ilvl="1" w:tplc="B2A02690" w:tentative="1">
      <w:start w:val="1"/>
      <w:numFmt w:val="bullet"/>
      <w:lvlText w:val="o"/>
      <w:lvlJc w:val="left"/>
      <w:pPr>
        <w:ind w:left="3240" w:hanging="360"/>
      </w:pPr>
      <w:rPr>
        <w:rFonts w:ascii="Courier New" w:hAnsi="Courier New" w:cs="Courier New" w:hint="default"/>
      </w:rPr>
    </w:lvl>
    <w:lvl w:ilvl="2" w:tplc="D1484432" w:tentative="1">
      <w:start w:val="1"/>
      <w:numFmt w:val="bullet"/>
      <w:lvlText w:val=""/>
      <w:lvlJc w:val="left"/>
      <w:pPr>
        <w:ind w:left="3960" w:hanging="360"/>
      </w:pPr>
      <w:rPr>
        <w:rFonts w:ascii="Wingdings" w:hAnsi="Wingdings" w:hint="default"/>
      </w:rPr>
    </w:lvl>
    <w:lvl w:ilvl="3" w:tplc="C91811DE" w:tentative="1">
      <w:start w:val="1"/>
      <w:numFmt w:val="bullet"/>
      <w:lvlText w:val=""/>
      <w:lvlJc w:val="left"/>
      <w:pPr>
        <w:ind w:left="4680" w:hanging="360"/>
      </w:pPr>
      <w:rPr>
        <w:rFonts w:ascii="Symbol" w:hAnsi="Symbol" w:hint="default"/>
      </w:rPr>
    </w:lvl>
    <w:lvl w:ilvl="4" w:tplc="AFE22008" w:tentative="1">
      <w:start w:val="1"/>
      <w:numFmt w:val="bullet"/>
      <w:lvlText w:val="o"/>
      <w:lvlJc w:val="left"/>
      <w:pPr>
        <w:ind w:left="5400" w:hanging="360"/>
      </w:pPr>
      <w:rPr>
        <w:rFonts w:ascii="Courier New" w:hAnsi="Courier New" w:cs="Courier New" w:hint="default"/>
      </w:rPr>
    </w:lvl>
    <w:lvl w:ilvl="5" w:tplc="43349624" w:tentative="1">
      <w:start w:val="1"/>
      <w:numFmt w:val="bullet"/>
      <w:lvlText w:val=""/>
      <w:lvlJc w:val="left"/>
      <w:pPr>
        <w:ind w:left="6120" w:hanging="360"/>
      </w:pPr>
      <w:rPr>
        <w:rFonts w:ascii="Wingdings" w:hAnsi="Wingdings" w:hint="default"/>
      </w:rPr>
    </w:lvl>
    <w:lvl w:ilvl="6" w:tplc="4B18434E" w:tentative="1">
      <w:start w:val="1"/>
      <w:numFmt w:val="bullet"/>
      <w:lvlText w:val=""/>
      <w:lvlJc w:val="left"/>
      <w:pPr>
        <w:ind w:left="6840" w:hanging="360"/>
      </w:pPr>
      <w:rPr>
        <w:rFonts w:ascii="Symbol" w:hAnsi="Symbol" w:hint="default"/>
      </w:rPr>
    </w:lvl>
    <w:lvl w:ilvl="7" w:tplc="95B48736" w:tentative="1">
      <w:start w:val="1"/>
      <w:numFmt w:val="bullet"/>
      <w:lvlText w:val="o"/>
      <w:lvlJc w:val="left"/>
      <w:pPr>
        <w:ind w:left="7560" w:hanging="360"/>
      </w:pPr>
      <w:rPr>
        <w:rFonts w:ascii="Courier New" w:hAnsi="Courier New" w:cs="Courier New" w:hint="default"/>
      </w:rPr>
    </w:lvl>
    <w:lvl w:ilvl="8" w:tplc="A2809198" w:tentative="1">
      <w:start w:val="1"/>
      <w:numFmt w:val="bullet"/>
      <w:lvlText w:val=""/>
      <w:lvlJc w:val="left"/>
      <w:pPr>
        <w:ind w:left="8280" w:hanging="360"/>
      </w:pPr>
      <w:rPr>
        <w:rFonts w:ascii="Wingdings" w:hAnsi="Wingdings" w:hint="default"/>
      </w:rPr>
    </w:lvl>
  </w:abstractNum>
  <w:abstractNum w:abstractNumId="48" w15:restartNumberingAfterBreak="0">
    <w:nsid w:val="35AC46E8"/>
    <w:multiLevelType w:val="hybridMultilevel"/>
    <w:tmpl w:val="9B76757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7E47217"/>
    <w:multiLevelType w:val="hybridMultilevel"/>
    <w:tmpl w:val="7896957C"/>
    <w:lvl w:ilvl="0" w:tplc="4C18C774">
      <w:start w:val="1"/>
      <w:numFmt w:val="lowerLetter"/>
      <w:lvlText w:val="%1."/>
      <w:lvlJc w:val="left"/>
      <w:pPr>
        <w:ind w:left="3240" w:hanging="360"/>
      </w:pPr>
      <w:rPr>
        <w:rFonts w:hint="default"/>
        <w:b/>
      </w:rPr>
    </w:lvl>
    <w:lvl w:ilvl="1" w:tplc="3F064F94" w:tentative="1">
      <w:start w:val="1"/>
      <w:numFmt w:val="lowerLetter"/>
      <w:lvlText w:val="%2."/>
      <w:lvlJc w:val="left"/>
      <w:pPr>
        <w:ind w:left="3960" w:hanging="360"/>
      </w:pPr>
    </w:lvl>
    <w:lvl w:ilvl="2" w:tplc="4218279A" w:tentative="1">
      <w:start w:val="1"/>
      <w:numFmt w:val="lowerRoman"/>
      <w:lvlText w:val="%3."/>
      <w:lvlJc w:val="right"/>
      <w:pPr>
        <w:ind w:left="4680" w:hanging="180"/>
      </w:pPr>
    </w:lvl>
    <w:lvl w:ilvl="3" w:tplc="C57CB49C" w:tentative="1">
      <w:start w:val="1"/>
      <w:numFmt w:val="decimal"/>
      <w:lvlText w:val="%4."/>
      <w:lvlJc w:val="left"/>
      <w:pPr>
        <w:ind w:left="5400" w:hanging="360"/>
      </w:pPr>
    </w:lvl>
    <w:lvl w:ilvl="4" w:tplc="4968B29C" w:tentative="1">
      <w:start w:val="1"/>
      <w:numFmt w:val="lowerLetter"/>
      <w:lvlText w:val="%5."/>
      <w:lvlJc w:val="left"/>
      <w:pPr>
        <w:ind w:left="6120" w:hanging="360"/>
      </w:pPr>
    </w:lvl>
    <w:lvl w:ilvl="5" w:tplc="A2508578" w:tentative="1">
      <w:start w:val="1"/>
      <w:numFmt w:val="lowerRoman"/>
      <w:lvlText w:val="%6."/>
      <w:lvlJc w:val="right"/>
      <w:pPr>
        <w:ind w:left="6840" w:hanging="180"/>
      </w:pPr>
    </w:lvl>
    <w:lvl w:ilvl="6" w:tplc="B11ACF7E" w:tentative="1">
      <w:start w:val="1"/>
      <w:numFmt w:val="decimal"/>
      <w:lvlText w:val="%7."/>
      <w:lvlJc w:val="left"/>
      <w:pPr>
        <w:ind w:left="7560" w:hanging="360"/>
      </w:pPr>
    </w:lvl>
    <w:lvl w:ilvl="7" w:tplc="B51C6EE8" w:tentative="1">
      <w:start w:val="1"/>
      <w:numFmt w:val="lowerLetter"/>
      <w:lvlText w:val="%8."/>
      <w:lvlJc w:val="left"/>
      <w:pPr>
        <w:ind w:left="8280" w:hanging="360"/>
      </w:pPr>
    </w:lvl>
    <w:lvl w:ilvl="8" w:tplc="4D5E7344" w:tentative="1">
      <w:start w:val="1"/>
      <w:numFmt w:val="lowerRoman"/>
      <w:lvlText w:val="%9."/>
      <w:lvlJc w:val="right"/>
      <w:pPr>
        <w:ind w:left="9000" w:hanging="180"/>
      </w:pPr>
    </w:lvl>
  </w:abstractNum>
  <w:abstractNum w:abstractNumId="50" w15:restartNumberingAfterBreak="0">
    <w:nsid w:val="3C2294AF"/>
    <w:multiLevelType w:val="hybridMultilevel"/>
    <w:tmpl w:val="7BD8677F"/>
    <w:lvl w:ilvl="0" w:tplc="AFD63F38">
      <w:start w:val="1"/>
      <w:numFmt w:val="bullet"/>
      <w:lvlText w:val=""/>
      <w:lvlJc w:val="left"/>
      <w:pPr>
        <w:ind w:left="720" w:hanging="360"/>
      </w:pPr>
      <w:rPr>
        <w:rFonts w:ascii="Symbol" w:hAnsi="Symbol"/>
      </w:rPr>
    </w:lvl>
    <w:lvl w:ilvl="1" w:tplc="BAF4C37A">
      <w:start w:val="1"/>
      <w:numFmt w:val="bullet"/>
      <w:lvlText w:val="o"/>
      <w:lvlJc w:val="left"/>
      <w:pPr>
        <w:tabs>
          <w:tab w:val="num" w:pos="1440"/>
        </w:tabs>
        <w:ind w:left="1440" w:hanging="360"/>
      </w:pPr>
      <w:rPr>
        <w:rFonts w:ascii="Courier New" w:hAnsi="Courier New"/>
      </w:rPr>
    </w:lvl>
    <w:lvl w:ilvl="2" w:tplc="94C26408">
      <w:start w:val="1"/>
      <w:numFmt w:val="bullet"/>
      <w:lvlText w:val=""/>
      <w:lvlJc w:val="left"/>
      <w:pPr>
        <w:tabs>
          <w:tab w:val="num" w:pos="2160"/>
        </w:tabs>
        <w:ind w:left="2160" w:hanging="360"/>
      </w:pPr>
      <w:rPr>
        <w:rFonts w:ascii="Wingdings" w:hAnsi="Wingdings"/>
      </w:rPr>
    </w:lvl>
    <w:lvl w:ilvl="3" w:tplc="136EA2D0">
      <w:start w:val="1"/>
      <w:numFmt w:val="bullet"/>
      <w:lvlText w:val=""/>
      <w:lvlJc w:val="left"/>
      <w:pPr>
        <w:tabs>
          <w:tab w:val="num" w:pos="2880"/>
        </w:tabs>
        <w:ind w:left="2880" w:hanging="360"/>
      </w:pPr>
      <w:rPr>
        <w:rFonts w:ascii="Symbol" w:hAnsi="Symbol"/>
      </w:rPr>
    </w:lvl>
    <w:lvl w:ilvl="4" w:tplc="A006A102">
      <w:start w:val="1"/>
      <w:numFmt w:val="bullet"/>
      <w:lvlText w:val="o"/>
      <w:lvlJc w:val="left"/>
      <w:pPr>
        <w:tabs>
          <w:tab w:val="num" w:pos="3600"/>
        </w:tabs>
        <w:ind w:left="3600" w:hanging="360"/>
      </w:pPr>
      <w:rPr>
        <w:rFonts w:ascii="Courier New" w:hAnsi="Courier New"/>
      </w:rPr>
    </w:lvl>
    <w:lvl w:ilvl="5" w:tplc="3FF87600">
      <w:start w:val="1"/>
      <w:numFmt w:val="bullet"/>
      <w:lvlText w:val=""/>
      <w:lvlJc w:val="left"/>
      <w:pPr>
        <w:tabs>
          <w:tab w:val="num" w:pos="4320"/>
        </w:tabs>
        <w:ind w:left="4320" w:hanging="360"/>
      </w:pPr>
      <w:rPr>
        <w:rFonts w:ascii="Wingdings" w:hAnsi="Wingdings"/>
      </w:rPr>
    </w:lvl>
    <w:lvl w:ilvl="6" w:tplc="814C9DC0">
      <w:start w:val="1"/>
      <w:numFmt w:val="bullet"/>
      <w:lvlText w:val=""/>
      <w:lvlJc w:val="left"/>
      <w:pPr>
        <w:tabs>
          <w:tab w:val="num" w:pos="5040"/>
        </w:tabs>
        <w:ind w:left="5040" w:hanging="360"/>
      </w:pPr>
      <w:rPr>
        <w:rFonts w:ascii="Symbol" w:hAnsi="Symbol"/>
      </w:rPr>
    </w:lvl>
    <w:lvl w:ilvl="7" w:tplc="34A64646">
      <w:start w:val="1"/>
      <w:numFmt w:val="bullet"/>
      <w:lvlText w:val="o"/>
      <w:lvlJc w:val="left"/>
      <w:pPr>
        <w:tabs>
          <w:tab w:val="num" w:pos="5760"/>
        </w:tabs>
        <w:ind w:left="5760" w:hanging="360"/>
      </w:pPr>
      <w:rPr>
        <w:rFonts w:ascii="Courier New" w:hAnsi="Courier New"/>
      </w:rPr>
    </w:lvl>
    <w:lvl w:ilvl="8" w:tplc="79201D3A">
      <w:start w:val="1"/>
      <w:numFmt w:val="bullet"/>
      <w:lvlText w:val=""/>
      <w:lvlJc w:val="left"/>
      <w:pPr>
        <w:tabs>
          <w:tab w:val="num" w:pos="6480"/>
        </w:tabs>
        <w:ind w:left="6480" w:hanging="360"/>
      </w:pPr>
      <w:rPr>
        <w:rFonts w:ascii="Wingdings" w:hAnsi="Wingdings"/>
      </w:rPr>
    </w:lvl>
  </w:abstractNum>
  <w:abstractNum w:abstractNumId="51" w15:restartNumberingAfterBreak="0">
    <w:nsid w:val="3C77634B"/>
    <w:multiLevelType w:val="hybridMultilevel"/>
    <w:tmpl w:val="09160BE8"/>
    <w:lvl w:ilvl="0" w:tplc="08A4E98C">
      <w:start w:val="1"/>
      <w:numFmt w:val="bullet"/>
      <w:lvlText w:val=""/>
      <w:lvlJc w:val="left"/>
      <w:pPr>
        <w:ind w:left="2160" w:hanging="360"/>
      </w:pPr>
      <w:rPr>
        <w:rFonts w:ascii="Symbol" w:hAnsi="Symbol" w:hint="default"/>
      </w:rPr>
    </w:lvl>
    <w:lvl w:ilvl="1" w:tplc="67BC196E">
      <w:numFmt w:val="bullet"/>
      <w:lvlText w:val="•"/>
      <w:lvlJc w:val="left"/>
      <w:pPr>
        <w:ind w:left="3240" w:hanging="720"/>
      </w:pPr>
      <w:rPr>
        <w:rFonts w:ascii="Calibri" w:eastAsiaTheme="minorHAnsi" w:hAnsi="Calibri" w:cstheme="minorBidi" w:hint="default"/>
      </w:rPr>
    </w:lvl>
    <w:lvl w:ilvl="2" w:tplc="E81C220A">
      <w:start w:val="1"/>
      <w:numFmt w:val="bullet"/>
      <w:lvlText w:val=""/>
      <w:lvlJc w:val="left"/>
      <w:pPr>
        <w:ind w:left="3600" w:hanging="360"/>
      </w:pPr>
      <w:rPr>
        <w:rFonts w:ascii="Wingdings" w:hAnsi="Wingdings" w:hint="default"/>
      </w:rPr>
    </w:lvl>
    <w:lvl w:ilvl="3" w:tplc="46D85D10">
      <w:start w:val="1"/>
      <w:numFmt w:val="bullet"/>
      <w:lvlText w:val=""/>
      <w:lvlJc w:val="left"/>
      <w:pPr>
        <w:ind w:left="4320" w:hanging="360"/>
      </w:pPr>
      <w:rPr>
        <w:rFonts w:ascii="Symbol" w:hAnsi="Symbol" w:hint="default"/>
      </w:rPr>
    </w:lvl>
    <w:lvl w:ilvl="4" w:tplc="974000B6">
      <w:start w:val="1"/>
      <w:numFmt w:val="bullet"/>
      <w:lvlText w:val="o"/>
      <w:lvlJc w:val="left"/>
      <w:pPr>
        <w:ind w:left="5040" w:hanging="360"/>
      </w:pPr>
      <w:rPr>
        <w:rFonts w:ascii="Courier New" w:hAnsi="Courier New" w:cs="Courier New" w:hint="default"/>
      </w:rPr>
    </w:lvl>
    <w:lvl w:ilvl="5" w:tplc="7F14B1D8">
      <w:start w:val="1"/>
      <w:numFmt w:val="bullet"/>
      <w:lvlText w:val=""/>
      <w:lvlJc w:val="left"/>
      <w:pPr>
        <w:ind w:left="5760" w:hanging="360"/>
      </w:pPr>
      <w:rPr>
        <w:rFonts w:ascii="Wingdings" w:hAnsi="Wingdings" w:hint="default"/>
      </w:rPr>
    </w:lvl>
    <w:lvl w:ilvl="6" w:tplc="5F0EF0A0">
      <w:start w:val="1"/>
      <w:numFmt w:val="bullet"/>
      <w:lvlText w:val=""/>
      <w:lvlJc w:val="left"/>
      <w:pPr>
        <w:ind w:left="6480" w:hanging="360"/>
      </w:pPr>
      <w:rPr>
        <w:rFonts w:ascii="Symbol" w:hAnsi="Symbol" w:hint="default"/>
      </w:rPr>
    </w:lvl>
    <w:lvl w:ilvl="7" w:tplc="D2A0FB9C">
      <w:start w:val="1"/>
      <w:numFmt w:val="bullet"/>
      <w:lvlText w:val="o"/>
      <w:lvlJc w:val="left"/>
      <w:pPr>
        <w:ind w:left="7200" w:hanging="360"/>
      </w:pPr>
      <w:rPr>
        <w:rFonts w:ascii="Courier New" w:hAnsi="Courier New" w:cs="Courier New" w:hint="default"/>
      </w:rPr>
    </w:lvl>
    <w:lvl w:ilvl="8" w:tplc="22129558">
      <w:start w:val="1"/>
      <w:numFmt w:val="bullet"/>
      <w:lvlText w:val=""/>
      <w:lvlJc w:val="left"/>
      <w:pPr>
        <w:ind w:left="7920" w:hanging="360"/>
      </w:pPr>
      <w:rPr>
        <w:rFonts w:ascii="Wingdings" w:hAnsi="Wingdings" w:hint="default"/>
      </w:rPr>
    </w:lvl>
  </w:abstractNum>
  <w:abstractNum w:abstractNumId="52" w15:restartNumberingAfterBreak="0">
    <w:nsid w:val="421C7B8B"/>
    <w:multiLevelType w:val="hybridMultilevel"/>
    <w:tmpl w:val="BEA6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420F26"/>
    <w:multiLevelType w:val="hybridMultilevel"/>
    <w:tmpl w:val="F1C25234"/>
    <w:lvl w:ilvl="0" w:tplc="6F8A9A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F67595"/>
    <w:multiLevelType w:val="hybridMultilevel"/>
    <w:tmpl w:val="55AC33DC"/>
    <w:lvl w:ilvl="0" w:tplc="163EBE40">
      <w:start w:val="1"/>
      <w:numFmt w:val="bullet"/>
      <w:lvlText w:val=""/>
      <w:lvlJc w:val="left"/>
      <w:pPr>
        <w:ind w:left="1800" w:hanging="360"/>
      </w:pPr>
      <w:rPr>
        <w:rFonts w:ascii="Symbol" w:hAnsi="Symbol" w:hint="default"/>
      </w:rPr>
    </w:lvl>
    <w:lvl w:ilvl="1" w:tplc="4E5A493C" w:tentative="1">
      <w:start w:val="1"/>
      <w:numFmt w:val="bullet"/>
      <w:lvlText w:val="o"/>
      <w:lvlJc w:val="left"/>
      <w:pPr>
        <w:ind w:left="2520" w:hanging="360"/>
      </w:pPr>
      <w:rPr>
        <w:rFonts w:ascii="Courier New" w:hAnsi="Courier New" w:cs="Courier New" w:hint="default"/>
      </w:rPr>
    </w:lvl>
    <w:lvl w:ilvl="2" w:tplc="165650FE" w:tentative="1">
      <w:start w:val="1"/>
      <w:numFmt w:val="bullet"/>
      <w:lvlText w:val=""/>
      <w:lvlJc w:val="left"/>
      <w:pPr>
        <w:ind w:left="3240" w:hanging="360"/>
      </w:pPr>
      <w:rPr>
        <w:rFonts w:ascii="Wingdings" w:hAnsi="Wingdings" w:hint="default"/>
      </w:rPr>
    </w:lvl>
    <w:lvl w:ilvl="3" w:tplc="B91AB228" w:tentative="1">
      <w:start w:val="1"/>
      <w:numFmt w:val="bullet"/>
      <w:lvlText w:val=""/>
      <w:lvlJc w:val="left"/>
      <w:pPr>
        <w:ind w:left="3960" w:hanging="360"/>
      </w:pPr>
      <w:rPr>
        <w:rFonts w:ascii="Symbol" w:hAnsi="Symbol" w:hint="default"/>
      </w:rPr>
    </w:lvl>
    <w:lvl w:ilvl="4" w:tplc="5C629A78" w:tentative="1">
      <w:start w:val="1"/>
      <w:numFmt w:val="bullet"/>
      <w:lvlText w:val="o"/>
      <w:lvlJc w:val="left"/>
      <w:pPr>
        <w:ind w:left="4680" w:hanging="360"/>
      </w:pPr>
      <w:rPr>
        <w:rFonts w:ascii="Courier New" w:hAnsi="Courier New" w:cs="Courier New" w:hint="default"/>
      </w:rPr>
    </w:lvl>
    <w:lvl w:ilvl="5" w:tplc="5BB81F74" w:tentative="1">
      <w:start w:val="1"/>
      <w:numFmt w:val="bullet"/>
      <w:lvlText w:val=""/>
      <w:lvlJc w:val="left"/>
      <w:pPr>
        <w:ind w:left="5400" w:hanging="360"/>
      </w:pPr>
      <w:rPr>
        <w:rFonts w:ascii="Wingdings" w:hAnsi="Wingdings" w:hint="default"/>
      </w:rPr>
    </w:lvl>
    <w:lvl w:ilvl="6" w:tplc="293EB7F0" w:tentative="1">
      <w:start w:val="1"/>
      <w:numFmt w:val="bullet"/>
      <w:lvlText w:val=""/>
      <w:lvlJc w:val="left"/>
      <w:pPr>
        <w:ind w:left="6120" w:hanging="360"/>
      </w:pPr>
      <w:rPr>
        <w:rFonts w:ascii="Symbol" w:hAnsi="Symbol" w:hint="default"/>
      </w:rPr>
    </w:lvl>
    <w:lvl w:ilvl="7" w:tplc="0BF0421E" w:tentative="1">
      <w:start w:val="1"/>
      <w:numFmt w:val="bullet"/>
      <w:lvlText w:val="o"/>
      <w:lvlJc w:val="left"/>
      <w:pPr>
        <w:ind w:left="6840" w:hanging="360"/>
      </w:pPr>
      <w:rPr>
        <w:rFonts w:ascii="Courier New" w:hAnsi="Courier New" w:cs="Courier New" w:hint="default"/>
      </w:rPr>
    </w:lvl>
    <w:lvl w:ilvl="8" w:tplc="E2E4024C" w:tentative="1">
      <w:start w:val="1"/>
      <w:numFmt w:val="bullet"/>
      <w:lvlText w:val=""/>
      <w:lvlJc w:val="left"/>
      <w:pPr>
        <w:ind w:left="7560" w:hanging="360"/>
      </w:pPr>
      <w:rPr>
        <w:rFonts w:ascii="Wingdings" w:hAnsi="Wingdings" w:hint="default"/>
      </w:rPr>
    </w:lvl>
  </w:abstractNum>
  <w:abstractNum w:abstractNumId="55" w15:restartNumberingAfterBreak="0">
    <w:nsid w:val="45AA4B2E"/>
    <w:multiLevelType w:val="hybridMultilevel"/>
    <w:tmpl w:val="C99AA98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45D375EF"/>
    <w:multiLevelType w:val="hybridMultilevel"/>
    <w:tmpl w:val="27649A0E"/>
    <w:lvl w:ilvl="0" w:tplc="2CFADF36">
      <w:start w:val="1"/>
      <w:numFmt w:val="bullet"/>
      <w:lvlText w:val=""/>
      <w:lvlJc w:val="left"/>
      <w:pPr>
        <w:ind w:left="360" w:hanging="360"/>
      </w:pPr>
      <w:rPr>
        <w:rFonts w:ascii="Symbol" w:hAnsi="Symbo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79A352D"/>
    <w:multiLevelType w:val="hybridMultilevel"/>
    <w:tmpl w:val="60C005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47F669B0"/>
    <w:multiLevelType w:val="hybridMultilevel"/>
    <w:tmpl w:val="9B767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9533479"/>
    <w:multiLevelType w:val="hybridMultilevel"/>
    <w:tmpl w:val="46D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E63D7C"/>
    <w:multiLevelType w:val="hybridMultilevel"/>
    <w:tmpl w:val="8F124B5A"/>
    <w:lvl w:ilvl="0" w:tplc="3654A838">
      <w:start w:val="1"/>
      <w:numFmt w:val="upperLetter"/>
      <w:lvlText w:val="(%1)"/>
      <w:lvlJc w:val="left"/>
      <w:pPr>
        <w:ind w:left="720" w:hanging="360"/>
      </w:pPr>
      <w:rPr>
        <w:rFonts w:hint="default"/>
        <w:b/>
      </w:rPr>
    </w:lvl>
    <w:lvl w:ilvl="1" w:tplc="E23CAA52" w:tentative="1">
      <w:start w:val="1"/>
      <w:numFmt w:val="lowerLetter"/>
      <w:lvlText w:val="%2."/>
      <w:lvlJc w:val="left"/>
      <w:pPr>
        <w:ind w:left="1440" w:hanging="360"/>
      </w:pPr>
    </w:lvl>
    <w:lvl w:ilvl="2" w:tplc="87787804" w:tentative="1">
      <w:start w:val="1"/>
      <w:numFmt w:val="lowerRoman"/>
      <w:lvlText w:val="%3."/>
      <w:lvlJc w:val="right"/>
      <w:pPr>
        <w:ind w:left="2160" w:hanging="180"/>
      </w:pPr>
    </w:lvl>
    <w:lvl w:ilvl="3" w:tplc="CC5C7A78" w:tentative="1">
      <w:start w:val="1"/>
      <w:numFmt w:val="decimal"/>
      <w:lvlText w:val="%4."/>
      <w:lvlJc w:val="left"/>
      <w:pPr>
        <w:ind w:left="2880" w:hanging="360"/>
      </w:pPr>
    </w:lvl>
    <w:lvl w:ilvl="4" w:tplc="F3A6B954" w:tentative="1">
      <w:start w:val="1"/>
      <w:numFmt w:val="lowerLetter"/>
      <w:lvlText w:val="%5."/>
      <w:lvlJc w:val="left"/>
      <w:pPr>
        <w:ind w:left="3600" w:hanging="360"/>
      </w:pPr>
    </w:lvl>
    <w:lvl w:ilvl="5" w:tplc="63F8B45C" w:tentative="1">
      <w:start w:val="1"/>
      <w:numFmt w:val="lowerRoman"/>
      <w:lvlText w:val="%6."/>
      <w:lvlJc w:val="right"/>
      <w:pPr>
        <w:ind w:left="4320" w:hanging="180"/>
      </w:pPr>
    </w:lvl>
    <w:lvl w:ilvl="6" w:tplc="AD52AC04" w:tentative="1">
      <w:start w:val="1"/>
      <w:numFmt w:val="decimal"/>
      <w:lvlText w:val="%7."/>
      <w:lvlJc w:val="left"/>
      <w:pPr>
        <w:ind w:left="5040" w:hanging="360"/>
      </w:pPr>
    </w:lvl>
    <w:lvl w:ilvl="7" w:tplc="846815B6" w:tentative="1">
      <w:start w:val="1"/>
      <w:numFmt w:val="lowerLetter"/>
      <w:lvlText w:val="%8."/>
      <w:lvlJc w:val="left"/>
      <w:pPr>
        <w:ind w:left="5760" w:hanging="360"/>
      </w:pPr>
    </w:lvl>
    <w:lvl w:ilvl="8" w:tplc="25FA57F0" w:tentative="1">
      <w:start w:val="1"/>
      <w:numFmt w:val="lowerRoman"/>
      <w:lvlText w:val="%9."/>
      <w:lvlJc w:val="right"/>
      <w:pPr>
        <w:ind w:left="6480" w:hanging="180"/>
      </w:pPr>
    </w:lvl>
  </w:abstractNum>
  <w:abstractNum w:abstractNumId="61" w15:restartNumberingAfterBreak="0">
    <w:nsid w:val="49F18FFB"/>
    <w:multiLevelType w:val="hybridMultilevel"/>
    <w:tmpl w:val="7BD86777"/>
    <w:lvl w:ilvl="0" w:tplc="83E21736">
      <w:start w:val="1"/>
      <w:numFmt w:val="bullet"/>
      <w:lvlText w:val="o"/>
      <w:lvlJc w:val="left"/>
      <w:pPr>
        <w:tabs>
          <w:tab w:val="num" w:pos="720"/>
        </w:tabs>
        <w:ind w:left="720" w:hanging="360"/>
      </w:pPr>
      <w:rPr>
        <w:rFonts w:ascii="Courier New" w:hAnsi="Courier New"/>
      </w:rPr>
    </w:lvl>
    <w:lvl w:ilvl="1" w:tplc="FA68EBBE">
      <w:start w:val="1"/>
      <w:numFmt w:val="bullet"/>
      <w:lvlText w:val="o"/>
      <w:lvlJc w:val="left"/>
      <w:pPr>
        <w:ind w:left="1440" w:hanging="360"/>
      </w:pPr>
      <w:rPr>
        <w:rFonts w:ascii="Courier New" w:hAnsi="Courier New"/>
      </w:rPr>
    </w:lvl>
    <w:lvl w:ilvl="2" w:tplc="62D64690">
      <w:start w:val="1"/>
      <w:numFmt w:val="bullet"/>
      <w:lvlText w:val=""/>
      <w:lvlJc w:val="left"/>
      <w:pPr>
        <w:tabs>
          <w:tab w:val="num" w:pos="2160"/>
        </w:tabs>
        <w:ind w:left="2160" w:hanging="360"/>
      </w:pPr>
      <w:rPr>
        <w:rFonts w:ascii="Wingdings" w:hAnsi="Wingdings"/>
      </w:rPr>
    </w:lvl>
    <w:lvl w:ilvl="3" w:tplc="55948BD6">
      <w:start w:val="1"/>
      <w:numFmt w:val="bullet"/>
      <w:lvlText w:val=""/>
      <w:lvlJc w:val="left"/>
      <w:pPr>
        <w:tabs>
          <w:tab w:val="num" w:pos="2880"/>
        </w:tabs>
        <w:ind w:left="2880" w:hanging="360"/>
      </w:pPr>
      <w:rPr>
        <w:rFonts w:ascii="Symbol" w:hAnsi="Symbol"/>
      </w:rPr>
    </w:lvl>
    <w:lvl w:ilvl="4" w:tplc="13A0261E">
      <w:start w:val="1"/>
      <w:numFmt w:val="bullet"/>
      <w:lvlText w:val="o"/>
      <w:lvlJc w:val="left"/>
      <w:pPr>
        <w:tabs>
          <w:tab w:val="num" w:pos="3600"/>
        </w:tabs>
        <w:ind w:left="3600" w:hanging="360"/>
      </w:pPr>
      <w:rPr>
        <w:rFonts w:ascii="Courier New" w:hAnsi="Courier New"/>
      </w:rPr>
    </w:lvl>
    <w:lvl w:ilvl="5" w:tplc="D52696FC">
      <w:start w:val="1"/>
      <w:numFmt w:val="bullet"/>
      <w:lvlText w:val=""/>
      <w:lvlJc w:val="left"/>
      <w:pPr>
        <w:tabs>
          <w:tab w:val="num" w:pos="4320"/>
        </w:tabs>
        <w:ind w:left="4320" w:hanging="360"/>
      </w:pPr>
      <w:rPr>
        <w:rFonts w:ascii="Wingdings" w:hAnsi="Wingdings"/>
      </w:rPr>
    </w:lvl>
    <w:lvl w:ilvl="6" w:tplc="A8CC02D8">
      <w:start w:val="1"/>
      <w:numFmt w:val="bullet"/>
      <w:lvlText w:val=""/>
      <w:lvlJc w:val="left"/>
      <w:pPr>
        <w:tabs>
          <w:tab w:val="num" w:pos="5040"/>
        </w:tabs>
        <w:ind w:left="5040" w:hanging="360"/>
      </w:pPr>
      <w:rPr>
        <w:rFonts w:ascii="Symbol" w:hAnsi="Symbol"/>
      </w:rPr>
    </w:lvl>
    <w:lvl w:ilvl="7" w:tplc="7D8A90C8">
      <w:start w:val="1"/>
      <w:numFmt w:val="bullet"/>
      <w:lvlText w:val="o"/>
      <w:lvlJc w:val="left"/>
      <w:pPr>
        <w:tabs>
          <w:tab w:val="num" w:pos="5760"/>
        </w:tabs>
        <w:ind w:left="5760" w:hanging="360"/>
      </w:pPr>
      <w:rPr>
        <w:rFonts w:ascii="Courier New" w:hAnsi="Courier New"/>
      </w:rPr>
    </w:lvl>
    <w:lvl w:ilvl="8" w:tplc="F47839BE">
      <w:start w:val="1"/>
      <w:numFmt w:val="bullet"/>
      <w:lvlText w:val=""/>
      <w:lvlJc w:val="left"/>
      <w:pPr>
        <w:tabs>
          <w:tab w:val="num" w:pos="6480"/>
        </w:tabs>
        <w:ind w:left="6480" w:hanging="360"/>
      </w:pPr>
      <w:rPr>
        <w:rFonts w:ascii="Wingdings" w:hAnsi="Wingdings"/>
      </w:rPr>
    </w:lvl>
  </w:abstractNum>
  <w:abstractNum w:abstractNumId="62" w15:restartNumberingAfterBreak="0">
    <w:nsid w:val="4A0A3727"/>
    <w:multiLevelType w:val="hybridMultilevel"/>
    <w:tmpl w:val="26A6F73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MS Mincho" w:hAnsi="@MS Mincho" w:cs="@MS Mincho" w:hint="default"/>
      </w:rPr>
    </w:lvl>
    <w:lvl w:ilvl="2" w:tplc="FFFFFFFF" w:tentative="1">
      <w:start w:val="1"/>
      <w:numFmt w:val="bullet"/>
      <w:lvlText w:val=""/>
      <w:lvlJc w:val="left"/>
      <w:pPr>
        <w:ind w:left="2160" w:hanging="360"/>
      </w:pPr>
      <w:rPr>
        <w:rFonts w:ascii="Calibri" w:hAnsi="Calibri" w:hint="default"/>
      </w:rPr>
    </w:lvl>
    <w:lvl w:ilvl="3" w:tplc="FFFFFFFF" w:tentative="1">
      <w:start w:val="1"/>
      <w:numFmt w:val="bullet"/>
      <w:lvlText w:val=""/>
      <w:lvlJc w:val="left"/>
      <w:pPr>
        <w:ind w:left="2880" w:hanging="360"/>
      </w:pPr>
      <w:rPr>
        <w:rFonts w:ascii="Cambria Math" w:hAnsi="Cambria Math" w:hint="default"/>
      </w:rPr>
    </w:lvl>
    <w:lvl w:ilvl="4" w:tplc="FFFFFFFF" w:tentative="1">
      <w:start w:val="1"/>
      <w:numFmt w:val="bullet"/>
      <w:lvlText w:val="o"/>
      <w:lvlJc w:val="left"/>
      <w:pPr>
        <w:ind w:left="3600" w:hanging="360"/>
      </w:pPr>
      <w:rPr>
        <w:rFonts w:ascii="@MS Mincho" w:hAnsi="@MS Mincho" w:cs="@MS Mincho" w:hint="default"/>
      </w:rPr>
    </w:lvl>
    <w:lvl w:ilvl="5" w:tplc="FFFFFFFF" w:tentative="1">
      <w:start w:val="1"/>
      <w:numFmt w:val="bullet"/>
      <w:lvlText w:val=""/>
      <w:lvlJc w:val="left"/>
      <w:pPr>
        <w:ind w:left="4320" w:hanging="360"/>
      </w:pPr>
      <w:rPr>
        <w:rFonts w:ascii="Calibri" w:hAnsi="Calibri" w:hint="default"/>
      </w:rPr>
    </w:lvl>
    <w:lvl w:ilvl="6" w:tplc="FFFFFFFF" w:tentative="1">
      <w:start w:val="1"/>
      <w:numFmt w:val="bullet"/>
      <w:lvlText w:val=""/>
      <w:lvlJc w:val="left"/>
      <w:pPr>
        <w:ind w:left="5040" w:hanging="360"/>
      </w:pPr>
      <w:rPr>
        <w:rFonts w:ascii="Cambria Math" w:hAnsi="Cambria Math" w:hint="default"/>
      </w:rPr>
    </w:lvl>
    <w:lvl w:ilvl="7" w:tplc="FFFFFFFF" w:tentative="1">
      <w:start w:val="1"/>
      <w:numFmt w:val="bullet"/>
      <w:lvlText w:val="o"/>
      <w:lvlJc w:val="left"/>
      <w:pPr>
        <w:ind w:left="5760" w:hanging="360"/>
      </w:pPr>
      <w:rPr>
        <w:rFonts w:ascii="@MS Mincho" w:hAnsi="@MS Mincho" w:cs="@MS Mincho" w:hint="default"/>
      </w:rPr>
    </w:lvl>
    <w:lvl w:ilvl="8" w:tplc="FFFFFFFF" w:tentative="1">
      <w:start w:val="1"/>
      <w:numFmt w:val="bullet"/>
      <w:lvlText w:val=""/>
      <w:lvlJc w:val="left"/>
      <w:pPr>
        <w:ind w:left="6480" w:hanging="360"/>
      </w:pPr>
      <w:rPr>
        <w:rFonts w:ascii="Calibri" w:hAnsi="Calibri" w:hint="default"/>
      </w:rPr>
    </w:lvl>
  </w:abstractNum>
  <w:abstractNum w:abstractNumId="63" w15:restartNumberingAfterBreak="0">
    <w:nsid w:val="4A7B1AAF"/>
    <w:multiLevelType w:val="hybridMultilevel"/>
    <w:tmpl w:val="7BD8677C"/>
    <w:lvl w:ilvl="0" w:tplc="68A4EEC0">
      <w:start w:val="1"/>
      <w:numFmt w:val="bullet"/>
      <w:lvlText w:val=""/>
      <w:lvlJc w:val="left"/>
      <w:pPr>
        <w:ind w:left="720" w:hanging="360"/>
      </w:pPr>
      <w:rPr>
        <w:rFonts w:ascii="Symbol" w:hAnsi="Symbol"/>
      </w:rPr>
    </w:lvl>
    <w:lvl w:ilvl="1" w:tplc="FC70049E">
      <w:start w:val="1"/>
      <w:numFmt w:val="bullet"/>
      <w:lvlText w:val="o"/>
      <w:lvlJc w:val="left"/>
      <w:pPr>
        <w:tabs>
          <w:tab w:val="num" w:pos="1440"/>
        </w:tabs>
        <w:ind w:left="1440" w:hanging="360"/>
      </w:pPr>
      <w:rPr>
        <w:rFonts w:ascii="Courier New" w:hAnsi="Courier New"/>
      </w:rPr>
    </w:lvl>
    <w:lvl w:ilvl="2" w:tplc="7960E880">
      <w:start w:val="1"/>
      <w:numFmt w:val="bullet"/>
      <w:lvlText w:val=""/>
      <w:lvlJc w:val="left"/>
      <w:pPr>
        <w:tabs>
          <w:tab w:val="num" w:pos="2160"/>
        </w:tabs>
        <w:ind w:left="2160" w:hanging="360"/>
      </w:pPr>
      <w:rPr>
        <w:rFonts w:ascii="Wingdings" w:hAnsi="Wingdings"/>
      </w:rPr>
    </w:lvl>
    <w:lvl w:ilvl="3" w:tplc="2C0299FA">
      <w:start w:val="1"/>
      <w:numFmt w:val="bullet"/>
      <w:lvlText w:val=""/>
      <w:lvlJc w:val="left"/>
      <w:pPr>
        <w:tabs>
          <w:tab w:val="num" w:pos="2880"/>
        </w:tabs>
        <w:ind w:left="2880" w:hanging="360"/>
      </w:pPr>
      <w:rPr>
        <w:rFonts w:ascii="Symbol" w:hAnsi="Symbol"/>
      </w:rPr>
    </w:lvl>
    <w:lvl w:ilvl="4" w:tplc="82C8A7AA">
      <w:start w:val="1"/>
      <w:numFmt w:val="bullet"/>
      <w:lvlText w:val="o"/>
      <w:lvlJc w:val="left"/>
      <w:pPr>
        <w:tabs>
          <w:tab w:val="num" w:pos="3600"/>
        </w:tabs>
        <w:ind w:left="3600" w:hanging="360"/>
      </w:pPr>
      <w:rPr>
        <w:rFonts w:ascii="Courier New" w:hAnsi="Courier New"/>
      </w:rPr>
    </w:lvl>
    <w:lvl w:ilvl="5" w:tplc="AFFA9E92">
      <w:start w:val="1"/>
      <w:numFmt w:val="bullet"/>
      <w:lvlText w:val=""/>
      <w:lvlJc w:val="left"/>
      <w:pPr>
        <w:tabs>
          <w:tab w:val="num" w:pos="4320"/>
        </w:tabs>
        <w:ind w:left="4320" w:hanging="360"/>
      </w:pPr>
      <w:rPr>
        <w:rFonts w:ascii="Wingdings" w:hAnsi="Wingdings"/>
      </w:rPr>
    </w:lvl>
    <w:lvl w:ilvl="6" w:tplc="AE36D63C">
      <w:start w:val="1"/>
      <w:numFmt w:val="bullet"/>
      <w:lvlText w:val=""/>
      <w:lvlJc w:val="left"/>
      <w:pPr>
        <w:tabs>
          <w:tab w:val="num" w:pos="5040"/>
        </w:tabs>
        <w:ind w:left="5040" w:hanging="360"/>
      </w:pPr>
      <w:rPr>
        <w:rFonts w:ascii="Symbol" w:hAnsi="Symbol"/>
      </w:rPr>
    </w:lvl>
    <w:lvl w:ilvl="7" w:tplc="5DAE5D2A">
      <w:start w:val="1"/>
      <w:numFmt w:val="bullet"/>
      <w:lvlText w:val="o"/>
      <w:lvlJc w:val="left"/>
      <w:pPr>
        <w:tabs>
          <w:tab w:val="num" w:pos="5760"/>
        </w:tabs>
        <w:ind w:left="5760" w:hanging="360"/>
      </w:pPr>
      <w:rPr>
        <w:rFonts w:ascii="Courier New" w:hAnsi="Courier New"/>
      </w:rPr>
    </w:lvl>
    <w:lvl w:ilvl="8" w:tplc="6E9E02A0">
      <w:start w:val="1"/>
      <w:numFmt w:val="bullet"/>
      <w:lvlText w:val=""/>
      <w:lvlJc w:val="left"/>
      <w:pPr>
        <w:tabs>
          <w:tab w:val="num" w:pos="6480"/>
        </w:tabs>
        <w:ind w:left="6480" w:hanging="360"/>
      </w:pPr>
      <w:rPr>
        <w:rFonts w:ascii="Wingdings" w:hAnsi="Wingdings"/>
      </w:rPr>
    </w:lvl>
  </w:abstractNum>
  <w:abstractNum w:abstractNumId="64" w15:restartNumberingAfterBreak="0">
    <w:nsid w:val="4AE73E66"/>
    <w:multiLevelType w:val="hybridMultilevel"/>
    <w:tmpl w:val="9F865D80"/>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4D945FD0"/>
    <w:multiLevelType w:val="hybridMultilevel"/>
    <w:tmpl w:val="9FAC2828"/>
    <w:lvl w:ilvl="0" w:tplc="8ACC43CC">
      <w:start w:val="1"/>
      <w:numFmt w:val="lowerLetter"/>
      <w:lvlText w:val="%1."/>
      <w:lvlJc w:val="left"/>
      <w:pPr>
        <w:ind w:left="720" w:hanging="360"/>
      </w:pPr>
      <w:rPr>
        <w:rFonts w:hint="default"/>
        <w:b/>
      </w:rPr>
    </w:lvl>
    <w:lvl w:ilvl="1" w:tplc="5A92FC16" w:tentative="1">
      <w:start w:val="1"/>
      <w:numFmt w:val="lowerLetter"/>
      <w:lvlText w:val="%2."/>
      <w:lvlJc w:val="left"/>
      <w:pPr>
        <w:ind w:left="1440" w:hanging="360"/>
      </w:pPr>
    </w:lvl>
    <w:lvl w:ilvl="2" w:tplc="9C587784" w:tentative="1">
      <w:start w:val="1"/>
      <w:numFmt w:val="lowerRoman"/>
      <w:lvlText w:val="%3."/>
      <w:lvlJc w:val="right"/>
      <w:pPr>
        <w:ind w:left="2160" w:hanging="180"/>
      </w:pPr>
    </w:lvl>
    <w:lvl w:ilvl="3" w:tplc="6B8EB706" w:tentative="1">
      <w:start w:val="1"/>
      <w:numFmt w:val="decimal"/>
      <w:lvlText w:val="%4."/>
      <w:lvlJc w:val="left"/>
      <w:pPr>
        <w:ind w:left="2880" w:hanging="360"/>
      </w:pPr>
    </w:lvl>
    <w:lvl w:ilvl="4" w:tplc="ED58F198" w:tentative="1">
      <w:start w:val="1"/>
      <w:numFmt w:val="lowerLetter"/>
      <w:lvlText w:val="%5."/>
      <w:lvlJc w:val="left"/>
      <w:pPr>
        <w:ind w:left="3600" w:hanging="360"/>
      </w:pPr>
    </w:lvl>
    <w:lvl w:ilvl="5" w:tplc="04D84176" w:tentative="1">
      <w:start w:val="1"/>
      <w:numFmt w:val="lowerRoman"/>
      <w:lvlText w:val="%6."/>
      <w:lvlJc w:val="right"/>
      <w:pPr>
        <w:ind w:left="4320" w:hanging="180"/>
      </w:pPr>
    </w:lvl>
    <w:lvl w:ilvl="6" w:tplc="98E4CABC" w:tentative="1">
      <w:start w:val="1"/>
      <w:numFmt w:val="decimal"/>
      <w:lvlText w:val="%7."/>
      <w:lvlJc w:val="left"/>
      <w:pPr>
        <w:ind w:left="5040" w:hanging="360"/>
      </w:pPr>
    </w:lvl>
    <w:lvl w:ilvl="7" w:tplc="2ECEFACE" w:tentative="1">
      <w:start w:val="1"/>
      <w:numFmt w:val="lowerLetter"/>
      <w:lvlText w:val="%8."/>
      <w:lvlJc w:val="left"/>
      <w:pPr>
        <w:ind w:left="5760" w:hanging="360"/>
      </w:pPr>
    </w:lvl>
    <w:lvl w:ilvl="8" w:tplc="4548465C" w:tentative="1">
      <w:start w:val="1"/>
      <w:numFmt w:val="lowerRoman"/>
      <w:lvlText w:val="%9."/>
      <w:lvlJc w:val="right"/>
      <w:pPr>
        <w:ind w:left="6480" w:hanging="180"/>
      </w:pPr>
    </w:lvl>
  </w:abstractNum>
  <w:abstractNum w:abstractNumId="66" w15:restartNumberingAfterBreak="0">
    <w:nsid w:val="4E2223B6"/>
    <w:multiLevelType w:val="hybridMultilevel"/>
    <w:tmpl w:val="9938908E"/>
    <w:lvl w:ilvl="0" w:tplc="A06E0450">
      <w:start w:val="1"/>
      <w:numFmt w:val="bullet"/>
      <w:lvlText w:val=""/>
      <w:lvlJc w:val="left"/>
      <w:pPr>
        <w:ind w:left="2520" w:hanging="360"/>
      </w:pPr>
      <w:rPr>
        <w:rFonts w:ascii="Symbol" w:hAnsi="Symbol" w:hint="default"/>
      </w:rPr>
    </w:lvl>
    <w:lvl w:ilvl="1" w:tplc="D69CC384" w:tentative="1">
      <w:start w:val="1"/>
      <w:numFmt w:val="bullet"/>
      <w:lvlText w:val="o"/>
      <w:lvlJc w:val="left"/>
      <w:pPr>
        <w:ind w:left="3240" w:hanging="360"/>
      </w:pPr>
      <w:rPr>
        <w:rFonts w:ascii="Courier New" w:hAnsi="Courier New" w:cs="Courier New" w:hint="default"/>
      </w:rPr>
    </w:lvl>
    <w:lvl w:ilvl="2" w:tplc="370651FC" w:tentative="1">
      <w:start w:val="1"/>
      <w:numFmt w:val="bullet"/>
      <w:lvlText w:val=""/>
      <w:lvlJc w:val="left"/>
      <w:pPr>
        <w:ind w:left="3960" w:hanging="360"/>
      </w:pPr>
      <w:rPr>
        <w:rFonts w:ascii="Wingdings" w:hAnsi="Wingdings" w:hint="default"/>
      </w:rPr>
    </w:lvl>
    <w:lvl w:ilvl="3" w:tplc="A4DC1ED0" w:tentative="1">
      <w:start w:val="1"/>
      <w:numFmt w:val="bullet"/>
      <w:lvlText w:val=""/>
      <w:lvlJc w:val="left"/>
      <w:pPr>
        <w:ind w:left="4680" w:hanging="360"/>
      </w:pPr>
      <w:rPr>
        <w:rFonts w:ascii="Symbol" w:hAnsi="Symbol" w:hint="default"/>
      </w:rPr>
    </w:lvl>
    <w:lvl w:ilvl="4" w:tplc="7B6E94FE" w:tentative="1">
      <w:start w:val="1"/>
      <w:numFmt w:val="bullet"/>
      <w:lvlText w:val="o"/>
      <w:lvlJc w:val="left"/>
      <w:pPr>
        <w:ind w:left="5400" w:hanging="360"/>
      </w:pPr>
      <w:rPr>
        <w:rFonts w:ascii="Courier New" w:hAnsi="Courier New" w:cs="Courier New" w:hint="default"/>
      </w:rPr>
    </w:lvl>
    <w:lvl w:ilvl="5" w:tplc="571075F6" w:tentative="1">
      <w:start w:val="1"/>
      <w:numFmt w:val="bullet"/>
      <w:lvlText w:val=""/>
      <w:lvlJc w:val="left"/>
      <w:pPr>
        <w:ind w:left="6120" w:hanging="360"/>
      </w:pPr>
      <w:rPr>
        <w:rFonts w:ascii="Wingdings" w:hAnsi="Wingdings" w:hint="default"/>
      </w:rPr>
    </w:lvl>
    <w:lvl w:ilvl="6" w:tplc="C08A0162" w:tentative="1">
      <w:start w:val="1"/>
      <w:numFmt w:val="bullet"/>
      <w:lvlText w:val=""/>
      <w:lvlJc w:val="left"/>
      <w:pPr>
        <w:ind w:left="6840" w:hanging="360"/>
      </w:pPr>
      <w:rPr>
        <w:rFonts w:ascii="Symbol" w:hAnsi="Symbol" w:hint="default"/>
      </w:rPr>
    </w:lvl>
    <w:lvl w:ilvl="7" w:tplc="76B435D6" w:tentative="1">
      <w:start w:val="1"/>
      <w:numFmt w:val="bullet"/>
      <w:lvlText w:val="o"/>
      <w:lvlJc w:val="left"/>
      <w:pPr>
        <w:ind w:left="7560" w:hanging="360"/>
      </w:pPr>
      <w:rPr>
        <w:rFonts w:ascii="Courier New" w:hAnsi="Courier New" w:cs="Courier New" w:hint="default"/>
      </w:rPr>
    </w:lvl>
    <w:lvl w:ilvl="8" w:tplc="C0E0E602" w:tentative="1">
      <w:start w:val="1"/>
      <w:numFmt w:val="bullet"/>
      <w:lvlText w:val=""/>
      <w:lvlJc w:val="left"/>
      <w:pPr>
        <w:ind w:left="8280" w:hanging="360"/>
      </w:pPr>
      <w:rPr>
        <w:rFonts w:ascii="Wingdings" w:hAnsi="Wingdings" w:hint="default"/>
      </w:rPr>
    </w:lvl>
  </w:abstractNum>
  <w:abstractNum w:abstractNumId="67" w15:restartNumberingAfterBreak="0">
    <w:nsid w:val="4E350131"/>
    <w:multiLevelType w:val="hybridMultilevel"/>
    <w:tmpl w:val="C2001B38"/>
    <w:lvl w:ilvl="0" w:tplc="EFB20430">
      <w:start w:val="1"/>
      <w:numFmt w:val="bullet"/>
      <w:lvlText w:val=""/>
      <w:lvlJc w:val="left"/>
      <w:pPr>
        <w:ind w:left="36" w:hanging="360"/>
      </w:pPr>
      <w:rPr>
        <w:rFonts w:ascii="Symbol" w:hAnsi="Symbol" w:hint="default"/>
      </w:rPr>
    </w:lvl>
    <w:lvl w:ilvl="1" w:tplc="FCF4B80A">
      <w:start w:val="1"/>
      <w:numFmt w:val="bullet"/>
      <w:lvlText w:val="o"/>
      <w:lvlJc w:val="left"/>
      <w:pPr>
        <w:ind w:left="756" w:hanging="360"/>
      </w:pPr>
      <w:rPr>
        <w:rFonts w:ascii="Courier New" w:hAnsi="Courier New" w:cs="Courier New" w:hint="default"/>
      </w:rPr>
    </w:lvl>
    <w:lvl w:ilvl="2" w:tplc="C76E5EDC">
      <w:start w:val="1"/>
      <w:numFmt w:val="bullet"/>
      <w:lvlText w:val=""/>
      <w:lvlJc w:val="left"/>
      <w:pPr>
        <w:ind w:left="1476" w:hanging="360"/>
      </w:pPr>
      <w:rPr>
        <w:rFonts w:ascii="Wingdings" w:hAnsi="Wingdings" w:hint="default"/>
      </w:rPr>
    </w:lvl>
    <w:lvl w:ilvl="3" w:tplc="88C2ED58">
      <w:start w:val="1"/>
      <w:numFmt w:val="bullet"/>
      <w:lvlText w:val=""/>
      <w:lvlJc w:val="left"/>
      <w:pPr>
        <w:ind w:left="2196" w:hanging="360"/>
      </w:pPr>
      <w:rPr>
        <w:rFonts w:ascii="Symbol" w:hAnsi="Symbol" w:hint="default"/>
      </w:rPr>
    </w:lvl>
    <w:lvl w:ilvl="4" w:tplc="E110DE88" w:tentative="1">
      <w:start w:val="1"/>
      <w:numFmt w:val="bullet"/>
      <w:lvlText w:val="o"/>
      <w:lvlJc w:val="left"/>
      <w:pPr>
        <w:ind w:left="2916" w:hanging="360"/>
      </w:pPr>
      <w:rPr>
        <w:rFonts w:ascii="Courier New" w:hAnsi="Courier New" w:cs="Courier New" w:hint="default"/>
      </w:rPr>
    </w:lvl>
    <w:lvl w:ilvl="5" w:tplc="BFC47D66" w:tentative="1">
      <w:start w:val="1"/>
      <w:numFmt w:val="bullet"/>
      <w:lvlText w:val=""/>
      <w:lvlJc w:val="left"/>
      <w:pPr>
        <w:ind w:left="3636" w:hanging="360"/>
      </w:pPr>
      <w:rPr>
        <w:rFonts w:ascii="Wingdings" w:hAnsi="Wingdings" w:hint="default"/>
      </w:rPr>
    </w:lvl>
    <w:lvl w:ilvl="6" w:tplc="4FA8612E" w:tentative="1">
      <w:start w:val="1"/>
      <w:numFmt w:val="bullet"/>
      <w:lvlText w:val=""/>
      <w:lvlJc w:val="left"/>
      <w:pPr>
        <w:ind w:left="4356" w:hanging="360"/>
      </w:pPr>
      <w:rPr>
        <w:rFonts w:ascii="Symbol" w:hAnsi="Symbol" w:hint="default"/>
      </w:rPr>
    </w:lvl>
    <w:lvl w:ilvl="7" w:tplc="BC964450" w:tentative="1">
      <w:start w:val="1"/>
      <w:numFmt w:val="bullet"/>
      <w:lvlText w:val="o"/>
      <w:lvlJc w:val="left"/>
      <w:pPr>
        <w:ind w:left="5076" w:hanging="360"/>
      </w:pPr>
      <w:rPr>
        <w:rFonts w:ascii="Courier New" w:hAnsi="Courier New" w:cs="Courier New" w:hint="default"/>
      </w:rPr>
    </w:lvl>
    <w:lvl w:ilvl="8" w:tplc="0E5C2FEC" w:tentative="1">
      <w:start w:val="1"/>
      <w:numFmt w:val="bullet"/>
      <w:lvlText w:val=""/>
      <w:lvlJc w:val="left"/>
      <w:pPr>
        <w:ind w:left="5796" w:hanging="360"/>
      </w:pPr>
      <w:rPr>
        <w:rFonts w:ascii="Wingdings" w:hAnsi="Wingdings" w:hint="default"/>
      </w:rPr>
    </w:lvl>
  </w:abstractNum>
  <w:abstractNum w:abstractNumId="68" w15:restartNumberingAfterBreak="0">
    <w:nsid w:val="4F0D2BEA"/>
    <w:multiLevelType w:val="hybridMultilevel"/>
    <w:tmpl w:val="7BD86779"/>
    <w:lvl w:ilvl="0" w:tplc="B686D912">
      <w:start w:val="1"/>
      <w:numFmt w:val="bullet"/>
      <w:lvlText w:val=""/>
      <w:lvlJc w:val="left"/>
      <w:pPr>
        <w:ind w:left="720" w:hanging="360"/>
      </w:pPr>
      <w:rPr>
        <w:rFonts w:ascii="Symbol" w:hAnsi="Symbol"/>
      </w:rPr>
    </w:lvl>
    <w:lvl w:ilvl="1" w:tplc="307A2BB4">
      <w:start w:val="1"/>
      <w:numFmt w:val="bullet"/>
      <w:lvlText w:val="o"/>
      <w:lvlJc w:val="left"/>
      <w:pPr>
        <w:tabs>
          <w:tab w:val="num" w:pos="1440"/>
        </w:tabs>
        <w:ind w:left="1440" w:hanging="360"/>
      </w:pPr>
      <w:rPr>
        <w:rFonts w:ascii="Courier New" w:hAnsi="Courier New"/>
      </w:rPr>
    </w:lvl>
    <w:lvl w:ilvl="2" w:tplc="17BCD12E">
      <w:start w:val="1"/>
      <w:numFmt w:val="bullet"/>
      <w:lvlText w:val=""/>
      <w:lvlJc w:val="left"/>
      <w:pPr>
        <w:tabs>
          <w:tab w:val="num" w:pos="2160"/>
        </w:tabs>
        <w:ind w:left="2160" w:hanging="360"/>
      </w:pPr>
      <w:rPr>
        <w:rFonts w:ascii="Wingdings" w:hAnsi="Wingdings"/>
      </w:rPr>
    </w:lvl>
    <w:lvl w:ilvl="3" w:tplc="8188E040">
      <w:start w:val="1"/>
      <w:numFmt w:val="bullet"/>
      <w:lvlText w:val=""/>
      <w:lvlJc w:val="left"/>
      <w:pPr>
        <w:tabs>
          <w:tab w:val="num" w:pos="2880"/>
        </w:tabs>
        <w:ind w:left="2880" w:hanging="360"/>
      </w:pPr>
      <w:rPr>
        <w:rFonts w:ascii="Symbol" w:hAnsi="Symbol"/>
      </w:rPr>
    </w:lvl>
    <w:lvl w:ilvl="4" w:tplc="A4CCBA24">
      <w:start w:val="1"/>
      <w:numFmt w:val="bullet"/>
      <w:lvlText w:val="o"/>
      <w:lvlJc w:val="left"/>
      <w:pPr>
        <w:tabs>
          <w:tab w:val="num" w:pos="3600"/>
        </w:tabs>
        <w:ind w:left="3600" w:hanging="360"/>
      </w:pPr>
      <w:rPr>
        <w:rFonts w:ascii="Courier New" w:hAnsi="Courier New"/>
      </w:rPr>
    </w:lvl>
    <w:lvl w:ilvl="5" w:tplc="70EC6624">
      <w:start w:val="1"/>
      <w:numFmt w:val="bullet"/>
      <w:lvlText w:val=""/>
      <w:lvlJc w:val="left"/>
      <w:pPr>
        <w:tabs>
          <w:tab w:val="num" w:pos="4320"/>
        </w:tabs>
        <w:ind w:left="4320" w:hanging="360"/>
      </w:pPr>
      <w:rPr>
        <w:rFonts w:ascii="Wingdings" w:hAnsi="Wingdings"/>
      </w:rPr>
    </w:lvl>
    <w:lvl w:ilvl="6" w:tplc="1192511C">
      <w:start w:val="1"/>
      <w:numFmt w:val="bullet"/>
      <w:lvlText w:val=""/>
      <w:lvlJc w:val="left"/>
      <w:pPr>
        <w:tabs>
          <w:tab w:val="num" w:pos="5040"/>
        </w:tabs>
        <w:ind w:left="5040" w:hanging="360"/>
      </w:pPr>
      <w:rPr>
        <w:rFonts w:ascii="Symbol" w:hAnsi="Symbol"/>
      </w:rPr>
    </w:lvl>
    <w:lvl w:ilvl="7" w:tplc="1DE64FBC">
      <w:start w:val="1"/>
      <w:numFmt w:val="bullet"/>
      <w:lvlText w:val="o"/>
      <w:lvlJc w:val="left"/>
      <w:pPr>
        <w:tabs>
          <w:tab w:val="num" w:pos="5760"/>
        </w:tabs>
        <w:ind w:left="5760" w:hanging="360"/>
      </w:pPr>
      <w:rPr>
        <w:rFonts w:ascii="Courier New" w:hAnsi="Courier New"/>
      </w:rPr>
    </w:lvl>
    <w:lvl w:ilvl="8" w:tplc="2E0AADFA">
      <w:start w:val="1"/>
      <w:numFmt w:val="bullet"/>
      <w:lvlText w:val=""/>
      <w:lvlJc w:val="left"/>
      <w:pPr>
        <w:tabs>
          <w:tab w:val="num" w:pos="6480"/>
        </w:tabs>
        <w:ind w:left="6480" w:hanging="360"/>
      </w:pPr>
      <w:rPr>
        <w:rFonts w:ascii="Wingdings" w:hAnsi="Wingdings"/>
      </w:rPr>
    </w:lvl>
  </w:abstractNum>
  <w:abstractNum w:abstractNumId="69" w15:restartNumberingAfterBreak="0">
    <w:nsid w:val="4F3450A2"/>
    <w:multiLevelType w:val="hybridMultilevel"/>
    <w:tmpl w:val="38F09F1C"/>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0" w15:restartNumberingAfterBreak="0">
    <w:nsid w:val="50E47832"/>
    <w:multiLevelType w:val="hybridMultilevel"/>
    <w:tmpl w:val="AE9C1BD0"/>
    <w:lvl w:ilvl="0" w:tplc="46268E48">
      <w:start w:val="1"/>
      <w:numFmt w:val="decimal"/>
      <w:lvlText w:val="(%1)"/>
      <w:lvlJc w:val="left"/>
      <w:pPr>
        <w:ind w:left="1521" w:hanging="322"/>
      </w:pPr>
      <w:rPr>
        <w:rFonts w:ascii="Calibri" w:eastAsia="Calibri" w:hAnsi="Calibri" w:cs="Calibri" w:hint="default"/>
        <w:b w:val="0"/>
        <w:bCs w:val="0"/>
        <w:i w:val="0"/>
        <w:iCs w:val="0"/>
        <w:spacing w:val="-1"/>
        <w:w w:val="100"/>
        <w:sz w:val="24"/>
        <w:szCs w:val="24"/>
        <w:lang w:val="en-US" w:eastAsia="en-US" w:bidi="ar-SA"/>
      </w:rPr>
    </w:lvl>
    <w:lvl w:ilvl="1" w:tplc="E1A0577E">
      <w:start w:val="1"/>
      <w:numFmt w:val="lowerRoman"/>
      <w:lvlText w:val="(%2)"/>
      <w:lvlJc w:val="left"/>
      <w:pPr>
        <w:ind w:left="2136" w:hanging="256"/>
      </w:pPr>
      <w:rPr>
        <w:rFonts w:ascii="Calibri" w:eastAsia="Calibri" w:hAnsi="Calibri" w:cs="Calibri" w:hint="default"/>
        <w:b w:val="0"/>
        <w:bCs w:val="0"/>
        <w:i w:val="0"/>
        <w:iCs w:val="0"/>
        <w:w w:val="100"/>
        <w:sz w:val="24"/>
        <w:szCs w:val="24"/>
        <w:lang w:val="en-US" w:eastAsia="en-US" w:bidi="ar-SA"/>
      </w:rPr>
    </w:lvl>
    <w:lvl w:ilvl="2" w:tplc="D3223A6E">
      <w:numFmt w:val="bullet"/>
      <w:lvlText w:val="•"/>
      <w:lvlJc w:val="left"/>
      <w:pPr>
        <w:ind w:left="3048" w:hanging="256"/>
      </w:pPr>
      <w:rPr>
        <w:rFonts w:hint="default"/>
        <w:lang w:val="en-US" w:eastAsia="en-US" w:bidi="ar-SA"/>
      </w:rPr>
    </w:lvl>
    <w:lvl w:ilvl="3" w:tplc="0B24B334">
      <w:numFmt w:val="bullet"/>
      <w:lvlText w:val="•"/>
      <w:lvlJc w:val="left"/>
      <w:pPr>
        <w:ind w:left="3957" w:hanging="256"/>
      </w:pPr>
      <w:rPr>
        <w:rFonts w:hint="default"/>
        <w:lang w:val="en-US" w:eastAsia="en-US" w:bidi="ar-SA"/>
      </w:rPr>
    </w:lvl>
    <w:lvl w:ilvl="4" w:tplc="63A078D0">
      <w:numFmt w:val="bullet"/>
      <w:lvlText w:val="•"/>
      <w:lvlJc w:val="left"/>
      <w:pPr>
        <w:ind w:left="4866" w:hanging="256"/>
      </w:pPr>
      <w:rPr>
        <w:rFonts w:hint="default"/>
        <w:lang w:val="en-US" w:eastAsia="en-US" w:bidi="ar-SA"/>
      </w:rPr>
    </w:lvl>
    <w:lvl w:ilvl="5" w:tplc="260AB72A">
      <w:numFmt w:val="bullet"/>
      <w:lvlText w:val="•"/>
      <w:lvlJc w:val="left"/>
      <w:pPr>
        <w:ind w:left="5775" w:hanging="256"/>
      </w:pPr>
      <w:rPr>
        <w:rFonts w:hint="default"/>
        <w:lang w:val="en-US" w:eastAsia="en-US" w:bidi="ar-SA"/>
      </w:rPr>
    </w:lvl>
    <w:lvl w:ilvl="6" w:tplc="7374B236">
      <w:numFmt w:val="bullet"/>
      <w:lvlText w:val="•"/>
      <w:lvlJc w:val="left"/>
      <w:pPr>
        <w:ind w:left="6684" w:hanging="256"/>
      </w:pPr>
      <w:rPr>
        <w:rFonts w:hint="default"/>
        <w:lang w:val="en-US" w:eastAsia="en-US" w:bidi="ar-SA"/>
      </w:rPr>
    </w:lvl>
    <w:lvl w:ilvl="7" w:tplc="51C4338C">
      <w:numFmt w:val="bullet"/>
      <w:lvlText w:val="•"/>
      <w:lvlJc w:val="left"/>
      <w:pPr>
        <w:ind w:left="7593" w:hanging="256"/>
      </w:pPr>
      <w:rPr>
        <w:rFonts w:hint="default"/>
        <w:lang w:val="en-US" w:eastAsia="en-US" w:bidi="ar-SA"/>
      </w:rPr>
    </w:lvl>
    <w:lvl w:ilvl="8" w:tplc="FF88CE82">
      <w:numFmt w:val="bullet"/>
      <w:lvlText w:val="•"/>
      <w:lvlJc w:val="left"/>
      <w:pPr>
        <w:ind w:left="8502" w:hanging="256"/>
      </w:pPr>
      <w:rPr>
        <w:rFonts w:hint="default"/>
        <w:lang w:val="en-US" w:eastAsia="en-US" w:bidi="ar-SA"/>
      </w:rPr>
    </w:lvl>
  </w:abstractNum>
  <w:abstractNum w:abstractNumId="71" w15:restartNumberingAfterBreak="0">
    <w:nsid w:val="511A079A"/>
    <w:multiLevelType w:val="hybridMultilevel"/>
    <w:tmpl w:val="DA28ACFE"/>
    <w:lvl w:ilvl="0" w:tplc="6D5E2502">
      <w:start w:val="1"/>
      <w:numFmt w:val="lowerRoman"/>
      <w:lvlText w:val="%1."/>
      <w:lvlJc w:val="right"/>
      <w:pPr>
        <w:ind w:left="720" w:hanging="360"/>
      </w:pPr>
      <w:rPr>
        <w:rFonts w:hint="default"/>
        <w:b/>
      </w:rPr>
    </w:lvl>
    <w:lvl w:ilvl="1" w:tplc="2F122666" w:tentative="1">
      <w:start w:val="1"/>
      <w:numFmt w:val="lowerLetter"/>
      <w:lvlText w:val="%2."/>
      <w:lvlJc w:val="left"/>
      <w:pPr>
        <w:ind w:left="1440" w:hanging="360"/>
      </w:pPr>
    </w:lvl>
    <w:lvl w:ilvl="2" w:tplc="81342676" w:tentative="1">
      <w:start w:val="1"/>
      <w:numFmt w:val="lowerRoman"/>
      <w:lvlText w:val="%3."/>
      <w:lvlJc w:val="right"/>
      <w:pPr>
        <w:ind w:left="2160" w:hanging="180"/>
      </w:pPr>
    </w:lvl>
    <w:lvl w:ilvl="3" w:tplc="D1CAC574" w:tentative="1">
      <w:start w:val="1"/>
      <w:numFmt w:val="decimal"/>
      <w:lvlText w:val="%4."/>
      <w:lvlJc w:val="left"/>
      <w:pPr>
        <w:ind w:left="2880" w:hanging="360"/>
      </w:pPr>
    </w:lvl>
    <w:lvl w:ilvl="4" w:tplc="86D4D268" w:tentative="1">
      <w:start w:val="1"/>
      <w:numFmt w:val="lowerLetter"/>
      <w:lvlText w:val="%5."/>
      <w:lvlJc w:val="left"/>
      <w:pPr>
        <w:ind w:left="3600" w:hanging="360"/>
      </w:pPr>
    </w:lvl>
    <w:lvl w:ilvl="5" w:tplc="87E28204" w:tentative="1">
      <w:start w:val="1"/>
      <w:numFmt w:val="lowerRoman"/>
      <w:lvlText w:val="%6."/>
      <w:lvlJc w:val="right"/>
      <w:pPr>
        <w:ind w:left="4320" w:hanging="180"/>
      </w:pPr>
    </w:lvl>
    <w:lvl w:ilvl="6" w:tplc="4FDABC02" w:tentative="1">
      <w:start w:val="1"/>
      <w:numFmt w:val="decimal"/>
      <w:lvlText w:val="%7."/>
      <w:lvlJc w:val="left"/>
      <w:pPr>
        <w:ind w:left="5040" w:hanging="360"/>
      </w:pPr>
    </w:lvl>
    <w:lvl w:ilvl="7" w:tplc="2BEEC550" w:tentative="1">
      <w:start w:val="1"/>
      <w:numFmt w:val="lowerLetter"/>
      <w:lvlText w:val="%8."/>
      <w:lvlJc w:val="left"/>
      <w:pPr>
        <w:ind w:left="5760" w:hanging="360"/>
      </w:pPr>
    </w:lvl>
    <w:lvl w:ilvl="8" w:tplc="19228164" w:tentative="1">
      <w:start w:val="1"/>
      <w:numFmt w:val="lowerRoman"/>
      <w:lvlText w:val="%9."/>
      <w:lvlJc w:val="right"/>
      <w:pPr>
        <w:ind w:left="6480" w:hanging="180"/>
      </w:pPr>
    </w:lvl>
  </w:abstractNum>
  <w:abstractNum w:abstractNumId="72" w15:restartNumberingAfterBreak="0">
    <w:nsid w:val="51696CB7"/>
    <w:multiLevelType w:val="hybridMultilevel"/>
    <w:tmpl w:val="CC6E1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540D483F"/>
    <w:multiLevelType w:val="hybridMultilevel"/>
    <w:tmpl w:val="132606CE"/>
    <w:lvl w:ilvl="0" w:tplc="F482BE34">
      <w:start w:val="1"/>
      <w:numFmt w:val="bullet"/>
      <w:lvlText w:val=""/>
      <w:lvlJc w:val="left"/>
      <w:pPr>
        <w:ind w:left="720" w:hanging="360"/>
      </w:pPr>
      <w:rPr>
        <w:rFonts w:ascii="Symbol" w:hAnsi="Symbol" w:hint="default"/>
      </w:rPr>
    </w:lvl>
    <w:lvl w:ilvl="1" w:tplc="7A6857DA">
      <w:start w:val="1"/>
      <w:numFmt w:val="bullet"/>
      <w:lvlText w:val=""/>
      <w:lvlJc w:val="left"/>
      <w:pPr>
        <w:ind w:left="1440" w:hanging="360"/>
      </w:pPr>
      <w:rPr>
        <w:rFonts w:ascii="Symbol" w:hAnsi="Symbol" w:hint="default"/>
      </w:rPr>
    </w:lvl>
    <w:lvl w:ilvl="2" w:tplc="D6D084A6">
      <w:start w:val="1"/>
      <w:numFmt w:val="bullet"/>
      <w:lvlText w:val=""/>
      <w:lvlJc w:val="left"/>
      <w:pPr>
        <w:ind w:left="2160" w:hanging="360"/>
      </w:pPr>
      <w:rPr>
        <w:rFonts w:ascii="Wingdings" w:hAnsi="Wingdings" w:hint="default"/>
      </w:rPr>
    </w:lvl>
    <w:lvl w:ilvl="3" w:tplc="40D4652A" w:tentative="1">
      <w:start w:val="1"/>
      <w:numFmt w:val="bullet"/>
      <w:lvlText w:val=""/>
      <w:lvlJc w:val="left"/>
      <w:pPr>
        <w:ind w:left="2880" w:hanging="360"/>
      </w:pPr>
      <w:rPr>
        <w:rFonts w:ascii="Symbol" w:hAnsi="Symbol" w:hint="default"/>
      </w:rPr>
    </w:lvl>
    <w:lvl w:ilvl="4" w:tplc="7624BEB2" w:tentative="1">
      <w:start w:val="1"/>
      <w:numFmt w:val="bullet"/>
      <w:lvlText w:val="o"/>
      <w:lvlJc w:val="left"/>
      <w:pPr>
        <w:ind w:left="3600" w:hanging="360"/>
      </w:pPr>
      <w:rPr>
        <w:rFonts w:ascii="Courier New" w:hAnsi="Courier New" w:cs="Courier New" w:hint="default"/>
      </w:rPr>
    </w:lvl>
    <w:lvl w:ilvl="5" w:tplc="60B8ECB0" w:tentative="1">
      <w:start w:val="1"/>
      <w:numFmt w:val="bullet"/>
      <w:lvlText w:val=""/>
      <w:lvlJc w:val="left"/>
      <w:pPr>
        <w:ind w:left="4320" w:hanging="360"/>
      </w:pPr>
      <w:rPr>
        <w:rFonts w:ascii="Wingdings" w:hAnsi="Wingdings" w:hint="default"/>
      </w:rPr>
    </w:lvl>
    <w:lvl w:ilvl="6" w:tplc="AAC847EA" w:tentative="1">
      <w:start w:val="1"/>
      <w:numFmt w:val="bullet"/>
      <w:lvlText w:val=""/>
      <w:lvlJc w:val="left"/>
      <w:pPr>
        <w:ind w:left="5040" w:hanging="360"/>
      </w:pPr>
      <w:rPr>
        <w:rFonts w:ascii="Symbol" w:hAnsi="Symbol" w:hint="default"/>
      </w:rPr>
    </w:lvl>
    <w:lvl w:ilvl="7" w:tplc="51246764" w:tentative="1">
      <w:start w:val="1"/>
      <w:numFmt w:val="bullet"/>
      <w:lvlText w:val="o"/>
      <w:lvlJc w:val="left"/>
      <w:pPr>
        <w:ind w:left="5760" w:hanging="360"/>
      </w:pPr>
      <w:rPr>
        <w:rFonts w:ascii="Courier New" w:hAnsi="Courier New" w:cs="Courier New" w:hint="default"/>
      </w:rPr>
    </w:lvl>
    <w:lvl w:ilvl="8" w:tplc="EB5A6A66" w:tentative="1">
      <w:start w:val="1"/>
      <w:numFmt w:val="bullet"/>
      <w:lvlText w:val=""/>
      <w:lvlJc w:val="left"/>
      <w:pPr>
        <w:ind w:left="6480" w:hanging="360"/>
      </w:pPr>
      <w:rPr>
        <w:rFonts w:ascii="Wingdings" w:hAnsi="Wingdings" w:hint="default"/>
      </w:rPr>
    </w:lvl>
  </w:abstractNum>
  <w:abstractNum w:abstractNumId="74" w15:restartNumberingAfterBreak="0">
    <w:nsid w:val="59456F61"/>
    <w:multiLevelType w:val="hybridMultilevel"/>
    <w:tmpl w:val="C1767382"/>
    <w:lvl w:ilvl="0" w:tplc="4DECB8D0">
      <w:start w:val="1"/>
      <w:numFmt w:val="lowerLetter"/>
      <w:lvlText w:val="%1."/>
      <w:lvlJc w:val="left"/>
      <w:pPr>
        <w:ind w:left="720" w:hanging="360"/>
      </w:pPr>
      <w:rPr>
        <w:rFonts w:hint="default"/>
        <w:b/>
      </w:rPr>
    </w:lvl>
    <w:lvl w:ilvl="1" w:tplc="AFF24C42" w:tentative="1">
      <w:start w:val="1"/>
      <w:numFmt w:val="lowerLetter"/>
      <w:lvlText w:val="%2."/>
      <w:lvlJc w:val="left"/>
      <w:pPr>
        <w:ind w:left="1440" w:hanging="360"/>
      </w:pPr>
    </w:lvl>
    <w:lvl w:ilvl="2" w:tplc="EF4E3782" w:tentative="1">
      <w:start w:val="1"/>
      <w:numFmt w:val="lowerRoman"/>
      <w:lvlText w:val="%3."/>
      <w:lvlJc w:val="right"/>
      <w:pPr>
        <w:ind w:left="2160" w:hanging="180"/>
      </w:pPr>
    </w:lvl>
    <w:lvl w:ilvl="3" w:tplc="E4CCE594" w:tentative="1">
      <w:start w:val="1"/>
      <w:numFmt w:val="decimal"/>
      <w:lvlText w:val="%4."/>
      <w:lvlJc w:val="left"/>
      <w:pPr>
        <w:ind w:left="2880" w:hanging="360"/>
      </w:pPr>
    </w:lvl>
    <w:lvl w:ilvl="4" w:tplc="DF24FDBA" w:tentative="1">
      <w:start w:val="1"/>
      <w:numFmt w:val="lowerLetter"/>
      <w:lvlText w:val="%5."/>
      <w:lvlJc w:val="left"/>
      <w:pPr>
        <w:ind w:left="3600" w:hanging="360"/>
      </w:pPr>
    </w:lvl>
    <w:lvl w:ilvl="5" w:tplc="6C16F604" w:tentative="1">
      <w:start w:val="1"/>
      <w:numFmt w:val="lowerRoman"/>
      <w:lvlText w:val="%6."/>
      <w:lvlJc w:val="right"/>
      <w:pPr>
        <w:ind w:left="4320" w:hanging="180"/>
      </w:pPr>
    </w:lvl>
    <w:lvl w:ilvl="6" w:tplc="B6EC1944" w:tentative="1">
      <w:start w:val="1"/>
      <w:numFmt w:val="decimal"/>
      <w:lvlText w:val="%7."/>
      <w:lvlJc w:val="left"/>
      <w:pPr>
        <w:ind w:left="5040" w:hanging="360"/>
      </w:pPr>
    </w:lvl>
    <w:lvl w:ilvl="7" w:tplc="8DEAB9E8" w:tentative="1">
      <w:start w:val="1"/>
      <w:numFmt w:val="lowerLetter"/>
      <w:lvlText w:val="%8."/>
      <w:lvlJc w:val="left"/>
      <w:pPr>
        <w:ind w:left="5760" w:hanging="360"/>
      </w:pPr>
    </w:lvl>
    <w:lvl w:ilvl="8" w:tplc="82461A66" w:tentative="1">
      <w:start w:val="1"/>
      <w:numFmt w:val="lowerRoman"/>
      <w:lvlText w:val="%9."/>
      <w:lvlJc w:val="right"/>
      <w:pPr>
        <w:ind w:left="6480" w:hanging="180"/>
      </w:pPr>
    </w:lvl>
  </w:abstractNum>
  <w:abstractNum w:abstractNumId="75" w15:restartNumberingAfterBreak="0">
    <w:nsid w:val="5E63FDAD"/>
    <w:multiLevelType w:val="hybridMultilevel"/>
    <w:tmpl w:val="7BD86775"/>
    <w:lvl w:ilvl="0" w:tplc="DD546E78">
      <w:start w:val="1"/>
      <w:numFmt w:val="bullet"/>
      <w:lvlText w:val=""/>
      <w:lvlJc w:val="left"/>
      <w:pPr>
        <w:ind w:left="720" w:hanging="360"/>
      </w:pPr>
      <w:rPr>
        <w:rFonts w:ascii="Symbol" w:hAnsi="Symbol"/>
      </w:rPr>
    </w:lvl>
    <w:lvl w:ilvl="1" w:tplc="910862A0">
      <w:start w:val="1"/>
      <w:numFmt w:val="bullet"/>
      <w:lvlText w:val="o"/>
      <w:lvlJc w:val="left"/>
      <w:pPr>
        <w:tabs>
          <w:tab w:val="num" w:pos="1440"/>
        </w:tabs>
        <w:ind w:left="1440" w:hanging="360"/>
      </w:pPr>
      <w:rPr>
        <w:rFonts w:ascii="Courier New" w:hAnsi="Courier New"/>
      </w:rPr>
    </w:lvl>
    <w:lvl w:ilvl="2" w:tplc="2D86FD60">
      <w:start w:val="1"/>
      <w:numFmt w:val="bullet"/>
      <w:lvlText w:val=""/>
      <w:lvlJc w:val="left"/>
      <w:pPr>
        <w:tabs>
          <w:tab w:val="num" w:pos="2160"/>
        </w:tabs>
        <w:ind w:left="2160" w:hanging="360"/>
      </w:pPr>
      <w:rPr>
        <w:rFonts w:ascii="Wingdings" w:hAnsi="Wingdings"/>
      </w:rPr>
    </w:lvl>
    <w:lvl w:ilvl="3" w:tplc="17546DB8">
      <w:start w:val="1"/>
      <w:numFmt w:val="bullet"/>
      <w:lvlText w:val=""/>
      <w:lvlJc w:val="left"/>
      <w:pPr>
        <w:tabs>
          <w:tab w:val="num" w:pos="2880"/>
        </w:tabs>
        <w:ind w:left="2880" w:hanging="360"/>
      </w:pPr>
      <w:rPr>
        <w:rFonts w:ascii="Symbol" w:hAnsi="Symbol"/>
      </w:rPr>
    </w:lvl>
    <w:lvl w:ilvl="4" w:tplc="9664030E">
      <w:start w:val="1"/>
      <w:numFmt w:val="bullet"/>
      <w:lvlText w:val="o"/>
      <w:lvlJc w:val="left"/>
      <w:pPr>
        <w:tabs>
          <w:tab w:val="num" w:pos="3600"/>
        </w:tabs>
        <w:ind w:left="3600" w:hanging="360"/>
      </w:pPr>
      <w:rPr>
        <w:rFonts w:ascii="Courier New" w:hAnsi="Courier New"/>
      </w:rPr>
    </w:lvl>
    <w:lvl w:ilvl="5" w:tplc="A1745A86">
      <w:start w:val="1"/>
      <w:numFmt w:val="bullet"/>
      <w:lvlText w:val=""/>
      <w:lvlJc w:val="left"/>
      <w:pPr>
        <w:tabs>
          <w:tab w:val="num" w:pos="4320"/>
        </w:tabs>
        <w:ind w:left="4320" w:hanging="360"/>
      </w:pPr>
      <w:rPr>
        <w:rFonts w:ascii="Wingdings" w:hAnsi="Wingdings"/>
      </w:rPr>
    </w:lvl>
    <w:lvl w:ilvl="6" w:tplc="4BB4CED2">
      <w:start w:val="1"/>
      <w:numFmt w:val="bullet"/>
      <w:lvlText w:val=""/>
      <w:lvlJc w:val="left"/>
      <w:pPr>
        <w:tabs>
          <w:tab w:val="num" w:pos="5040"/>
        </w:tabs>
        <w:ind w:left="5040" w:hanging="360"/>
      </w:pPr>
      <w:rPr>
        <w:rFonts w:ascii="Symbol" w:hAnsi="Symbol"/>
      </w:rPr>
    </w:lvl>
    <w:lvl w:ilvl="7" w:tplc="F2F2C242">
      <w:start w:val="1"/>
      <w:numFmt w:val="bullet"/>
      <w:lvlText w:val="o"/>
      <w:lvlJc w:val="left"/>
      <w:pPr>
        <w:tabs>
          <w:tab w:val="num" w:pos="5760"/>
        </w:tabs>
        <w:ind w:left="5760" w:hanging="360"/>
      </w:pPr>
      <w:rPr>
        <w:rFonts w:ascii="Courier New" w:hAnsi="Courier New"/>
      </w:rPr>
    </w:lvl>
    <w:lvl w:ilvl="8" w:tplc="15327416">
      <w:start w:val="1"/>
      <w:numFmt w:val="bullet"/>
      <w:lvlText w:val=""/>
      <w:lvlJc w:val="left"/>
      <w:pPr>
        <w:tabs>
          <w:tab w:val="num" w:pos="6480"/>
        </w:tabs>
        <w:ind w:left="6480" w:hanging="360"/>
      </w:pPr>
      <w:rPr>
        <w:rFonts w:ascii="Wingdings" w:hAnsi="Wingdings"/>
      </w:rPr>
    </w:lvl>
  </w:abstractNum>
  <w:abstractNum w:abstractNumId="76" w15:restartNumberingAfterBreak="0">
    <w:nsid w:val="604C0AC1"/>
    <w:multiLevelType w:val="hybridMultilevel"/>
    <w:tmpl w:val="A1583D3A"/>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7" w15:restartNumberingAfterBreak="0">
    <w:nsid w:val="611102C9"/>
    <w:multiLevelType w:val="hybridMultilevel"/>
    <w:tmpl w:val="18C6BE96"/>
    <w:lvl w:ilvl="0" w:tplc="76368710">
      <w:start w:val="1"/>
      <w:numFmt w:val="bullet"/>
      <w:lvlText w:val=""/>
      <w:lvlJc w:val="left"/>
      <w:pPr>
        <w:ind w:left="1800" w:hanging="360"/>
      </w:pPr>
      <w:rPr>
        <w:rFonts w:ascii="Symbol" w:hAnsi="Symbol" w:hint="default"/>
      </w:rPr>
    </w:lvl>
    <w:lvl w:ilvl="1" w:tplc="012687B4" w:tentative="1">
      <w:start w:val="1"/>
      <w:numFmt w:val="bullet"/>
      <w:lvlText w:val="o"/>
      <w:lvlJc w:val="left"/>
      <w:pPr>
        <w:ind w:left="2520" w:hanging="360"/>
      </w:pPr>
      <w:rPr>
        <w:rFonts w:ascii="Courier New" w:hAnsi="Courier New" w:cs="Courier New" w:hint="default"/>
      </w:rPr>
    </w:lvl>
    <w:lvl w:ilvl="2" w:tplc="699E3BBA" w:tentative="1">
      <w:start w:val="1"/>
      <w:numFmt w:val="bullet"/>
      <w:lvlText w:val=""/>
      <w:lvlJc w:val="left"/>
      <w:pPr>
        <w:ind w:left="3240" w:hanging="360"/>
      </w:pPr>
      <w:rPr>
        <w:rFonts w:ascii="Wingdings" w:hAnsi="Wingdings" w:hint="default"/>
      </w:rPr>
    </w:lvl>
    <w:lvl w:ilvl="3" w:tplc="C228F204" w:tentative="1">
      <w:start w:val="1"/>
      <w:numFmt w:val="bullet"/>
      <w:lvlText w:val=""/>
      <w:lvlJc w:val="left"/>
      <w:pPr>
        <w:ind w:left="3960" w:hanging="360"/>
      </w:pPr>
      <w:rPr>
        <w:rFonts w:ascii="Symbol" w:hAnsi="Symbol" w:hint="default"/>
      </w:rPr>
    </w:lvl>
    <w:lvl w:ilvl="4" w:tplc="10EC989A" w:tentative="1">
      <w:start w:val="1"/>
      <w:numFmt w:val="bullet"/>
      <w:lvlText w:val="o"/>
      <w:lvlJc w:val="left"/>
      <w:pPr>
        <w:ind w:left="4680" w:hanging="360"/>
      </w:pPr>
      <w:rPr>
        <w:rFonts w:ascii="Courier New" w:hAnsi="Courier New" w:cs="Courier New" w:hint="default"/>
      </w:rPr>
    </w:lvl>
    <w:lvl w:ilvl="5" w:tplc="CE6456EA" w:tentative="1">
      <w:start w:val="1"/>
      <w:numFmt w:val="bullet"/>
      <w:lvlText w:val=""/>
      <w:lvlJc w:val="left"/>
      <w:pPr>
        <w:ind w:left="5400" w:hanging="360"/>
      </w:pPr>
      <w:rPr>
        <w:rFonts w:ascii="Wingdings" w:hAnsi="Wingdings" w:hint="default"/>
      </w:rPr>
    </w:lvl>
    <w:lvl w:ilvl="6" w:tplc="AEFEF4F0" w:tentative="1">
      <w:start w:val="1"/>
      <w:numFmt w:val="bullet"/>
      <w:lvlText w:val=""/>
      <w:lvlJc w:val="left"/>
      <w:pPr>
        <w:ind w:left="6120" w:hanging="360"/>
      </w:pPr>
      <w:rPr>
        <w:rFonts w:ascii="Symbol" w:hAnsi="Symbol" w:hint="default"/>
      </w:rPr>
    </w:lvl>
    <w:lvl w:ilvl="7" w:tplc="54D61FC2" w:tentative="1">
      <w:start w:val="1"/>
      <w:numFmt w:val="bullet"/>
      <w:lvlText w:val="o"/>
      <w:lvlJc w:val="left"/>
      <w:pPr>
        <w:ind w:left="6840" w:hanging="360"/>
      </w:pPr>
      <w:rPr>
        <w:rFonts w:ascii="Courier New" w:hAnsi="Courier New" w:cs="Courier New" w:hint="default"/>
      </w:rPr>
    </w:lvl>
    <w:lvl w:ilvl="8" w:tplc="DB7A78CE" w:tentative="1">
      <w:start w:val="1"/>
      <w:numFmt w:val="bullet"/>
      <w:lvlText w:val=""/>
      <w:lvlJc w:val="left"/>
      <w:pPr>
        <w:ind w:left="7560" w:hanging="360"/>
      </w:pPr>
      <w:rPr>
        <w:rFonts w:ascii="Wingdings" w:hAnsi="Wingdings" w:hint="default"/>
      </w:rPr>
    </w:lvl>
  </w:abstractNum>
  <w:abstractNum w:abstractNumId="78" w15:restartNumberingAfterBreak="0">
    <w:nsid w:val="655E1116"/>
    <w:multiLevelType w:val="hybridMultilevel"/>
    <w:tmpl w:val="68B43D7E"/>
    <w:lvl w:ilvl="0" w:tplc="833E4402">
      <w:start w:val="1"/>
      <w:numFmt w:val="bullet"/>
      <w:lvlText w:val=""/>
      <w:lvlJc w:val="left"/>
      <w:pPr>
        <w:ind w:left="1080" w:hanging="360"/>
      </w:pPr>
      <w:rPr>
        <w:rFonts w:ascii="Symbol" w:hAnsi="Symbol" w:hint="default"/>
      </w:rPr>
    </w:lvl>
    <w:lvl w:ilvl="1" w:tplc="968E5820" w:tentative="1">
      <w:start w:val="1"/>
      <w:numFmt w:val="bullet"/>
      <w:lvlText w:val="o"/>
      <w:lvlJc w:val="left"/>
      <w:pPr>
        <w:ind w:left="1800" w:hanging="360"/>
      </w:pPr>
      <w:rPr>
        <w:rFonts w:ascii="Courier New" w:hAnsi="Courier New" w:cs="Courier New" w:hint="default"/>
      </w:rPr>
    </w:lvl>
    <w:lvl w:ilvl="2" w:tplc="52EED144">
      <w:start w:val="1"/>
      <w:numFmt w:val="bullet"/>
      <w:lvlText w:val=""/>
      <w:lvlJc w:val="left"/>
      <w:pPr>
        <w:ind w:left="2520" w:hanging="360"/>
      </w:pPr>
      <w:rPr>
        <w:rFonts w:ascii="Wingdings" w:hAnsi="Wingdings" w:hint="default"/>
      </w:rPr>
    </w:lvl>
    <w:lvl w:ilvl="3" w:tplc="B9A6B432" w:tentative="1">
      <w:start w:val="1"/>
      <w:numFmt w:val="bullet"/>
      <w:lvlText w:val=""/>
      <w:lvlJc w:val="left"/>
      <w:pPr>
        <w:ind w:left="3240" w:hanging="360"/>
      </w:pPr>
      <w:rPr>
        <w:rFonts w:ascii="Symbol" w:hAnsi="Symbol" w:hint="default"/>
      </w:rPr>
    </w:lvl>
    <w:lvl w:ilvl="4" w:tplc="5FA814AC" w:tentative="1">
      <w:start w:val="1"/>
      <w:numFmt w:val="bullet"/>
      <w:lvlText w:val="o"/>
      <w:lvlJc w:val="left"/>
      <w:pPr>
        <w:ind w:left="3960" w:hanging="360"/>
      </w:pPr>
      <w:rPr>
        <w:rFonts w:ascii="Courier New" w:hAnsi="Courier New" w:cs="Courier New" w:hint="default"/>
      </w:rPr>
    </w:lvl>
    <w:lvl w:ilvl="5" w:tplc="8736C3BA" w:tentative="1">
      <w:start w:val="1"/>
      <w:numFmt w:val="bullet"/>
      <w:lvlText w:val=""/>
      <w:lvlJc w:val="left"/>
      <w:pPr>
        <w:ind w:left="4680" w:hanging="360"/>
      </w:pPr>
      <w:rPr>
        <w:rFonts w:ascii="Wingdings" w:hAnsi="Wingdings" w:hint="default"/>
      </w:rPr>
    </w:lvl>
    <w:lvl w:ilvl="6" w:tplc="5C84B7D6" w:tentative="1">
      <w:start w:val="1"/>
      <w:numFmt w:val="bullet"/>
      <w:lvlText w:val=""/>
      <w:lvlJc w:val="left"/>
      <w:pPr>
        <w:ind w:left="5400" w:hanging="360"/>
      </w:pPr>
      <w:rPr>
        <w:rFonts w:ascii="Symbol" w:hAnsi="Symbol" w:hint="default"/>
      </w:rPr>
    </w:lvl>
    <w:lvl w:ilvl="7" w:tplc="37006050" w:tentative="1">
      <w:start w:val="1"/>
      <w:numFmt w:val="bullet"/>
      <w:lvlText w:val="o"/>
      <w:lvlJc w:val="left"/>
      <w:pPr>
        <w:ind w:left="6120" w:hanging="360"/>
      </w:pPr>
      <w:rPr>
        <w:rFonts w:ascii="Courier New" w:hAnsi="Courier New" w:cs="Courier New" w:hint="default"/>
      </w:rPr>
    </w:lvl>
    <w:lvl w:ilvl="8" w:tplc="6F68565A" w:tentative="1">
      <w:start w:val="1"/>
      <w:numFmt w:val="bullet"/>
      <w:lvlText w:val=""/>
      <w:lvlJc w:val="left"/>
      <w:pPr>
        <w:ind w:left="6840" w:hanging="360"/>
      </w:pPr>
      <w:rPr>
        <w:rFonts w:ascii="Wingdings" w:hAnsi="Wingdings" w:hint="default"/>
      </w:rPr>
    </w:lvl>
  </w:abstractNum>
  <w:abstractNum w:abstractNumId="79" w15:restartNumberingAfterBreak="0">
    <w:nsid w:val="65FF2967"/>
    <w:multiLevelType w:val="hybridMultilevel"/>
    <w:tmpl w:val="16760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E51129"/>
    <w:multiLevelType w:val="hybridMultilevel"/>
    <w:tmpl w:val="AA889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C40F35"/>
    <w:multiLevelType w:val="hybridMultilevel"/>
    <w:tmpl w:val="7BD8677D"/>
    <w:lvl w:ilvl="0" w:tplc="1748A424">
      <w:start w:val="1"/>
      <w:numFmt w:val="bullet"/>
      <w:lvlText w:val=""/>
      <w:lvlJc w:val="left"/>
      <w:pPr>
        <w:ind w:left="720" w:hanging="360"/>
      </w:pPr>
      <w:rPr>
        <w:rFonts w:ascii="Symbol" w:hAnsi="Symbol"/>
      </w:rPr>
    </w:lvl>
    <w:lvl w:ilvl="1" w:tplc="A7227482">
      <w:start w:val="1"/>
      <w:numFmt w:val="bullet"/>
      <w:lvlText w:val="o"/>
      <w:lvlJc w:val="left"/>
      <w:pPr>
        <w:tabs>
          <w:tab w:val="num" w:pos="1440"/>
        </w:tabs>
        <w:ind w:left="1440" w:hanging="360"/>
      </w:pPr>
      <w:rPr>
        <w:rFonts w:ascii="Courier New" w:hAnsi="Courier New"/>
      </w:rPr>
    </w:lvl>
    <w:lvl w:ilvl="2" w:tplc="24ECEE6A">
      <w:start w:val="1"/>
      <w:numFmt w:val="bullet"/>
      <w:lvlText w:val=""/>
      <w:lvlJc w:val="left"/>
      <w:pPr>
        <w:tabs>
          <w:tab w:val="num" w:pos="2160"/>
        </w:tabs>
        <w:ind w:left="2160" w:hanging="360"/>
      </w:pPr>
      <w:rPr>
        <w:rFonts w:ascii="Wingdings" w:hAnsi="Wingdings"/>
      </w:rPr>
    </w:lvl>
    <w:lvl w:ilvl="3" w:tplc="FE98B2B4">
      <w:start w:val="1"/>
      <w:numFmt w:val="bullet"/>
      <w:lvlText w:val=""/>
      <w:lvlJc w:val="left"/>
      <w:pPr>
        <w:tabs>
          <w:tab w:val="num" w:pos="2880"/>
        </w:tabs>
        <w:ind w:left="2880" w:hanging="360"/>
      </w:pPr>
      <w:rPr>
        <w:rFonts w:ascii="Symbol" w:hAnsi="Symbol"/>
      </w:rPr>
    </w:lvl>
    <w:lvl w:ilvl="4" w:tplc="3E72EA96">
      <w:start w:val="1"/>
      <w:numFmt w:val="bullet"/>
      <w:lvlText w:val="o"/>
      <w:lvlJc w:val="left"/>
      <w:pPr>
        <w:tabs>
          <w:tab w:val="num" w:pos="3600"/>
        </w:tabs>
        <w:ind w:left="3600" w:hanging="360"/>
      </w:pPr>
      <w:rPr>
        <w:rFonts w:ascii="Courier New" w:hAnsi="Courier New"/>
      </w:rPr>
    </w:lvl>
    <w:lvl w:ilvl="5" w:tplc="37E0EA6A">
      <w:start w:val="1"/>
      <w:numFmt w:val="bullet"/>
      <w:lvlText w:val=""/>
      <w:lvlJc w:val="left"/>
      <w:pPr>
        <w:tabs>
          <w:tab w:val="num" w:pos="4320"/>
        </w:tabs>
        <w:ind w:left="4320" w:hanging="360"/>
      </w:pPr>
      <w:rPr>
        <w:rFonts w:ascii="Wingdings" w:hAnsi="Wingdings"/>
      </w:rPr>
    </w:lvl>
    <w:lvl w:ilvl="6" w:tplc="6624EC5A">
      <w:start w:val="1"/>
      <w:numFmt w:val="bullet"/>
      <w:lvlText w:val=""/>
      <w:lvlJc w:val="left"/>
      <w:pPr>
        <w:tabs>
          <w:tab w:val="num" w:pos="5040"/>
        </w:tabs>
        <w:ind w:left="5040" w:hanging="360"/>
      </w:pPr>
      <w:rPr>
        <w:rFonts w:ascii="Symbol" w:hAnsi="Symbol"/>
      </w:rPr>
    </w:lvl>
    <w:lvl w:ilvl="7" w:tplc="BFA6FAC4">
      <w:start w:val="1"/>
      <w:numFmt w:val="bullet"/>
      <w:lvlText w:val="o"/>
      <w:lvlJc w:val="left"/>
      <w:pPr>
        <w:tabs>
          <w:tab w:val="num" w:pos="5760"/>
        </w:tabs>
        <w:ind w:left="5760" w:hanging="360"/>
      </w:pPr>
      <w:rPr>
        <w:rFonts w:ascii="Courier New" w:hAnsi="Courier New"/>
      </w:rPr>
    </w:lvl>
    <w:lvl w:ilvl="8" w:tplc="B43CFF98">
      <w:start w:val="1"/>
      <w:numFmt w:val="bullet"/>
      <w:lvlText w:val=""/>
      <w:lvlJc w:val="left"/>
      <w:pPr>
        <w:tabs>
          <w:tab w:val="num" w:pos="6480"/>
        </w:tabs>
        <w:ind w:left="6480" w:hanging="360"/>
      </w:pPr>
      <w:rPr>
        <w:rFonts w:ascii="Wingdings" w:hAnsi="Wingdings"/>
      </w:rPr>
    </w:lvl>
  </w:abstractNum>
  <w:abstractNum w:abstractNumId="82" w15:restartNumberingAfterBreak="0">
    <w:nsid w:val="6A3B365D"/>
    <w:multiLevelType w:val="hybridMultilevel"/>
    <w:tmpl w:val="10DE8936"/>
    <w:lvl w:ilvl="0" w:tplc="7584A81C">
      <w:start w:val="1"/>
      <w:numFmt w:val="decimal"/>
      <w:lvlText w:val="%1."/>
      <w:lvlJc w:val="left"/>
      <w:pPr>
        <w:ind w:left="720" w:hanging="360"/>
      </w:pPr>
      <w:rPr>
        <w:rFonts w:asciiTheme="minorHAnsi" w:hAnsiTheme="minorHAnsi" w:hint="default"/>
        <w:i w:val="0"/>
        <w:sz w:val="24"/>
        <w:szCs w:val="24"/>
      </w:rPr>
    </w:lvl>
    <w:lvl w:ilvl="1" w:tplc="A39E8BD6">
      <w:start w:val="1"/>
      <w:numFmt w:val="lowerLetter"/>
      <w:lvlText w:val="%2."/>
      <w:lvlJc w:val="left"/>
      <w:pPr>
        <w:ind w:left="1440" w:hanging="360"/>
      </w:pPr>
    </w:lvl>
    <w:lvl w:ilvl="2" w:tplc="5FBC3F5E">
      <w:start w:val="1"/>
      <w:numFmt w:val="decimal"/>
      <w:lvlText w:val="(%3)"/>
      <w:lvlJc w:val="left"/>
      <w:pPr>
        <w:ind w:left="2340" w:hanging="360"/>
      </w:pPr>
      <w:rPr>
        <w:rFonts w:hint="default"/>
      </w:rPr>
    </w:lvl>
    <w:lvl w:ilvl="3" w:tplc="66C4CD14" w:tentative="1">
      <w:start w:val="1"/>
      <w:numFmt w:val="decimal"/>
      <w:lvlText w:val="%4."/>
      <w:lvlJc w:val="left"/>
      <w:pPr>
        <w:ind w:left="2880" w:hanging="360"/>
      </w:pPr>
    </w:lvl>
    <w:lvl w:ilvl="4" w:tplc="27C28F34" w:tentative="1">
      <w:start w:val="1"/>
      <w:numFmt w:val="lowerLetter"/>
      <w:lvlText w:val="%5."/>
      <w:lvlJc w:val="left"/>
      <w:pPr>
        <w:ind w:left="3600" w:hanging="360"/>
      </w:pPr>
    </w:lvl>
    <w:lvl w:ilvl="5" w:tplc="3EE0951E" w:tentative="1">
      <w:start w:val="1"/>
      <w:numFmt w:val="lowerRoman"/>
      <w:lvlText w:val="%6."/>
      <w:lvlJc w:val="right"/>
      <w:pPr>
        <w:ind w:left="4320" w:hanging="180"/>
      </w:pPr>
    </w:lvl>
    <w:lvl w:ilvl="6" w:tplc="02F821CE" w:tentative="1">
      <w:start w:val="1"/>
      <w:numFmt w:val="decimal"/>
      <w:lvlText w:val="%7."/>
      <w:lvlJc w:val="left"/>
      <w:pPr>
        <w:ind w:left="5040" w:hanging="360"/>
      </w:pPr>
    </w:lvl>
    <w:lvl w:ilvl="7" w:tplc="40EE71FA" w:tentative="1">
      <w:start w:val="1"/>
      <w:numFmt w:val="lowerLetter"/>
      <w:lvlText w:val="%8."/>
      <w:lvlJc w:val="left"/>
      <w:pPr>
        <w:ind w:left="5760" w:hanging="360"/>
      </w:pPr>
    </w:lvl>
    <w:lvl w:ilvl="8" w:tplc="F0BAB676" w:tentative="1">
      <w:start w:val="1"/>
      <w:numFmt w:val="lowerRoman"/>
      <w:lvlText w:val="%9."/>
      <w:lvlJc w:val="right"/>
      <w:pPr>
        <w:ind w:left="6480" w:hanging="180"/>
      </w:pPr>
    </w:lvl>
  </w:abstractNum>
  <w:abstractNum w:abstractNumId="83" w15:restartNumberingAfterBreak="0">
    <w:nsid w:val="6B1668DF"/>
    <w:multiLevelType w:val="hybridMultilevel"/>
    <w:tmpl w:val="E198333C"/>
    <w:lvl w:ilvl="0" w:tplc="2CFADF36">
      <w:start w:val="1"/>
      <w:numFmt w:val="bullet"/>
      <w:lvlText w:val=""/>
      <w:lvlJc w:val="left"/>
      <w:pPr>
        <w:ind w:left="360" w:hanging="360"/>
      </w:pPr>
      <w:rPr>
        <w:rFonts w:ascii="Symbol" w:hAnsi="Symbol"/>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C925A84"/>
    <w:multiLevelType w:val="hybridMultilevel"/>
    <w:tmpl w:val="805E03C4"/>
    <w:lvl w:ilvl="0" w:tplc="AA30A292">
      <w:start w:val="1"/>
      <w:numFmt w:val="decimal"/>
      <w:lvlText w:val="%1."/>
      <w:lvlJc w:val="left"/>
      <w:pPr>
        <w:ind w:left="5400" w:hanging="360"/>
      </w:pPr>
    </w:lvl>
    <w:lvl w:ilvl="1" w:tplc="36D289D4" w:tentative="1">
      <w:start w:val="1"/>
      <w:numFmt w:val="lowerLetter"/>
      <w:lvlText w:val="%2."/>
      <w:lvlJc w:val="left"/>
      <w:pPr>
        <w:ind w:left="6120" w:hanging="360"/>
      </w:pPr>
    </w:lvl>
    <w:lvl w:ilvl="2" w:tplc="12DCC37A" w:tentative="1">
      <w:start w:val="1"/>
      <w:numFmt w:val="lowerRoman"/>
      <w:lvlText w:val="%3."/>
      <w:lvlJc w:val="right"/>
      <w:pPr>
        <w:ind w:left="6840" w:hanging="180"/>
      </w:pPr>
    </w:lvl>
    <w:lvl w:ilvl="3" w:tplc="A8F2BF5E" w:tentative="1">
      <w:start w:val="1"/>
      <w:numFmt w:val="decimal"/>
      <w:lvlText w:val="%4."/>
      <w:lvlJc w:val="left"/>
      <w:pPr>
        <w:ind w:left="7560" w:hanging="360"/>
      </w:pPr>
    </w:lvl>
    <w:lvl w:ilvl="4" w:tplc="04EC3384" w:tentative="1">
      <w:start w:val="1"/>
      <w:numFmt w:val="lowerLetter"/>
      <w:lvlText w:val="%5."/>
      <w:lvlJc w:val="left"/>
      <w:pPr>
        <w:ind w:left="8280" w:hanging="360"/>
      </w:pPr>
    </w:lvl>
    <w:lvl w:ilvl="5" w:tplc="B44681D6" w:tentative="1">
      <w:start w:val="1"/>
      <w:numFmt w:val="lowerRoman"/>
      <w:lvlText w:val="%6."/>
      <w:lvlJc w:val="right"/>
      <w:pPr>
        <w:ind w:left="9000" w:hanging="180"/>
      </w:pPr>
    </w:lvl>
    <w:lvl w:ilvl="6" w:tplc="8FE82D86" w:tentative="1">
      <w:start w:val="1"/>
      <w:numFmt w:val="decimal"/>
      <w:lvlText w:val="%7."/>
      <w:lvlJc w:val="left"/>
      <w:pPr>
        <w:ind w:left="9720" w:hanging="360"/>
      </w:pPr>
    </w:lvl>
    <w:lvl w:ilvl="7" w:tplc="F0E2B3F6" w:tentative="1">
      <w:start w:val="1"/>
      <w:numFmt w:val="lowerLetter"/>
      <w:lvlText w:val="%8."/>
      <w:lvlJc w:val="left"/>
      <w:pPr>
        <w:ind w:left="10440" w:hanging="360"/>
      </w:pPr>
    </w:lvl>
    <w:lvl w:ilvl="8" w:tplc="5DACEB0C" w:tentative="1">
      <w:start w:val="1"/>
      <w:numFmt w:val="lowerRoman"/>
      <w:lvlText w:val="%9."/>
      <w:lvlJc w:val="right"/>
      <w:pPr>
        <w:ind w:left="11160" w:hanging="180"/>
      </w:pPr>
    </w:lvl>
  </w:abstractNum>
  <w:abstractNum w:abstractNumId="85" w15:restartNumberingAfterBreak="0">
    <w:nsid w:val="6CD27156"/>
    <w:multiLevelType w:val="hybridMultilevel"/>
    <w:tmpl w:val="3970F410"/>
    <w:lvl w:ilvl="0" w:tplc="2A901CFE">
      <w:start w:val="1"/>
      <w:numFmt w:val="bullet"/>
      <w:lvlText w:val=""/>
      <w:lvlJc w:val="left"/>
      <w:pPr>
        <w:ind w:left="720" w:hanging="360"/>
      </w:pPr>
      <w:rPr>
        <w:rFonts w:ascii="Symbol" w:hAnsi="Symbol" w:hint="default"/>
      </w:rPr>
    </w:lvl>
    <w:lvl w:ilvl="1" w:tplc="9FF88502" w:tentative="1">
      <w:start w:val="1"/>
      <w:numFmt w:val="bullet"/>
      <w:lvlText w:val="o"/>
      <w:lvlJc w:val="left"/>
      <w:pPr>
        <w:ind w:left="1440" w:hanging="360"/>
      </w:pPr>
      <w:rPr>
        <w:rFonts w:ascii="Courier New" w:hAnsi="Courier New" w:cs="Courier New" w:hint="default"/>
      </w:rPr>
    </w:lvl>
    <w:lvl w:ilvl="2" w:tplc="3D9AAE44" w:tentative="1">
      <w:start w:val="1"/>
      <w:numFmt w:val="bullet"/>
      <w:lvlText w:val=""/>
      <w:lvlJc w:val="left"/>
      <w:pPr>
        <w:ind w:left="2160" w:hanging="360"/>
      </w:pPr>
      <w:rPr>
        <w:rFonts w:ascii="Wingdings" w:hAnsi="Wingdings" w:hint="default"/>
      </w:rPr>
    </w:lvl>
    <w:lvl w:ilvl="3" w:tplc="1BC6D47A" w:tentative="1">
      <w:start w:val="1"/>
      <w:numFmt w:val="bullet"/>
      <w:lvlText w:val=""/>
      <w:lvlJc w:val="left"/>
      <w:pPr>
        <w:ind w:left="2880" w:hanging="360"/>
      </w:pPr>
      <w:rPr>
        <w:rFonts w:ascii="Symbol" w:hAnsi="Symbol" w:hint="default"/>
      </w:rPr>
    </w:lvl>
    <w:lvl w:ilvl="4" w:tplc="E7449ECA" w:tentative="1">
      <w:start w:val="1"/>
      <w:numFmt w:val="bullet"/>
      <w:lvlText w:val="o"/>
      <w:lvlJc w:val="left"/>
      <w:pPr>
        <w:ind w:left="3600" w:hanging="360"/>
      </w:pPr>
      <w:rPr>
        <w:rFonts w:ascii="Courier New" w:hAnsi="Courier New" w:cs="Courier New" w:hint="default"/>
      </w:rPr>
    </w:lvl>
    <w:lvl w:ilvl="5" w:tplc="23583D94" w:tentative="1">
      <w:start w:val="1"/>
      <w:numFmt w:val="bullet"/>
      <w:lvlText w:val=""/>
      <w:lvlJc w:val="left"/>
      <w:pPr>
        <w:ind w:left="4320" w:hanging="360"/>
      </w:pPr>
      <w:rPr>
        <w:rFonts w:ascii="Wingdings" w:hAnsi="Wingdings" w:hint="default"/>
      </w:rPr>
    </w:lvl>
    <w:lvl w:ilvl="6" w:tplc="B288A33E" w:tentative="1">
      <w:start w:val="1"/>
      <w:numFmt w:val="bullet"/>
      <w:lvlText w:val=""/>
      <w:lvlJc w:val="left"/>
      <w:pPr>
        <w:ind w:left="5040" w:hanging="360"/>
      </w:pPr>
      <w:rPr>
        <w:rFonts w:ascii="Symbol" w:hAnsi="Symbol" w:hint="default"/>
      </w:rPr>
    </w:lvl>
    <w:lvl w:ilvl="7" w:tplc="FBF68F1E" w:tentative="1">
      <w:start w:val="1"/>
      <w:numFmt w:val="bullet"/>
      <w:lvlText w:val="o"/>
      <w:lvlJc w:val="left"/>
      <w:pPr>
        <w:ind w:left="5760" w:hanging="360"/>
      </w:pPr>
      <w:rPr>
        <w:rFonts w:ascii="Courier New" w:hAnsi="Courier New" w:cs="Courier New" w:hint="default"/>
      </w:rPr>
    </w:lvl>
    <w:lvl w:ilvl="8" w:tplc="E9C83508" w:tentative="1">
      <w:start w:val="1"/>
      <w:numFmt w:val="bullet"/>
      <w:lvlText w:val=""/>
      <w:lvlJc w:val="left"/>
      <w:pPr>
        <w:ind w:left="6480" w:hanging="360"/>
      </w:pPr>
      <w:rPr>
        <w:rFonts w:ascii="Wingdings" w:hAnsi="Wingdings" w:hint="default"/>
      </w:rPr>
    </w:lvl>
  </w:abstractNum>
  <w:abstractNum w:abstractNumId="86" w15:restartNumberingAfterBreak="0">
    <w:nsid w:val="6E4E6F76"/>
    <w:multiLevelType w:val="hybridMultilevel"/>
    <w:tmpl w:val="889EB320"/>
    <w:lvl w:ilvl="0" w:tplc="FEB894CC">
      <w:start w:val="1"/>
      <w:numFmt w:val="bullet"/>
      <w:lvlText w:val=""/>
      <w:lvlJc w:val="left"/>
      <w:pPr>
        <w:ind w:left="2160" w:hanging="360"/>
      </w:pPr>
      <w:rPr>
        <w:rFonts w:ascii="Symbol" w:hAnsi="Symbol" w:hint="default"/>
      </w:rPr>
    </w:lvl>
    <w:lvl w:ilvl="1" w:tplc="CBEE1884" w:tentative="1">
      <w:start w:val="1"/>
      <w:numFmt w:val="bullet"/>
      <w:lvlText w:val="o"/>
      <w:lvlJc w:val="left"/>
      <w:pPr>
        <w:ind w:left="2880" w:hanging="360"/>
      </w:pPr>
      <w:rPr>
        <w:rFonts w:ascii="Courier New" w:hAnsi="Courier New" w:cs="Courier New" w:hint="default"/>
      </w:rPr>
    </w:lvl>
    <w:lvl w:ilvl="2" w:tplc="E9C49784" w:tentative="1">
      <w:start w:val="1"/>
      <w:numFmt w:val="bullet"/>
      <w:lvlText w:val=""/>
      <w:lvlJc w:val="left"/>
      <w:pPr>
        <w:ind w:left="3600" w:hanging="360"/>
      </w:pPr>
      <w:rPr>
        <w:rFonts w:ascii="Wingdings" w:hAnsi="Wingdings" w:hint="default"/>
      </w:rPr>
    </w:lvl>
    <w:lvl w:ilvl="3" w:tplc="1E54DF0E" w:tentative="1">
      <w:start w:val="1"/>
      <w:numFmt w:val="bullet"/>
      <w:lvlText w:val=""/>
      <w:lvlJc w:val="left"/>
      <w:pPr>
        <w:ind w:left="4320" w:hanging="360"/>
      </w:pPr>
      <w:rPr>
        <w:rFonts w:ascii="Symbol" w:hAnsi="Symbol" w:hint="default"/>
      </w:rPr>
    </w:lvl>
    <w:lvl w:ilvl="4" w:tplc="D592DD78" w:tentative="1">
      <w:start w:val="1"/>
      <w:numFmt w:val="bullet"/>
      <w:lvlText w:val="o"/>
      <w:lvlJc w:val="left"/>
      <w:pPr>
        <w:ind w:left="5040" w:hanging="360"/>
      </w:pPr>
      <w:rPr>
        <w:rFonts w:ascii="Courier New" w:hAnsi="Courier New" w:cs="Courier New" w:hint="default"/>
      </w:rPr>
    </w:lvl>
    <w:lvl w:ilvl="5" w:tplc="EF5418D6" w:tentative="1">
      <w:start w:val="1"/>
      <w:numFmt w:val="bullet"/>
      <w:lvlText w:val=""/>
      <w:lvlJc w:val="left"/>
      <w:pPr>
        <w:ind w:left="5760" w:hanging="360"/>
      </w:pPr>
      <w:rPr>
        <w:rFonts w:ascii="Wingdings" w:hAnsi="Wingdings" w:hint="default"/>
      </w:rPr>
    </w:lvl>
    <w:lvl w:ilvl="6" w:tplc="398C0DFC" w:tentative="1">
      <w:start w:val="1"/>
      <w:numFmt w:val="bullet"/>
      <w:lvlText w:val=""/>
      <w:lvlJc w:val="left"/>
      <w:pPr>
        <w:ind w:left="6480" w:hanging="360"/>
      </w:pPr>
      <w:rPr>
        <w:rFonts w:ascii="Symbol" w:hAnsi="Symbol" w:hint="default"/>
      </w:rPr>
    </w:lvl>
    <w:lvl w:ilvl="7" w:tplc="ED06C714" w:tentative="1">
      <w:start w:val="1"/>
      <w:numFmt w:val="bullet"/>
      <w:lvlText w:val="o"/>
      <w:lvlJc w:val="left"/>
      <w:pPr>
        <w:ind w:left="7200" w:hanging="360"/>
      </w:pPr>
      <w:rPr>
        <w:rFonts w:ascii="Courier New" w:hAnsi="Courier New" w:cs="Courier New" w:hint="default"/>
      </w:rPr>
    </w:lvl>
    <w:lvl w:ilvl="8" w:tplc="027A74CA" w:tentative="1">
      <w:start w:val="1"/>
      <w:numFmt w:val="bullet"/>
      <w:lvlText w:val=""/>
      <w:lvlJc w:val="left"/>
      <w:pPr>
        <w:ind w:left="7920" w:hanging="360"/>
      </w:pPr>
      <w:rPr>
        <w:rFonts w:ascii="Wingdings" w:hAnsi="Wingdings" w:hint="default"/>
      </w:rPr>
    </w:lvl>
  </w:abstractNum>
  <w:abstractNum w:abstractNumId="87" w15:restartNumberingAfterBreak="0">
    <w:nsid w:val="6E964488"/>
    <w:multiLevelType w:val="hybridMultilevel"/>
    <w:tmpl w:val="B4A01570"/>
    <w:lvl w:ilvl="0" w:tplc="92962B8A">
      <w:start w:val="1"/>
      <w:numFmt w:val="bullet"/>
      <w:lvlText w:val=""/>
      <w:lvlJc w:val="left"/>
      <w:pPr>
        <w:ind w:left="2160" w:hanging="360"/>
      </w:pPr>
      <w:rPr>
        <w:rFonts w:ascii="Symbol" w:hAnsi="Symbol" w:hint="default"/>
      </w:rPr>
    </w:lvl>
    <w:lvl w:ilvl="1" w:tplc="AE16F632" w:tentative="1">
      <w:start w:val="1"/>
      <w:numFmt w:val="bullet"/>
      <w:lvlText w:val="o"/>
      <w:lvlJc w:val="left"/>
      <w:pPr>
        <w:ind w:left="2880" w:hanging="360"/>
      </w:pPr>
      <w:rPr>
        <w:rFonts w:ascii="Courier New" w:hAnsi="Courier New" w:cs="Courier New" w:hint="default"/>
      </w:rPr>
    </w:lvl>
    <w:lvl w:ilvl="2" w:tplc="6910285E" w:tentative="1">
      <w:start w:val="1"/>
      <w:numFmt w:val="bullet"/>
      <w:lvlText w:val=""/>
      <w:lvlJc w:val="left"/>
      <w:pPr>
        <w:ind w:left="3600" w:hanging="360"/>
      </w:pPr>
      <w:rPr>
        <w:rFonts w:ascii="Wingdings" w:hAnsi="Wingdings" w:hint="default"/>
      </w:rPr>
    </w:lvl>
    <w:lvl w:ilvl="3" w:tplc="E5BAD3CC" w:tentative="1">
      <w:start w:val="1"/>
      <w:numFmt w:val="bullet"/>
      <w:lvlText w:val=""/>
      <w:lvlJc w:val="left"/>
      <w:pPr>
        <w:ind w:left="4320" w:hanging="360"/>
      </w:pPr>
      <w:rPr>
        <w:rFonts w:ascii="Symbol" w:hAnsi="Symbol" w:hint="default"/>
      </w:rPr>
    </w:lvl>
    <w:lvl w:ilvl="4" w:tplc="CFFECA6C" w:tentative="1">
      <w:start w:val="1"/>
      <w:numFmt w:val="bullet"/>
      <w:lvlText w:val="o"/>
      <w:lvlJc w:val="left"/>
      <w:pPr>
        <w:ind w:left="5040" w:hanging="360"/>
      </w:pPr>
      <w:rPr>
        <w:rFonts w:ascii="Courier New" w:hAnsi="Courier New" w:cs="Courier New" w:hint="default"/>
      </w:rPr>
    </w:lvl>
    <w:lvl w:ilvl="5" w:tplc="46A8EFAE" w:tentative="1">
      <w:start w:val="1"/>
      <w:numFmt w:val="bullet"/>
      <w:lvlText w:val=""/>
      <w:lvlJc w:val="left"/>
      <w:pPr>
        <w:ind w:left="5760" w:hanging="360"/>
      </w:pPr>
      <w:rPr>
        <w:rFonts w:ascii="Wingdings" w:hAnsi="Wingdings" w:hint="default"/>
      </w:rPr>
    </w:lvl>
    <w:lvl w:ilvl="6" w:tplc="995A9710" w:tentative="1">
      <w:start w:val="1"/>
      <w:numFmt w:val="bullet"/>
      <w:lvlText w:val=""/>
      <w:lvlJc w:val="left"/>
      <w:pPr>
        <w:ind w:left="6480" w:hanging="360"/>
      </w:pPr>
      <w:rPr>
        <w:rFonts w:ascii="Symbol" w:hAnsi="Symbol" w:hint="default"/>
      </w:rPr>
    </w:lvl>
    <w:lvl w:ilvl="7" w:tplc="D8B88AE8" w:tentative="1">
      <w:start w:val="1"/>
      <w:numFmt w:val="bullet"/>
      <w:lvlText w:val="o"/>
      <w:lvlJc w:val="left"/>
      <w:pPr>
        <w:ind w:left="7200" w:hanging="360"/>
      </w:pPr>
      <w:rPr>
        <w:rFonts w:ascii="Courier New" w:hAnsi="Courier New" w:cs="Courier New" w:hint="default"/>
      </w:rPr>
    </w:lvl>
    <w:lvl w:ilvl="8" w:tplc="8314F6F6" w:tentative="1">
      <w:start w:val="1"/>
      <w:numFmt w:val="bullet"/>
      <w:lvlText w:val=""/>
      <w:lvlJc w:val="left"/>
      <w:pPr>
        <w:ind w:left="7920" w:hanging="360"/>
      </w:pPr>
      <w:rPr>
        <w:rFonts w:ascii="Wingdings" w:hAnsi="Wingdings" w:hint="default"/>
      </w:rPr>
    </w:lvl>
  </w:abstractNum>
  <w:abstractNum w:abstractNumId="88" w15:restartNumberingAfterBreak="0">
    <w:nsid w:val="70FE146A"/>
    <w:multiLevelType w:val="hybridMultilevel"/>
    <w:tmpl w:val="DA28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23D6683"/>
    <w:multiLevelType w:val="hybridMultilevel"/>
    <w:tmpl w:val="1BBEB44E"/>
    <w:lvl w:ilvl="0" w:tplc="138A10EA">
      <w:start w:val="1"/>
      <w:numFmt w:val="lowerRoman"/>
      <w:pStyle w:val="FOATemplateStyle3"/>
      <w:lvlText w:val="%1."/>
      <w:lvlJc w:val="right"/>
      <w:pPr>
        <w:ind w:left="2160" w:hanging="360"/>
      </w:pPr>
      <w:rPr>
        <w:rFonts w:hint="default"/>
      </w:rPr>
    </w:lvl>
    <w:lvl w:ilvl="1" w:tplc="3D766230" w:tentative="1">
      <w:start w:val="1"/>
      <w:numFmt w:val="lowerLetter"/>
      <w:lvlText w:val="%2."/>
      <w:lvlJc w:val="left"/>
      <w:pPr>
        <w:ind w:left="2880" w:hanging="360"/>
      </w:pPr>
    </w:lvl>
    <w:lvl w:ilvl="2" w:tplc="490E22C8" w:tentative="1">
      <w:start w:val="1"/>
      <w:numFmt w:val="lowerRoman"/>
      <w:lvlText w:val="%3."/>
      <w:lvlJc w:val="right"/>
      <w:pPr>
        <w:ind w:left="3600" w:hanging="180"/>
      </w:pPr>
    </w:lvl>
    <w:lvl w:ilvl="3" w:tplc="D24C529C" w:tentative="1">
      <w:start w:val="1"/>
      <w:numFmt w:val="decimal"/>
      <w:lvlText w:val="%4."/>
      <w:lvlJc w:val="left"/>
      <w:pPr>
        <w:ind w:left="4320" w:hanging="360"/>
      </w:pPr>
    </w:lvl>
    <w:lvl w:ilvl="4" w:tplc="A996734A" w:tentative="1">
      <w:start w:val="1"/>
      <w:numFmt w:val="lowerLetter"/>
      <w:lvlText w:val="%5."/>
      <w:lvlJc w:val="left"/>
      <w:pPr>
        <w:ind w:left="5040" w:hanging="360"/>
      </w:pPr>
    </w:lvl>
    <w:lvl w:ilvl="5" w:tplc="424CF078" w:tentative="1">
      <w:start w:val="1"/>
      <w:numFmt w:val="lowerRoman"/>
      <w:lvlText w:val="%6."/>
      <w:lvlJc w:val="right"/>
      <w:pPr>
        <w:ind w:left="5760" w:hanging="180"/>
      </w:pPr>
    </w:lvl>
    <w:lvl w:ilvl="6" w:tplc="AAA4FD2C" w:tentative="1">
      <w:start w:val="1"/>
      <w:numFmt w:val="decimal"/>
      <w:lvlText w:val="%7."/>
      <w:lvlJc w:val="left"/>
      <w:pPr>
        <w:ind w:left="6480" w:hanging="360"/>
      </w:pPr>
    </w:lvl>
    <w:lvl w:ilvl="7" w:tplc="1C149F46" w:tentative="1">
      <w:start w:val="1"/>
      <w:numFmt w:val="lowerLetter"/>
      <w:lvlText w:val="%8."/>
      <w:lvlJc w:val="left"/>
      <w:pPr>
        <w:ind w:left="7200" w:hanging="360"/>
      </w:pPr>
    </w:lvl>
    <w:lvl w:ilvl="8" w:tplc="BBE82418" w:tentative="1">
      <w:start w:val="1"/>
      <w:numFmt w:val="lowerRoman"/>
      <w:lvlText w:val="%9."/>
      <w:lvlJc w:val="right"/>
      <w:pPr>
        <w:ind w:left="7920" w:hanging="180"/>
      </w:pPr>
    </w:lvl>
  </w:abstractNum>
  <w:abstractNum w:abstractNumId="90" w15:restartNumberingAfterBreak="0">
    <w:nsid w:val="738F7EEF"/>
    <w:multiLevelType w:val="multilevel"/>
    <w:tmpl w:val="A1EC4692"/>
    <w:styleLink w:val="FOATemplateListStyle1"/>
    <w:lvl w:ilvl="0">
      <w:start w:val="1"/>
      <w:numFmt w:val="upperRoman"/>
      <w:pStyle w:val="FOAHeading1"/>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pStyle w:val="FOAHeading2"/>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pStyle w:val="FOAHeading4"/>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75406CA9"/>
    <w:multiLevelType w:val="hybridMultilevel"/>
    <w:tmpl w:val="CACEE5D0"/>
    <w:lvl w:ilvl="0" w:tplc="90B04DBA">
      <w:start w:val="1"/>
      <w:numFmt w:val="bullet"/>
      <w:lvlText w:val=""/>
      <w:lvlJc w:val="left"/>
      <w:pPr>
        <w:ind w:left="2160" w:hanging="360"/>
      </w:pPr>
      <w:rPr>
        <w:rFonts w:ascii="Symbol" w:hAnsi="Symbol" w:hint="default"/>
      </w:rPr>
    </w:lvl>
    <w:lvl w:ilvl="1" w:tplc="2DE65368" w:tentative="1">
      <w:start w:val="1"/>
      <w:numFmt w:val="bullet"/>
      <w:lvlText w:val="o"/>
      <w:lvlJc w:val="left"/>
      <w:pPr>
        <w:ind w:left="2880" w:hanging="360"/>
      </w:pPr>
      <w:rPr>
        <w:rFonts w:ascii="Courier New" w:hAnsi="Courier New" w:cs="Courier New" w:hint="default"/>
      </w:rPr>
    </w:lvl>
    <w:lvl w:ilvl="2" w:tplc="4F8E5EBA" w:tentative="1">
      <w:start w:val="1"/>
      <w:numFmt w:val="bullet"/>
      <w:lvlText w:val=""/>
      <w:lvlJc w:val="left"/>
      <w:pPr>
        <w:ind w:left="3600" w:hanging="360"/>
      </w:pPr>
      <w:rPr>
        <w:rFonts w:ascii="Wingdings" w:hAnsi="Wingdings" w:hint="default"/>
      </w:rPr>
    </w:lvl>
    <w:lvl w:ilvl="3" w:tplc="710A18CC" w:tentative="1">
      <w:start w:val="1"/>
      <w:numFmt w:val="bullet"/>
      <w:lvlText w:val=""/>
      <w:lvlJc w:val="left"/>
      <w:pPr>
        <w:ind w:left="4320" w:hanging="360"/>
      </w:pPr>
      <w:rPr>
        <w:rFonts w:ascii="Symbol" w:hAnsi="Symbol" w:hint="default"/>
      </w:rPr>
    </w:lvl>
    <w:lvl w:ilvl="4" w:tplc="CF0ED0CC" w:tentative="1">
      <w:start w:val="1"/>
      <w:numFmt w:val="bullet"/>
      <w:lvlText w:val="o"/>
      <w:lvlJc w:val="left"/>
      <w:pPr>
        <w:ind w:left="5040" w:hanging="360"/>
      </w:pPr>
      <w:rPr>
        <w:rFonts w:ascii="Courier New" w:hAnsi="Courier New" w:cs="Courier New" w:hint="default"/>
      </w:rPr>
    </w:lvl>
    <w:lvl w:ilvl="5" w:tplc="C9569952" w:tentative="1">
      <w:start w:val="1"/>
      <w:numFmt w:val="bullet"/>
      <w:lvlText w:val=""/>
      <w:lvlJc w:val="left"/>
      <w:pPr>
        <w:ind w:left="5760" w:hanging="360"/>
      </w:pPr>
      <w:rPr>
        <w:rFonts w:ascii="Wingdings" w:hAnsi="Wingdings" w:hint="default"/>
      </w:rPr>
    </w:lvl>
    <w:lvl w:ilvl="6" w:tplc="8C80A2C8" w:tentative="1">
      <w:start w:val="1"/>
      <w:numFmt w:val="bullet"/>
      <w:lvlText w:val=""/>
      <w:lvlJc w:val="left"/>
      <w:pPr>
        <w:ind w:left="6480" w:hanging="360"/>
      </w:pPr>
      <w:rPr>
        <w:rFonts w:ascii="Symbol" w:hAnsi="Symbol" w:hint="default"/>
      </w:rPr>
    </w:lvl>
    <w:lvl w:ilvl="7" w:tplc="6BCA9800" w:tentative="1">
      <w:start w:val="1"/>
      <w:numFmt w:val="bullet"/>
      <w:lvlText w:val="o"/>
      <w:lvlJc w:val="left"/>
      <w:pPr>
        <w:ind w:left="7200" w:hanging="360"/>
      </w:pPr>
      <w:rPr>
        <w:rFonts w:ascii="Courier New" w:hAnsi="Courier New" w:cs="Courier New" w:hint="default"/>
      </w:rPr>
    </w:lvl>
    <w:lvl w:ilvl="8" w:tplc="C55A89D4" w:tentative="1">
      <w:start w:val="1"/>
      <w:numFmt w:val="bullet"/>
      <w:lvlText w:val=""/>
      <w:lvlJc w:val="left"/>
      <w:pPr>
        <w:ind w:left="7920" w:hanging="360"/>
      </w:pPr>
      <w:rPr>
        <w:rFonts w:ascii="Wingdings" w:hAnsi="Wingdings" w:hint="default"/>
      </w:rPr>
    </w:lvl>
  </w:abstractNum>
  <w:abstractNum w:abstractNumId="92" w15:restartNumberingAfterBreak="0">
    <w:nsid w:val="75727256"/>
    <w:multiLevelType w:val="hybridMultilevel"/>
    <w:tmpl w:val="57EC7C06"/>
    <w:lvl w:ilvl="0" w:tplc="6184613C">
      <w:start w:val="1"/>
      <w:numFmt w:val="lowerRoman"/>
      <w:lvlText w:val="%1."/>
      <w:lvlJc w:val="right"/>
      <w:pPr>
        <w:ind w:left="1080" w:hanging="360"/>
      </w:pPr>
    </w:lvl>
    <w:lvl w:ilvl="1" w:tplc="9EFEDD38">
      <w:start w:val="1"/>
      <w:numFmt w:val="lowerLetter"/>
      <w:lvlText w:val="%2."/>
      <w:lvlJc w:val="left"/>
      <w:pPr>
        <w:ind w:left="1800" w:hanging="360"/>
      </w:pPr>
    </w:lvl>
    <w:lvl w:ilvl="2" w:tplc="6AF84CF0">
      <w:start w:val="1"/>
      <w:numFmt w:val="lowerRoman"/>
      <w:lvlText w:val="%3."/>
      <w:lvlJc w:val="right"/>
      <w:pPr>
        <w:ind w:left="2520" w:hanging="180"/>
      </w:pPr>
    </w:lvl>
    <w:lvl w:ilvl="3" w:tplc="10FA9A4C">
      <w:start w:val="1"/>
      <w:numFmt w:val="lowerLetter"/>
      <w:lvlText w:val="%4)"/>
      <w:lvlJc w:val="left"/>
      <w:pPr>
        <w:ind w:left="3240" w:hanging="360"/>
      </w:pPr>
      <w:rPr>
        <w:rFonts w:hint="default"/>
      </w:rPr>
    </w:lvl>
    <w:lvl w:ilvl="4" w:tplc="65225530" w:tentative="1">
      <w:start w:val="1"/>
      <w:numFmt w:val="lowerLetter"/>
      <w:lvlText w:val="%5."/>
      <w:lvlJc w:val="left"/>
      <w:pPr>
        <w:ind w:left="3960" w:hanging="360"/>
      </w:pPr>
    </w:lvl>
    <w:lvl w:ilvl="5" w:tplc="63A64B30" w:tentative="1">
      <w:start w:val="1"/>
      <w:numFmt w:val="lowerRoman"/>
      <w:lvlText w:val="%6."/>
      <w:lvlJc w:val="right"/>
      <w:pPr>
        <w:ind w:left="4680" w:hanging="180"/>
      </w:pPr>
    </w:lvl>
    <w:lvl w:ilvl="6" w:tplc="F4BA1E04" w:tentative="1">
      <w:start w:val="1"/>
      <w:numFmt w:val="decimal"/>
      <w:lvlText w:val="%7."/>
      <w:lvlJc w:val="left"/>
      <w:pPr>
        <w:ind w:left="5400" w:hanging="360"/>
      </w:pPr>
    </w:lvl>
    <w:lvl w:ilvl="7" w:tplc="CFF8165C" w:tentative="1">
      <w:start w:val="1"/>
      <w:numFmt w:val="lowerLetter"/>
      <w:lvlText w:val="%8."/>
      <w:lvlJc w:val="left"/>
      <w:pPr>
        <w:ind w:left="6120" w:hanging="360"/>
      </w:pPr>
    </w:lvl>
    <w:lvl w:ilvl="8" w:tplc="2968FEC4" w:tentative="1">
      <w:start w:val="1"/>
      <w:numFmt w:val="lowerRoman"/>
      <w:lvlText w:val="%9."/>
      <w:lvlJc w:val="right"/>
      <w:pPr>
        <w:ind w:left="6840" w:hanging="180"/>
      </w:pPr>
    </w:lvl>
  </w:abstractNum>
  <w:abstractNum w:abstractNumId="93" w15:restartNumberingAfterBreak="0">
    <w:nsid w:val="762D74CF"/>
    <w:multiLevelType w:val="hybridMultilevel"/>
    <w:tmpl w:val="04A6D320"/>
    <w:lvl w:ilvl="0" w:tplc="CC6CE43E">
      <w:start w:val="1"/>
      <w:numFmt w:val="bullet"/>
      <w:lvlText w:val=""/>
      <w:lvlJc w:val="left"/>
      <w:pPr>
        <w:ind w:left="1800" w:hanging="360"/>
      </w:pPr>
      <w:rPr>
        <w:rFonts w:ascii="Symbol" w:hAnsi="Symbol" w:hint="default"/>
      </w:rPr>
    </w:lvl>
    <w:lvl w:ilvl="1" w:tplc="9F3AEA24" w:tentative="1">
      <w:start w:val="1"/>
      <w:numFmt w:val="bullet"/>
      <w:lvlText w:val="o"/>
      <w:lvlJc w:val="left"/>
      <w:pPr>
        <w:ind w:left="2520" w:hanging="360"/>
      </w:pPr>
      <w:rPr>
        <w:rFonts w:ascii="Courier New" w:hAnsi="Courier New" w:cs="Courier New" w:hint="default"/>
      </w:rPr>
    </w:lvl>
    <w:lvl w:ilvl="2" w:tplc="FE9C4DA8" w:tentative="1">
      <w:start w:val="1"/>
      <w:numFmt w:val="bullet"/>
      <w:lvlText w:val=""/>
      <w:lvlJc w:val="left"/>
      <w:pPr>
        <w:ind w:left="3240" w:hanging="360"/>
      </w:pPr>
      <w:rPr>
        <w:rFonts w:ascii="Wingdings" w:hAnsi="Wingdings" w:hint="default"/>
      </w:rPr>
    </w:lvl>
    <w:lvl w:ilvl="3" w:tplc="740699FC" w:tentative="1">
      <w:start w:val="1"/>
      <w:numFmt w:val="bullet"/>
      <w:lvlText w:val=""/>
      <w:lvlJc w:val="left"/>
      <w:pPr>
        <w:ind w:left="3960" w:hanging="360"/>
      </w:pPr>
      <w:rPr>
        <w:rFonts w:ascii="Symbol" w:hAnsi="Symbol" w:hint="default"/>
      </w:rPr>
    </w:lvl>
    <w:lvl w:ilvl="4" w:tplc="DB747E12" w:tentative="1">
      <w:start w:val="1"/>
      <w:numFmt w:val="bullet"/>
      <w:lvlText w:val="o"/>
      <w:lvlJc w:val="left"/>
      <w:pPr>
        <w:ind w:left="4680" w:hanging="360"/>
      </w:pPr>
      <w:rPr>
        <w:rFonts w:ascii="Courier New" w:hAnsi="Courier New" w:cs="Courier New" w:hint="default"/>
      </w:rPr>
    </w:lvl>
    <w:lvl w:ilvl="5" w:tplc="E07810A8" w:tentative="1">
      <w:start w:val="1"/>
      <w:numFmt w:val="bullet"/>
      <w:lvlText w:val=""/>
      <w:lvlJc w:val="left"/>
      <w:pPr>
        <w:ind w:left="5400" w:hanging="360"/>
      </w:pPr>
      <w:rPr>
        <w:rFonts w:ascii="Wingdings" w:hAnsi="Wingdings" w:hint="default"/>
      </w:rPr>
    </w:lvl>
    <w:lvl w:ilvl="6" w:tplc="4EA6906C" w:tentative="1">
      <w:start w:val="1"/>
      <w:numFmt w:val="bullet"/>
      <w:lvlText w:val=""/>
      <w:lvlJc w:val="left"/>
      <w:pPr>
        <w:ind w:left="6120" w:hanging="360"/>
      </w:pPr>
      <w:rPr>
        <w:rFonts w:ascii="Symbol" w:hAnsi="Symbol" w:hint="default"/>
      </w:rPr>
    </w:lvl>
    <w:lvl w:ilvl="7" w:tplc="1CAEA164" w:tentative="1">
      <w:start w:val="1"/>
      <w:numFmt w:val="bullet"/>
      <w:lvlText w:val="o"/>
      <w:lvlJc w:val="left"/>
      <w:pPr>
        <w:ind w:left="6840" w:hanging="360"/>
      </w:pPr>
      <w:rPr>
        <w:rFonts w:ascii="Courier New" w:hAnsi="Courier New" w:cs="Courier New" w:hint="default"/>
      </w:rPr>
    </w:lvl>
    <w:lvl w:ilvl="8" w:tplc="1B3A02AE" w:tentative="1">
      <w:start w:val="1"/>
      <w:numFmt w:val="bullet"/>
      <w:lvlText w:val=""/>
      <w:lvlJc w:val="left"/>
      <w:pPr>
        <w:ind w:left="7560" w:hanging="360"/>
      </w:pPr>
      <w:rPr>
        <w:rFonts w:ascii="Wingdings" w:hAnsi="Wingdings" w:hint="default"/>
      </w:rPr>
    </w:lvl>
  </w:abstractNum>
  <w:abstractNum w:abstractNumId="94" w15:restartNumberingAfterBreak="0">
    <w:nsid w:val="76CD78EE"/>
    <w:multiLevelType w:val="hybridMultilevel"/>
    <w:tmpl w:val="11E4B192"/>
    <w:lvl w:ilvl="0" w:tplc="AE823026">
      <w:start w:val="1"/>
      <w:numFmt w:val="upperLetter"/>
      <w:lvlText w:val="%1."/>
      <w:lvlJc w:val="left"/>
      <w:pPr>
        <w:ind w:left="1200" w:hanging="361"/>
      </w:pPr>
      <w:rPr>
        <w:rFonts w:ascii="Calibri" w:eastAsia="Calibri" w:hAnsi="Calibri" w:cs="Calibri" w:hint="default"/>
        <w:b/>
        <w:bCs/>
        <w:i w:val="0"/>
        <w:iCs w:val="0"/>
        <w:w w:val="100"/>
        <w:sz w:val="32"/>
        <w:szCs w:val="32"/>
        <w:lang w:val="en-US" w:eastAsia="en-US" w:bidi="ar-SA"/>
      </w:rPr>
    </w:lvl>
    <w:lvl w:ilvl="1" w:tplc="992227F8">
      <w:numFmt w:val="bullet"/>
      <w:lvlText w:val=""/>
      <w:lvlJc w:val="left"/>
      <w:pPr>
        <w:ind w:left="1920" w:hanging="360"/>
      </w:pPr>
      <w:rPr>
        <w:rFonts w:ascii="Symbol" w:eastAsia="Symbol" w:hAnsi="Symbol" w:cs="Symbol" w:hint="default"/>
        <w:b w:val="0"/>
        <w:bCs w:val="0"/>
        <w:i w:val="0"/>
        <w:iCs w:val="0"/>
        <w:w w:val="100"/>
        <w:sz w:val="24"/>
        <w:szCs w:val="24"/>
        <w:lang w:val="en-US" w:eastAsia="en-US" w:bidi="ar-SA"/>
      </w:rPr>
    </w:lvl>
    <w:lvl w:ilvl="2" w:tplc="E078EEF2">
      <w:numFmt w:val="bullet"/>
      <w:lvlText w:val="•"/>
      <w:lvlJc w:val="left"/>
      <w:pPr>
        <w:ind w:left="2020" w:hanging="360"/>
      </w:pPr>
      <w:rPr>
        <w:rFonts w:hint="default"/>
        <w:lang w:val="en-US" w:eastAsia="en-US" w:bidi="ar-SA"/>
      </w:rPr>
    </w:lvl>
    <w:lvl w:ilvl="3" w:tplc="5B820A5A">
      <w:numFmt w:val="bullet"/>
      <w:lvlText w:val="•"/>
      <w:lvlJc w:val="left"/>
      <w:pPr>
        <w:ind w:left="3057" w:hanging="360"/>
      </w:pPr>
      <w:rPr>
        <w:rFonts w:hint="default"/>
        <w:lang w:val="en-US" w:eastAsia="en-US" w:bidi="ar-SA"/>
      </w:rPr>
    </w:lvl>
    <w:lvl w:ilvl="4" w:tplc="8CAC15FA">
      <w:numFmt w:val="bullet"/>
      <w:lvlText w:val="•"/>
      <w:lvlJc w:val="left"/>
      <w:pPr>
        <w:ind w:left="4095" w:hanging="360"/>
      </w:pPr>
      <w:rPr>
        <w:rFonts w:hint="default"/>
        <w:lang w:val="en-US" w:eastAsia="en-US" w:bidi="ar-SA"/>
      </w:rPr>
    </w:lvl>
    <w:lvl w:ilvl="5" w:tplc="8A64BE64">
      <w:numFmt w:val="bullet"/>
      <w:lvlText w:val="•"/>
      <w:lvlJc w:val="left"/>
      <w:pPr>
        <w:ind w:left="5132" w:hanging="360"/>
      </w:pPr>
      <w:rPr>
        <w:rFonts w:hint="default"/>
        <w:lang w:val="en-US" w:eastAsia="en-US" w:bidi="ar-SA"/>
      </w:rPr>
    </w:lvl>
    <w:lvl w:ilvl="6" w:tplc="B70A7130">
      <w:numFmt w:val="bullet"/>
      <w:lvlText w:val="•"/>
      <w:lvlJc w:val="left"/>
      <w:pPr>
        <w:ind w:left="6170" w:hanging="360"/>
      </w:pPr>
      <w:rPr>
        <w:rFonts w:hint="default"/>
        <w:lang w:val="en-US" w:eastAsia="en-US" w:bidi="ar-SA"/>
      </w:rPr>
    </w:lvl>
    <w:lvl w:ilvl="7" w:tplc="C5B06666">
      <w:numFmt w:val="bullet"/>
      <w:lvlText w:val="•"/>
      <w:lvlJc w:val="left"/>
      <w:pPr>
        <w:ind w:left="7207" w:hanging="360"/>
      </w:pPr>
      <w:rPr>
        <w:rFonts w:hint="default"/>
        <w:lang w:val="en-US" w:eastAsia="en-US" w:bidi="ar-SA"/>
      </w:rPr>
    </w:lvl>
    <w:lvl w:ilvl="8" w:tplc="F87C5FEA">
      <w:numFmt w:val="bullet"/>
      <w:lvlText w:val="•"/>
      <w:lvlJc w:val="left"/>
      <w:pPr>
        <w:ind w:left="8245" w:hanging="360"/>
      </w:pPr>
      <w:rPr>
        <w:rFonts w:hint="default"/>
        <w:lang w:val="en-US" w:eastAsia="en-US" w:bidi="ar-SA"/>
      </w:rPr>
    </w:lvl>
  </w:abstractNum>
  <w:abstractNum w:abstractNumId="95" w15:restartNumberingAfterBreak="0">
    <w:nsid w:val="76E04402"/>
    <w:multiLevelType w:val="hybridMultilevel"/>
    <w:tmpl w:val="08B42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5C466F"/>
    <w:multiLevelType w:val="hybridMultilevel"/>
    <w:tmpl w:val="E0B6469C"/>
    <w:lvl w:ilvl="0" w:tplc="2D58CFAA">
      <w:start w:val="1"/>
      <w:numFmt w:val="bullet"/>
      <w:lvlText w:val=""/>
      <w:lvlJc w:val="left"/>
      <w:pPr>
        <w:ind w:left="1800" w:hanging="360"/>
      </w:pPr>
      <w:rPr>
        <w:rFonts w:ascii="Symbol" w:hAnsi="Symbol" w:hint="default"/>
      </w:rPr>
    </w:lvl>
    <w:lvl w:ilvl="1" w:tplc="5D46E3B4" w:tentative="1">
      <w:start w:val="1"/>
      <w:numFmt w:val="bullet"/>
      <w:lvlText w:val="o"/>
      <w:lvlJc w:val="left"/>
      <w:pPr>
        <w:ind w:left="2520" w:hanging="360"/>
      </w:pPr>
      <w:rPr>
        <w:rFonts w:ascii="Courier New" w:hAnsi="Courier New" w:cs="Courier New" w:hint="default"/>
      </w:rPr>
    </w:lvl>
    <w:lvl w:ilvl="2" w:tplc="304C1E54" w:tentative="1">
      <w:start w:val="1"/>
      <w:numFmt w:val="bullet"/>
      <w:lvlText w:val=""/>
      <w:lvlJc w:val="left"/>
      <w:pPr>
        <w:ind w:left="3240" w:hanging="360"/>
      </w:pPr>
      <w:rPr>
        <w:rFonts w:ascii="Wingdings" w:hAnsi="Wingdings" w:hint="default"/>
      </w:rPr>
    </w:lvl>
    <w:lvl w:ilvl="3" w:tplc="C164B934" w:tentative="1">
      <w:start w:val="1"/>
      <w:numFmt w:val="bullet"/>
      <w:lvlText w:val=""/>
      <w:lvlJc w:val="left"/>
      <w:pPr>
        <w:ind w:left="3960" w:hanging="360"/>
      </w:pPr>
      <w:rPr>
        <w:rFonts w:ascii="Symbol" w:hAnsi="Symbol" w:hint="default"/>
      </w:rPr>
    </w:lvl>
    <w:lvl w:ilvl="4" w:tplc="82CC6C6A" w:tentative="1">
      <w:start w:val="1"/>
      <w:numFmt w:val="bullet"/>
      <w:lvlText w:val="o"/>
      <w:lvlJc w:val="left"/>
      <w:pPr>
        <w:ind w:left="4680" w:hanging="360"/>
      </w:pPr>
      <w:rPr>
        <w:rFonts w:ascii="Courier New" w:hAnsi="Courier New" w:cs="Courier New" w:hint="default"/>
      </w:rPr>
    </w:lvl>
    <w:lvl w:ilvl="5" w:tplc="BB4E51E4" w:tentative="1">
      <w:start w:val="1"/>
      <w:numFmt w:val="bullet"/>
      <w:lvlText w:val=""/>
      <w:lvlJc w:val="left"/>
      <w:pPr>
        <w:ind w:left="5400" w:hanging="360"/>
      </w:pPr>
      <w:rPr>
        <w:rFonts w:ascii="Wingdings" w:hAnsi="Wingdings" w:hint="default"/>
      </w:rPr>
    </w:lvl>
    <w:lvl w:ilvl="6" w:tplc="05EA3E50" w:tentative="1">
      <w:start w:val="1"/>
      <w:numFmt w:val="bullet"/>
      <w:lvlText w:val=""/>
      <w:lvlJc w:val="left"/>
      <w:pPr>
        <w:ind w:left="6120" w:hanging="360"/>
      </w:pPr>
      <w:rPr>
        <w:rFonts w:ascii="Symbol" w:hAnsi="Symbol" w:hint="default"/>
      </w:rPr>
    </w:lvl>
    <w:lvl w:ilvl="7" w:tplc="11148A1C" w:tentative="1">
      <w:start w:val="1"/>
      <w:numFmt w:val="bullet"/>
      <w:lvlText w:val="o"/>
      <w:lvlJc w:val="left"/>
      <w:pPr>
        <w:ind w:left="6840" w:hanging="360"/>
      </w:pPr>
      <w:rPr>
        <w:rFonts w:ascii="Courier New" w:hAnsi="Courier New" w:cs="Courier New" w:hint="default"/>
      </w:rPr>
    </w:lvl>
    <w:lvl w:ilvl="8" w:tplc="C84817DC" w:tentative="1">
      <w:start w:val="1"/>
      <w:numFmt w:val="bullet"/>
      <w:lvlText w:val=""/>
      <w:lvlJc w:val="left"/>
      <w:pPr>
        <w:ind w:left="7560" w:hanging="360"/>
      </w:pPr>
      <w:rPr>
        <w:rFonts w:ascii="Wingdings" w:hAnsi="Wingdings" w:hint="default"/>
      </w:rPr>
    </w:lvl>
  </w:abstractNum>
  <w:abstractNum w:abstractNumId="97" w15:restartNumberingAfterBreak="0">
    <w:nsid w:val="786F03E7"/>
    <w:multiLevelType w:val="hybridMultilevel"/>
    <w:tmpl w:val="A73AD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8" w15:restartNumberingAfterBreak="0">
    <w:nsid w:val="7A9938B4"/>
    <w:multiLevelType w:val="hybridMultilevel"/>
    <w:tmpl w:val="7BD86778"/>
    <w:lvl w:ilvl="0" w:tplc="29D8B532">
      <w:start w:val="1"/>
      <w:numFmt w:val="bullet"/>
      <w:lvlText w:val=""/>
      <w:lvlJc w:val="left"/>
      <w:pPr>
        <w:ind w:left="720" w:hanging="360"/>
      </w:pPr>
      <w:rPr>
        <w:rFonts w:ascii="Symbol" w:hAnsi="Symbol"/>
      </w:rPr>
    </w:lvl>
    <w:lvl w:ilvl="1" w:tplc="C61E15E6">
      <w:start w:val="1"/>
      <w:numFmt w:val="bullet"/>
      <w:lvlText w:val="o"/>
      <w:lvlJc w:val="left"/>
      <w:pPr>
        <w:ind w:left="1440" w:hanging="360"/>
      </w:pPr>
      <w:rPr>
        <w:rFonts w:ascii="Courier New" w:hAnsi="Courier New"/>
      </w:rPr>
    </w:lvl>
    <w:lvl w:ilvl="2" w:tplc="8E248EE4">
      <w:start w:val="1"/>
      <w:numFmt w:val="bullet"/>
      <w:lvlText w:val=""/>
      <w:lvlJc w:val="left"/>
      <w:pPr>
        <w:tabs>
          <w:tab w:val="num" w:pos="2160"/>
        </w:tabs>
        <w:ind w:left="2160" w:hanging="360"/>
      </w:pPr>
      <w:rPr>
        <w:rFonts w:ascii="Wingdings" w:hAnsi="Wingdings"/>
      </w:rPr>
    </w:lvl>
    <w:lvl w:ilvl="3" w:tplc="3F2E317E">
      <w:start w:val="1"/>
      <w:numFmt w:val="bullet"/>
      <w:lvlText w:val=""/>
      <w:lvlJc w:val="left"/>
      <w:pPr>
        <w:tabs>
          <w:tab w:val="num" w:pos="2880"/>
        </w:tabs>
        <w:ind w:left="2880" w:hanging="360"/>
      </w:pPr>
      <w:rPr>
        <w:rFonts w:ascii="Symbol" w:hAnsi="Symbol"/>
      </w:rPr>
    </w:lvl>
    <w:lvl w:ilvl="4" w:tplc="37008222">
      <w:start w:val="1"/>
      <w:numFmt w:val="bullet"/>
      <w:lvlText w:val="o"/>
      <w:lvlJc w:val="left"/>
      <w:pPr>
        <w:tabs>
          <w:tab w:val="num" w:pos="3600"/>
        </w:tabs>
        <w:ind w:left="3600" w:hanging="360"/>
      </w:pPr>
      <w:rPr>
        <w:rFonts w:ascii="Courier New" w:hAnsi="Courier New"/>
      </w:rPr>
    </w:lvl>
    <w:lvl w:ilvl="5" w:tplc="FBB037E4">
      <w:start w:val="1"/>
      <w:numFmt w:val="bullet"/>
      <w:lvlText w:val=""/>
      <w:lvlJc w:val="left"/>
      <w:pPr>
        <w:tabs>
          <w:tab w:val="num" w:pos="4320"/>
        </w:tabs>
        <w:ind w:left="4320" w:hanging="360"/>
      </w:pPr>
      <w:rPr>
        <w:rFonts w:ascii="Wingdings" w:hAnsi="Wingdings"/>
      </w:rPr>
    </w:lvl>
    <w:lvl w:ilvl="6" w:tplc="936AB9BE">
      <w:start w:val="1"/>
      <w:numFmt w:val="bullet"/>
      <w:lvlText w:val=""/>
      <w:lvlJc w:val="left"/>
      <w:pPr>
        <w:tabs>
          <w:tab w:val="num" w:pos="5040"/>
        </w:tabs>
        <w:ind w:left="5040" w:hanging="360"/>
      </w:pPr>
      <w:rPr>
        <w:rFonts w:ascii="Symbol" w:hAnsi="Symbol"/>
      </w:rPr>
    </w:lvl>
    <w:lvl w:ilvl="7" w:tplc="33A0092E">
      <w:start w:val="1"/>
      <w:numFmt w:val="bullet"/>
      <w:lvlText w:val="o"/>
      <w:lvlJc w:val="left"/>
      <w:pPr>
        <w:tabs>
          <w:tab w:val="num" w:pos="5760"/>
        </w:tabs>
        <w:ind w:left="5760" w:hanging="360"/>
      </w:pPr>
      <w:rPr>
        <w:rFonts w:ascii="Courier New" w:hAnsi="Courier New"/>
      </w:rPr>
    </w:lvl>
    <w:lvl w:ilvl="8" w:tplc="894E00DE">
      <w:start w:val="1"/>
      <w:numFmt w:val="bullet"/>
      <w:lvlText w:val=""/>
      <w:lvlJc w:val="left"/>
      <w:pPr>
        <w:tabs>
          <w:tab w:val="num" w:pos="6480"/>
        </w:tabs>
        <w:ind w:left="6480" w:hanging="360"/>
      </w:pPr>
      <w:rPr>
        <w:rFonts w:ascii="Wingdings" w:hAnsi="Wingdings"/>
      </w:rPr>
    </w:lvl>
  </w:abstractNum>
  <w:abstractNum w:abstractNumId="99" w15:restartNumberingAfterBreak="0">
    <w:nsid w:val="7BD86773"/>
    <w:multiLevelType w:val="hybridMultilevel"/>
    <w:tmpl w:val="283AAB02"/>
    <w:lvl w:ilvl="0" w:tplc="9D903A84">
      <w:start w:val="1"/>
      <w:numFmt w:val="decimal"/>
      <w:lvlText w:val="%1."/>
      <w:lvlJc w:val="left"/>
      <w:pPr>
        <w:ind w:left="720" w:hanging="360"/>
      </w:pPr>
      <w:rPr>
        <w:b/>
      </w:rPr>
    </w:lvl>
    <w:lvl w:ilvl="1" w:tplc="396AF8BA" w:tentative="1">
      <w:start w:val="1"/>
      <w:numFmt w:val="lowerLetter"/>
      <w:lvlText w:val="%2."/>
      <w:lvlJc w:val="left"/>
      <w:pPr>
        <w:ind w:left="1440" w:hanging="360"/>
      </w:pPr>
    </w:lvl>
    <w:lvl w:ilvl="2" w:tplc="8B8ACB6A" w:tentative="1">
      <w:start w:val="1"/>
      <w:numFmt w:val="lowerRoman"/>
      <w:lvlText w:val="%3."/>
      <w:lvlJc w:val="right"/>
      <w:pPr>
        <w:ind w:left="2160" w:hanging="180"/>
      </w:pPr>
    </w:lvl>
    <w:lvl w:ilvl="3" w:tplc="3294C12E" w:tentative="1">
      <w:start w:val="1"/>
      <w:numFmt w:val="decimal"/>
      <w:lvlText w:val="%4."/>
      <w:lvlJc w:val="left"/>
      <w:pPr>
        <w:ind w:left="2880" w:hanging="360"/>
      </w:pPr>
    </w:lvl>
    <w:lvl w:ilvl="4" w:tplc="7890A13E" w:tentative="1">
      <w:start w:val="1"/>
      <w:numFmt w:val="lowerLetter"/>
      <w:lvlText w:val="%5."/>
      <w:lvlJc w:val="left"/>
      <w:pPr>
        <w:ind w:left="3600" w:hanging="360"/>
      </w:pPr>
    </w:lvl>
    <w:lvl w:ilvl="5" w:tplc="391AFC50" w:tentative="1">
      <w:start w:val="1"/>
      <w:numFmt w:val="lowerRoman"/>
      <w:lvlText w:val="%6."/>
      <w:lvlJc w:val="right"/>
      <w:pPr>
        <w:ind w:left="4320" w:hanging="180"/>
      </w:pPr>
    </w:lvl>
    <w:lvl w:ilvl="6" w:tplc="0BF4E154" w:tentative="1">
      <w:start w:val="1"/>
      <w:numFmt w:val="decimal"/>
      <w:lvlText w:val="%7."/>
      <w:lvlJc w:val="left"/>
      <w:pPr>
        <w:ind w:left="5040" w:hanging="360"/>
      </w:pPr>
    </w:lvl>
    <w:lvl w:ilvl="7" w:tplc="EE18D3BE" w:tentative="1">
      <w:start w:val="1"/>
      <w:numFmt w:val="lowerLetter"/>
      <w:lvlText w:val="%8."/>
      <w:lvlJc w:val="left"/>
      <w:pPr>
        <w:ind w:left="5760" w:hanging="360"/>
      </w:pPr>
    </w:lvl>
    <w:lvl w:ilvl="8" w:tplc="A2A63FAE" w:tentative="1">
      <w:start w:val="1"/>
      <w:numFmt w:val="lowerRoman"/>
      <w:lvlText w:val="%9."/>
      <w:lvlJc w:val="right"/>
      <w:pPr>
        <w:ind w:left="6480" w:hanging="180"/>
      </w:pPr>
    </w:lvl>
  </w:abstractNum>
  <w:abstractNum w:abstractNumId="100" w15:restartNumberingAfterBreak="0">
    <w:nsid w:val="7BD86774"/>
    <w:multiLevelType w:val="hybridMultilevel"/>
    <w:tmpl w:val="7BD86774"/>
    <w:lvl w:ilvl="0" w:tplc="95208EB8">
      <w:start w:val="1"/>
      <w:numFmt w:val="bullet"/>
      <w:lvlText w:val=""/>
      <w:lvlJc w:val="left"/>
      <w:pPr>
        <w:ind w:left="720" w:hanging="360"/>
      </w:pPr>
      <w:rPr>
        <w:rFonts w:ascii="Symbol" w:hAnsi="Symbol"/>
      </w:rPr>
    </w:lvl>
    <w:lvl w:ilvl="1" w:tplc="A0509326">
      <w:start w:val="1"/>
      <w:numFmt w:val="bullet"/>
      <w:lvlText w:val="o"/>
      <w:lvlJc w:val="left"/>
      <w:pPr>
        <w:tabs>
          <w:tab w:val="num" w:pos="1440"/>
        </w:tabs>
        <w:ind w:left="1440" w:hanging="360"/>
      </w:pPr>
      <w:rPr>
        <w:rFonts w:ascii="Courier New" w:hAnsi="Courier New"/>
      </w:rPr>
    </w:lvl>
    <w:lvl w:ilvl="2" w:tplc="9D344944">
      <w:start w:val="1"/>
      <w:numFmt w:val="bullet"/>
      <w:lvlText w:val=""/>
      <w:lvlJc w:val="left"/>
      <w:pPr>
        <w:tabs>
          <w:tab w:val="num" w:pos="2160"/>
        </w:tabs>
        <w:ind w:left="2160" w:hanging="360"/>
      </w:pPr>
      <w:rPr>
        <w:rFonts w:ascii="Wingdings" w:hAnsi="Wingdings"/>
      </w:rPr>
    </w:lvl>
    <w:lvl w:ilvl="3" w:tplc="4CCCC1CA">
      <w:start w:val="1"/>
      <w:numFmt w:val="bullet"/>
      <w:lvlText w:val=""/>
      <w:lvlJc w:val="left"/>
      <w:pPr>
        <w:tabs>
          <w:tab w:val="num" w:pos="2880"/>
        </w:tabs>
        <w:ind w:left="2880" w:hanging="360"/>
      </w:pPr>
      <w:rPr>
        <w:rFonts w:ascii="Symbol" w:hAnsi="Symbol"/>
      </w:rPr>
    </w:lvl>
    <w:lvl w:ilvl="4" w:tplc="E72E655E">
      <w:start w:val="1"/>
      <w:numFmt w:val="bullet"/>
      <w:lvlText w:val="o"/>
      <w:lvlJc w:val="left"/>
      <w:pPr>
        <w:tabs>
          <w:tab w:val="num" w:pos="3600"/>
        </w:tabs>
        <w:ind w:left="3600" w:hanging="360"/>
      </w:pPr>
      <w:rPr>
        <w:rFonts w:ascii="Courier New" w:hAnsi="Courier New"/>
      </w:rPr>
    </w:lvl>
    <w:lvl w:ilvl="5" w:tplc="4AEC901A">
      <w:start w:val="1"/>
      <w:numFmt w:val="bullet"/>
      <w:lvlText w:val=""/>
      <w:lvlJc w:val="left"/>
      <w:pPr>
        <w:tabs>
          <w:tab w:val="num" w:pos="4320"/>
        </w:tabs>
        <w:ind w:left="4320" w:hanging="360"/>
      </w:pPr>
      <w:rPr>
        <w:rFonts w:ascii="Wingdings" w:hAnsi="Wingdings"/>
      </w:rPr>
    </w:lvl>
    <w:lvl w:ilvl="6" w:tplc="C5CCC57A">
      <w:start w:val="1"/>
      <w:numFmt w:val="bullet"/>
      <w:lvlText w:val=""/>
      <w:lvlJc w:val="left"/>
      <w:pPr>
        <w:tabs>
          <w:tab w:val="num" w:pos="5040"/>
        </w:tabs>
        <w:ind w:left="5040" w:hanging="360"/>
      </w:pPr>
      <w:rPr>
        <w:rFonts w:ascii="Symbol" w:hAnsi="Symbol"/>
      </w:rPr>
    </w:lvl>
    <w:lvl w:ilvl="7" w:tplc="6DBC49E2">
      <w:start w:val="1"/>
      <w:numFmt w:val="bullet"/>
      <w:lvlText w:val="o"/>
      <w:lvlJc w:val="left"/>
      <w:pPr>
        <w:tabs>
          <w:tab w:val="num" w:pos="5760"/>
        </w:tabs>
        <w:ind w:left="5760" w:hanging="360"/>
      </w:pPr>
      <w:rPr>
        <w:rFonts w:ascii="Courier New" w:hAnsi="Courier New"/>
      </w:rPr>
    </w:lvl>
    <w:lvl w:ilvl="8" w:tplc="F006BA6C">
      <w:start w:val="1"/>
      <w:numFmt w:val="bullet"/>
      <w:lvlText w:val=""/>
      <w:lvlJc w:val="left"/>
      <w:pPr>
        <w:tabs>
          <w:tab w:val="num" w:pos="6480"/>
        </w:tabs>
        <w:ind w:left="6480" w:hanging="360"/>
      </w:pPr>
      <w:rPr>
        <w:rFonts w:ascii="Wingdings" w:hAnsi="Wingdings"/>
      </w:rPr>
    </w:lvl>
  </w:abstractNum>
  <w:abstractNum w:abstractNumId="101" w15:restartNumberingAfterBreak="0">
    <w:nsid w:val="7BD86775"/>
    <w:multiLevelType w:val="hybridMultilevel"/>
    <w:tmpl w:val="7BD86775"/>
    <w:lvl w:ilvl="0" w:tplc="B9A81450">
      <w:start w:val="1"/>
      <w:numFmt w:val="bullet"/>
      <w:lvlText w:val=""/>
      <w:lvlJc w:val="left"/>
      <w:pPr>
        <w:ind w:left="720" w:hanging="360"/>
      </w:pPr>
      <w:rPr>
        <w:rFonts w:ascii="Symbol" w:hAnsi="Symbol"/>
      </w:rPr>
    </w:lvl>
    <w:lvl w:ilvl="1" w:tplc="ACBE74EC">
      <w:start w:val="1"/>
      <w:numFmt w:val="bullet"/>
      <w:lvlText w:val="o"/>
      <w:lvlJc w:val="left"/>
      <w:pPr>
        <w:tabs>
          <w:tab w:val="num" w:pos="1440"/>
        </w:tabs>
        <w:ind w:left="1440" w:hanging="360"/>
      </w:pPr>
      <w:rPr>
        <w:rFonts w:ascii="Courier New" w:hAnsi="Courier New"/>
      </w:rPr>
    </w:lvl>
    <w:lvl w:ilvl="2" w:tplc="00DC3EC6">
      <w:start w:val="1"/>
      <w:numFmt w:val="bullet"/>
      <w:lvlText w:val=""/>
      <w:lvlJc w:val="left"/>
      <w:pPr>
        <w:tabs>
          <w:tab w:val="num" w:pos="2160"/>
        </w:tabs>
        <w:ind w:left="2160" w:hanging="360"/>
      </w:pPr>
      <w:rPr>
        <w:rFonts w:ascii="Wingdings" w:hAnsi="Wingdings"/>
      </w:rPr>
    </w:lvl>
    <w:lvl w:ilvl="3" w:tplc="B36CC33E">
      <w:start w:val="1"/>
      <w:numFmt w:val="bullet"/>
      <w:lvlText w:val=""/>
      <w:lvlJc w:val="left"/>
      <w:pPr>
        <w:tabs>
          <w:tab w:val="num" w:pos="2880"/>
        </w:tabs>
        <w:ind w:left="2880" w:hanging="360"/>
      </w:pPr>
      <w:rPr>
        <w:rFonts w:ascii="Symbol" w:hAnsi="Symbol"/>
      </w:rPr>
    </w:lvl>
    <w:lvl w:ilvl="4" w:tplc="B57026D6">
      <w:start w:val="1"/>
      <w:numFmt w:val="bullet"/>
      <w:lvlText w:val="o"/>
      <w:lvlJc w:val="left"/>
      <w:pPr>
        <w:tabs>
          <w:tab w:val="num" w:pos="3600"/>
        </w:tabs>
        <w:ind w:left="3600" w:hanging="360"/>
      </w:pPr>
      <w:rPr>
        <w:rFonts w:ascii="Courier New" w:hAnsi="Courier New"/>
      </w:rPr>
    </w:lvl>
    <w:lvl w:ilvl="5" w:tplc="22BCCB52">
      <w:start w:val="1"/>
      <w:numFmt w:val="bullet"/>
      <w:lvlText w:val=""/>
      <w:lvlJc w:val="left"/>
      <w:pPr>
        <w:tabs>
          <w:tab w:val="num" w:pos="4320"/>
        </w:tabs>
        <w:ind w:left="4320" w:hanging="360"/>
      </w:pPr>
      <w:rPr>
        <w:rFonts w:ascii="Wingdings" w:hAnsi="Wingdings"/>
      </w:rPr>
    </w:lvl>
    <w:lvl w:ilvl="6" w:tplc="C5E45F3C">
      <w:start w:val="1"/>
      <w:numFmt w:val="bullet"/>
      <w:lvlText w:val=""/>
      <w:lvlJc w:val="left"/>
      <w:pPr>
        <w:tabs>
          <w:tab w:val="num" w:pos="5040"/>
        </w:tabs>
        <w:ind w:left="5040" w:hanging="360"/>
      </w:pPr>
      <w:rPr>
        <w:rFonts w:ascii="Symbol" w:hAnsi="Symbol"/>
      </w:rPr>
    </w:lvl>
    <w:lvl w:ilvl="7" w:tplc="09BE220E">
      <w:start w:val="1"/>
      <w:numFmt w:val="bullet"/>
      <w:lvlText w:val="o"/>
      <w:lvlJc w:val="left"/>
      <w:pPr>
        <w:tabs>
          <w:tab w:val="num" w:pos="5760"/>
        </w:tabs>
        <w:ind w:left="5760" w:hanging="360"/>
      </w:pPr>
      <w:rPr>
        <w:rFonts w:ascii="Courier New" w:hAnsi="Courier New"/>
      </w:rPr>
    </w:lvl>
    <w:lvl w:ilvl="8" w:tplc="F5EACF26">
      <w:start w:val="1"/>
      <w:numFmt w:val="bullet"/>
      <w:lvlText w:val=""/>
      <w:lvlJc w:val="left"/>
      <w:pPr>
        <w:tabs>
          <w:tab w:val="num" w:pos="6480"/>
        </w:tabs>
        <w:ind w:left="6480" w:hanging="360"/>
      </w:pPr>
      <w:rPr>
        <w:rFonts w:ascii="Wingdings" w:hAnsi="Wingdings"/>
      </w:rPr>
    </w:lvl>
  </w:abstractNum>
  <w:abstractNum w:abstractNumId="102" w15:restartNumberingAfterBreak="0">
    <w:nsid w:val="7BD86776"/>
    <w:multiLevelType w:val="hybridMultilevel"/>
    <w:tmpl w:val="7BD86776"/>
    <w:lvl w:ilvl="0" w:tplc="4DAAE436">
      <w:start w:val="1"/>
      <w:numFmt w:val="bullet"/>
      <w:lvlText w:val=""/>
      <w:lvlJc w:val="left"/>
      <w:pPr>
        <w:ind w:left="720" w:hanging="360"/>
      </w:pPr>
      <w:rPr>
        <w:rFonts w:ascii="Symbol" w:hAnsi="Symbol"/>
      </w:rPr>
    </w:lvl>
    <w:lvl w:ilvl="1" w:tplc="9F947520">
      <w:start w:val="1"/>
      <w:numFmt w:val="bullet"/>
      <w:lvlText w:val="o"/>
      <w:lvlJc w:val="left"/>
      <w:pPr>
        <w:ind w:left="1440" w:hanging="360"/>
      </w:pPr>
      <w:rPr>
        <w:rFonts w:ascii="Courier New" w:hAnsi="Courier New"/>
      </w:rPr>
    </w:lvl>
    <w:lvl w:ilvl="2" w:tplc="C17C40D4">
      <w:start w:val="1"/>
      <w:numFmt w:val="bullet"/>
      <w:lvlText w:val=""/>
      <w:lvlJc w:val="left"/>
      <w:pPr>
        <w:tabs>
          <w:tab w:val="num" w:pos="2160"/>
        </w:tabs>
        <w:ind w:left="2160" w:hanging="360"/>
      </w:pPr>
      <w:rPr>
        <w:rFonts w:ascii="Wingdings" w:hAnsi="Wingdings"/>
      </w:rPr>
    </w:lvl>
    <w:lvl w:ilvl="3" w:tplc="670A6216">
      <w:start w:val="1"/>
      <w:numFmt w:val="bullet"/>
      <w:lvlText w:val=""/>
      <w:lvlJc w:val="left"/>
      <w:pPr>
        <w:tabs>
          <w:tab w:val="num" w:pos="2880"/>
        </w:tabs>
        <w:ind w:left="2880" w:hanging="360"/>
      </w:pPr>
      <w:rPr>
        <w:rFonts w:ascii="Symbol" w:hAnsi="Symbol"/>
      </w:rPr>
    </w:lvl>
    <w:lvl w:ilvl="4" w:tplc="79D6A0D0">
      <w:start w:val="1"/>
      <w:numFmt w:val="bullet"/>
      <w:lvlText w:val="o"/>
      <w:lvlJc w:val="left"/>
      <w:pPr>
        <w:tabs>
          <w:tab w:val="num" w:pos="3600"/>
        </w:tabs>
        <w:ind w:left="3600" w:hanging="360"/>
      </w:pPr>
      <w:rPr>
        <w:rFonts w:ascii="Courier New" w:hAnsi="Courier New"/>
      </w:rPr>
    </w:lvl>
    <w:lvl w:ilvl="5" w:tplc="F65A8F82">
      <w:start w:val="1"/>
      <w:numFmt w:val="bullet"/>
      <w:lvlText w:val=""/>
      <w:lvlJc w:val="left"/>
      <w:pPr>
        <w:tabs>
          <w:tab w:val="num" w:pos="4320"/>
        </w:tabs>
        <w:ind w:left="4320" w:hanging="360"/>
      </w:pPr>
      <w:rPr>
        <w:rFonts w:ascii="Wingdings" w:hAnsi="Wingdings"/>
      </w:rPr>
    </w:lvl>
    <w:lvl w:ilvl="6" w:tplc="115E9F02">
      <w:start w:val="1"/>
      <w:numFmt w:val="bullet"/>
      <w:lvlText w:val=""/>
      <w:lvlJc w:val="left"/>
      <w:pPr>
        <w:tabs>
          <w:tab w:val="num" w:pos="5040"/>
        </w:tabs>
        <w:ind w:left="5040" w:hanging="360"/>
      </w:pPr>
      <w:rPr>
        <w:rFonts w:ascii="Symbol" w:hAnsi="Symbol"/>
      </w:rPr>
    </w:lvl>
    <w:lvl w:ilvl="7" w:tplc="82F4440E">
      <w:start w:val="1"/>
      <w:numFmt w:val="bullet"/>
      <w:lvlText w:val="o"/>
      <w:lvlJc w:val="left"/>
      <w:pPr>
        <w:tabs>
          <w:tab w:val="num" w:pos="5760"/>
        </w:tabs>
        <w:ind w:left="5760" w:hanging="360"/>
      </w:pPr>
      <w:rPr>
        <w:rFonts w:ascii="Courier New" w:hAnsi="Courier New"/>
      </w:rPr>
    </w:lvl>
    <w:lvl w:ilvl="8" w:tplc="22BCFDCA">
      <w:start w:val="1"/>
      <w:numFmt w:val="bullet"/>
      <w:lvlText w:val=""/>
      <w:lvlJc w:val="left"/>
      <w:pPr>
        <w:tabs>
          <w:tab w:val="num" w:pos="6480"/>
        </w:tabs>
        <w:ind w:left="6480" w:hanging="360"/>
      </w:pPr>
      <w:rPr>
        <w:rFonts w:ascii="Wingdings" w:hAnsi="Wingdings"/>
      </w:rPr>
    </w:lvl>
  </w:abstractNum>
  <w:abstractNum w:abstractNumId="103" w15:restartNumberingAfterBreak="0">
    <w:nsid w:val="7BD86777"/>
    <w:multiLevelType w:val="hybridMultilevel"/>
    <w:tmpl w:val="7BD86777"/>
    <w:lvl w:ilvl="0" w:tplc="DAF0C862">
      <w:start w:val="1"/>
      <w:numFmt w:val="bullet"/>
      <w:lvlText w:val="o"/>
      <w:lvlJc w:val="left"/>
      <w:pPr>
        <w:tabs>
          <w:tab w:val="num" w:pos="720"/>
        </w:tabs>
        <w:ind w:left="720" w:hanging="360"/>
      </w:pPr>
      <w:rPr>
        <w:rFonts w:ascii="Courier New" w:hAnsi="Courier New"/>
      </w:rPr>
    </w:lvl>
    <w:lvl w:ilvl="1" w:tplc="102CAE88">
      <w:start w:val="1"/>
      <w:numFmt w:val="bullet"/>
      <w:lvlText w:val="o"/>
      <w:lvlJc w:val="left"/>
      <w:pPr>
        <w:ind w:left="1440" w:hanging="360"/>
      </w:pPr>
      <w:rPr>
        <w:rFonts w:ascii="Courier New" w:hAnsi="Courier New"/>
      </w:rPr>
    </w:lvl>
    <w:lvl w:ilvl="2" w:tplc="49DE3700">
      <w:start w:val="1"/>
      <w:numFmt w:val="bullet"/>
      <w:lvlText w:val=""/>
      <w:lvlJc w:val="left"/>
      <w:pPr>
        <w:tabs>
          <w:tab w:val="num" w:pos="2160"/>
        </w:tabs>
        <w:ind w:left="2160" w:hanging="360"/>
      </w:pPr>
      <w:rPr>
        <w:rFonts w:ascii="Wingdings" w:hAnsi="Wingdings"/>
      </w:rPr>
    </w:lvl>
    <w:lvl w:ilvl="3" w:tplc="427ABA3E">
      <w:start w:val="1"/>
      <w:numFmt w:val="bullet"/>
      <w:lvlText w:val=""/>
      <w:lvlJc w:val="left"/>
      <w:pPr>
        <w:tabs>
          <w:tab w:val="num" w:pos="2880"/>
        </w:tabs>
        <w:ind w:left="2880" w:hanging="360"/>
      </w:pPr>
      <w:rPr>
        <w:rFonts w:ascii="Symbol" w:hAnsi="Symbol"/>
      </w:rPr>
    </w:lvl>
    <w:lvl w:ilvl="4" w:tplc="871E14E8">
      <w:start w:val="1"/>
      <w:numFmt w:val="bullet"/>
      <w:lvlText w:val="o"/>
      <w:lvlJc w:val="left"/>
      <w:pPr>
        <w:tabs>
          <w:tab w:val="num" w:pos="3600"/>
        </w:tabs>
        <w:ind w:left="3600" w:hanging="360"/>
      </w:pPr>
      <w:rPr>
        <w:rFonts w:ascii="Courier New" w:hAnsi="Courier New"/>
      </w:rPr>
    </w:lvl>
    <w:lvl w:ilvl="5" w:tplc="48DED372">
      <w:start w:val="1"/>
      <w:numFmt w:val="bullet"/>
      <w:lvlText w:val=""/>
      <w:lvlJc w:val="left"/>
      <w:pPr>
        <w:tabs>
          <w:tab w:val="num" w:pos="4320"/>
        </w:tabs>
        <w:ind w:left="4320" w:hanging="360"/>
      </w:pPr>
      <w:rPr>
        <w:rFonts w:ascii="Wingdings" w:hAnsi="Wingdings"/>
      </w:rPr>
    </w:lvl>
    <w:lvl w:ilvl="6" w:tplc="775C6A22">
      <w:start w:val="1"/>
      <w:numFmt w:val="bullet"/>
      <w:lvlText w:val=""/>
      <w:lvlJc w:val="left"/>
      <w:pPr>
        <w:tabs>
          <w:tab w:val="num" w:pos="5040"/>
        </w:tabs>
        <w:ind w:left="5040" w:hanging="360"/>
      </w:pPr>
      <w:rPr>
        <w:rFonts w:ascii="Symbol" w:hAnsi="Symbol"/>
      </w:rPr>
    </w:lvl>
    <w:lvl w:ilvl="7" w:tplc="1AAC9CD4">
      <w:start w:val="1"/>
      <w:numFmt w:val="bullet"/>
      <w:lvlText w:val="o"/>
      <w:lvlJc w:val="left"/>
      <w:pPr>
        <w:tabs>
          <w:tab w:val="num" w:pos="5760"/>
        </w:tabs>
        <w:ind w:left="5760" w:hanging="360"/>
      </w:pPr>
      <w:rPr>
        <w:rFonts w:ascii="Courier New" w:hAnsi="Courier New"/>
      </w:rPr>
    </w:lvl>
    <w:lvl w:ilvl="8" w:tplc="D674A378">
      <w:start w:val="1"/>
      <w:numFmt w:val="bullet"/>
      <w:lvlText w:val=""/>
      <w:lvlJc w:val="left"/>
      <w:pPr>
        <w:tabs>
          <w:tab w:val="num" w:pos="6480"/>
        </w:tabs>
        <w:ind w:left="6480" w:hanging="360"/>
      </w:pPr>
      <w:rPr>
        <w:rFonts w:ascii="Wingdings" w:hAnsi="Wingdings"/>
      </w:rPr>
    </w:lvl>
  </w:abstractNum>
  <w:abstractNum w:abstractNumId="104" w15:restartNumberingAfterBreak="0">
    <w:nsid w:val="7BD86778"/>
    <w:multiLevelType w:val="hybridMultilevel"/>
    <w:tmpl w:val="7BD86778"/>
    <w:lvl w:ilvl="0" w:tplc="11BE1C1A">
      <w:start w:val="1"/>
      <w:numFmt w:val="bullet"/>
      <w:lvlText w:val=""/>
      <w:lvlJc w:val="left"/>
      <w:pPr>
        <w:ind w:left="720" w:hanging="360"/>
      </w:pPr>
      <w:rPr>
        <w:rFonts w:ascii="Symbol" w:hAnsi="Symbol"/>
      </w:rPr>
    </w:lvl>
    <w:lvl w:ilvl="1" w:tplc="5A3C20B8">
      <w:start w:val="1"/>
      <w:numFmt w:val="bullet"/>
      <w:lvlText w:val="o"/>
      <w:lvlJc w:val="left"/>
      <w:pPr>
        <w:ind w:left="1440" w:hanging="360"/>
      </w:pPr>
      <w:rPr>
        <w:rFonts w:ascii="Courier New" w:hAnsi="Courier New"/>
      </w:rPr>
    </w:lvl>
    <w:lvl w:ilvl="2" w:tplc="BC162BFA">
      <w:start w:val="1"/>
      <w:numFmt w:val="bullet"/>
      <w:lvlText w:val=""/>
      <w:lvlJc w:val="left"/>
      <w:pPr>
        <w:tabs>
          <w:tab w:val="num" w:pos="2160"/>
        </w:tabs>
        <w:ind w:left="2160" w:hanging="360"/>
      </w:pPr>
      <w:rPr>
        <w:rFonts w:ascii="Wingdings" w:hAnsi="Wingdings"/>
      </w:rPr>
    </w:lvl>
    <w:lvl w:ilvl="3" w:tplc="78B4F332">
      <w:start w:val="1"/>
      <w:numFmt w:val="bullet"/>
      <w:lvlText w:val=""/>
      <w:lvlJc w:val="left"/>
      <w:pPr>
        <w:tabs>
          <w:tab w:val="num" w:pos="2880"/>
        </w:tabs>
        <w:ind w:left="2880" w:hanging="360"/>
      </w:pPr>
      <w:rPr>
        <w:rFonts w:ascii="Symbol" w:hAnsi="Symbol"/>
      </w:rPr>
    </w:lvl>
    <w:lvl w:ilvl="4" w:tplc="4F9EBCAA">
      <w:start w:val="1"/>
      <w:numFmt w:val="bullet"/>
      <w:lvlText w:val="o"/>
      <w:lvlJc w:val="left"/>
      <w:pPr>
        <w:tabs>
          <w:tab w:val="num" w:pos="3600"/>
        </w:tabs>
        <w:ind w:left="3600" w:hanging="360"/>
      </w:pPr>
      <w:rPr>
        <w:rFonts w:ascii="Courier New" w:hAnsi="Courier New"/>
      </w:rPr>
    </w:lvl>
    <w:lvl w:ilvl="5" w:tplc="39E2DAE0">
      <w:start w:val="1"/>
      <w:numFmt w:val="bullet"/>
      <w:lvlText w:val=""/>
      <w:lvlJc w:val="left"/>
      <w:pPr>
        <w:tabs>
          <w:tab w:val="num" w:pos="4320"/>
        </w:tabs>
        <w:ind w:left="4320" w:hanging="360"/>
      </w:pPr>
      <w:rPr>
        <w:rFonts w:ascii="Wingdings" w:hAnsi="Wingdings"/>
      </w:rPr>
    </w:lvl>
    <w:lvl w:ilvl="6" w:tplc="7916B3C2">
      <w:start w:val="1"/>
      <w:numFmt w:val="bullet"/>
      <w:lvlText w:val=""/>
      <w:lvlJc w:val="left"/>
      <w:pPr>
        <w:tabs>
          <w:tab w:val="num" w:pos="5040"/>
        </w:tabs>
        <w:ind w:left="5040" w:hanging="360"/>
      </w:pPr>
      <w:rPr>
        <w:rFonts w:ascii="Symbol" w:hAnsi="Symbol"/>
      </w:rPr>
    </w:lvl>
    <w:lvl w:ilvl="7" w:tplc="867A7AFE">
      <w:start w:val="1"/>
      <w:numFmt w:val="bullet"/>
      <w:lvlText w:val="o"/>
      <w:lvlJc w:val="left"/>
      <w:pPr>
        <w:tabs>
          <w:tab w:val="num" w:pos="5760"/>
        </w:tabs>
        <w:ind w:left="5760" w:hanging="360"/>
      </w:pPr>
      <w:rPr>
        <w:rFonts w:ascii="Courier New" w:hAnsi="Courier New"/>
      </w:rPr>
    </w:lvl>
    <w:lvl w:ilvl="8" w:tplc="DD826B4E">
      <w:start w:val="1"/>
      <w:numFmt w:val="bullet"/>
      <w:lvlText w:val=""/>
      <w:lvlJc w:val="left"/>
      <w:pPr>
        <w:tabs>
          <w:tab w:val="num" w:pos="6480"/>
        </w:tabs>
        <w:ind w:left="6480" w:hanging="360"/>
      </w:pPr>
      <w:rPr>
        <w:rFonts w:ascii="Wingdings" w:hAnsi="Wingdings"/>
      </w:rPr>
    </w:lvl>
  </w:abstractNum>
  <w:abstractNum w:abstractNumId="105" w15:restartNumberingAfterBreak="0">
    <w:nsid w:val="7BD86779"/>
    <w:multiLevelType w:val="hybridMultilevel"/>
    <w:tmpl w:val="7BD86779"/>
    <w:lvl w:ilvl="0" w:tplc="64EAC37A">
      <w:start w:val="1"/>
      <w:numFmt w:val="bullet"/>
      <w:lvlText w:val=""/>
      <w:lvlJc w:val="left"/>
      <w:pPr>
        <w:ind w:left="720" w:hanging="360"/>
      </w:pPr>
      <w:rPr>
        <w:rFonts w:ascii="Symbol" w:hAnsi="Symbol"/>
      </w:rPr>
    </w:lvl>
    <w:lvl w:ilvl="1" w:tplc="C58E6E64">
      <w:start w:val="1"/>
      <w:numFmt w:val="bullet"/>
      <w:lvlText w:val="o"/>
      <w:lvlJc w:val="left"/>
      <w:pPr>
        <w:tabs>
          <w:tab w:val="num" w:pos="1440"/>
        </w:tabs>
        <w:ind w:left="1440" w:hanging="360"/>
      </w:pPr>
      <w:rPr>
        <w:rFonts w:ascii="Courier New" w:hAnsi="Courier New"/>
      </w:rPr>
    </w:lvl>
    <w:lvl w:ilvl="2" w:tplc="61E6378E">
      <w:start w:val="1"/>
      <w:numFmt w:val="bullet"/>
      <w:lvlText w:val=""/>
      <w:lvlJc w:val="left"/>
      <w:pPr>
        <w:tabs>
          <w:tab w:val="num" w:pos="2160"/>
        </w:tabs>
        <w:ind w:left="2160" w:hanging="360"/>
      </w:pPr>
      <w:rPr>
        <w:rFonts w:ascii="Wingdings" w:hAnsi="Wingdings"/>
      </w:rPr>
    </w:lvl>
    <w:lvl w:ilvl="3" w:tplc="AF420FEA">
      <w:start w:val="1"/>
      <w:numFmt w:val="bullet"/>
      <w:lvlText w:val=""/>
      <w:lvlJc w:val="left"/>
      <w:pPr>
        <w:tabs>
          <w:tab w:val="num" w:pos="2880"/>
        </w:tabs>
        <w:ind w:left="2880" w:hanging="360"/>
      </w:pPr>
      <w:rPr>
        <w:rFonts w:ascii="Symbol" w:hAnsi="Symbol"/>
      </w:rPr>
    </w:lvl>
    <w:lvl w:ilvl="4" w:tplc="D20EF00E">
      <w:start w:val="1"/>
      <w:numFmt w:val="bullet"/>
      <w:lvlText w:val="o"/>
      <w:lvlJc w:val="left"/>
      <w:pPr>
        <w:tabs>
          <w:tab w:val="num" w:pos="3600"/>
        </w:tabs>
        <w:ind w:left="3600" w:hanging="360"/>
      </w:pPr>
      <w:rPr>
        <w:rFonts w:ascii="Courier New" w:hAnsi="Courier New"/>
      </w:rPr>
    </w:lvl>
    <w:lvl w:ilvl="5" w:tplc="DDC69F7E">
      <w:start w:val="1"/>
      <w:numFmt w:val="bullet"/>
      <w:lvlText w:val=""/>
      <w:lvlJc w:val="left"/>
      <w:pPr>
        <w:tabs>
          <w:tab w:val="num" w:pos="4320"/>
        </w:tabs>
        <w:ind w:left="4320" w:hanging="360"/>
      </w:pPr>
      <w:rPr>
        <w:rFonts w:ascii="Wingdings" w:hAnsi="Wingdings"/>
      </w:rPr>
    </w:lvl>
    <w:lvl w:ilvl="6" w:tplc="1D76A3E6">
      <w:start w:val="1"/>
      <w:numFmt w:val="bullet"/>
      <w:lvlText w:val=""/>
      <w:lvlJc w:val="left"/>
      <w:pPr>
        <w:tabs>
          <w:tab w:val="num" w:pos="5040"/>
        </w:tabs>
        <w:ind w:left="5040" w:hanging="360"/>
      </w:pPr>
      <w:rPr>
        <w:rFonts w:ascii="Symbol" w:hAnsi="Symbol"/>
      </w:rPr>
    </w:lvl>
    <w:lvl w:ilvl="7" w:tplc="43E6552E">
      <w:start w:val="1"/>
      <w:numFmt w:val="bullet"/>
      <w:lvlText w:val="o"/>
      <w:lvlJc w:val="left"/>
      <w:pPr>
        <w:tabs>
          <w:tab w:val="num" w:pos="5760"/>
        </w:tabs>
        <w:ind w:left="5760" w:hanging="360"/>
      </w:pPr>
      <w:rPr>
        <w:rFonts w:ascii="Courier New" w:hAnsi="Courier New"/>
      </w:rPr>
    </w:lvl>
    <w:lvl w:ilvl="8" w:tplc="1DC215E4">
      <w:start w:val="1"/>
      <w:numFmt w:val="bullet"/>
      <w:lvlText w:val=""/>
      <w:lvlJc w:val="left"/>
      <w:pPr>
        <w:tabs>
          <w:tab w:val="num" w:pos="6480"/>
        </w:tabs>
        <w:ind w:left="6480" w:hanging="360"/>
      </w:pPr>
      <w:rPr>
        <w:rFonts w:ascii="Wingdings" w:hAnsi="Wingdings"/>
      </w:rPr>
    </w:lvl>
  </w:abstractNum>
  <w:abstractNum w:abstractNumId="106" w15:restartNumberingAfterBreak="0">
    <w:nsid w:val="7BD8677A"/>
    <w:multiLevelType w:val="hybridMultilevel"/>
    <w:tmpl w:val="7BD8677A"/>
    <w:lvl w:ilvl="0" w:tplc="6ED07C76">
      <w:start w:val="1"/>
      <w:numFmt w:val="bullet"/>
      <w:lvlText w:val=""/>
      <w:lvlJc w:val="left"/>
      <w:pPr>
        <w:ind w:left="720" w:hanging="360"/>
      </w:pPr>
      <w:rPr>
        <w:rFonts w:ascii="Symbol" w:hAnsi="Symbol"/>
      </w:rPr>
    </w:lvl>
    <w:lvl w:ilvl="1" w:tplc="2E8AE068">
      <w:start w:val="1"/>
      <w:numFmt w:val="bullet"/>
      <w:lvlText w:val="o"/>
      <w:lvlJc w:val="left"/>
      <w:pPr>
        <w:tabs>
          <w:tab w:val="num" w:pos="1440"/>
        </w:tabs>
        <w:ind w:left="1440" w:hanging="360"/>
      </w:pPr>
      <w:rPr>
        <w:rFonts w:ascii="Courier New" w:hAnsi="Courier New"/>
      </w:rPr>
    </w:lvl>
    <w:lvl w:ilvl="2" w:tplc="AF74A8E8">
      <w:start w:val="1"/>
      <w:numFmt w:val="bullet"/>
      <w:lvlText w:val=""/>
      <w:lvlJc w:val="left"/>
      <w:pPr>
        <w:tabs>
          <w:tab w:val="num" w:pos="2160"/>
        </w:tabs>
        <w:ind w:left="2160" w:hanging="360"/>
      </w:pPr>
      <w:rPr>
        <w:rFonts w:ascii="Wingdings" w:hAnsi="Wingdings"/>
      </w:rPr>
    </w:lvl>
    <w:lvl w:ilvl="3" w:tplc="660A2294">
      <w:start w:val="1"/>
      <w:numFmt w:val="bullet"/>
      <w:lvlText w:val=""/>
      <w:lvlJc w:val="left"/>
      <w:pPr>
        <w:tabs>
          <w:tab w:val="num" w:pos="2880"/>
        </w:tabs>
        <w:ind w:left="2880" w:hanging="360"/>
      </w:pPr>
      <w:rPr>
        <w:rFonts w:ascii="Symbol" w:hAnsi="Symbol"/>
      </w:rPr>
    </w:lvl>
    <w:lvl w:ilvl="4" w:tplc="FBD85436">
      <w:start w:val="1"/>
      <w:numFmt w:val="bullet"/>
      <w:lvlText w:val="o"/>
      <w:lvlJc w:val="left"/>
      <w:pPr>
        <w:tabs>
          <w:tab w:val="num" w:pos="3600"/>
        </w:tabs>
        <w:ind w:left="3600" w:hanging="360"/>
      </w:pPr>
      <w:rPr>
        <w:rFonts w:ascii="Courier New" w:hAnsi="Courier New"/>
      </w:rPr>
    </w:lvl>
    <w:lvl w:ilvl="5" w:tplc="17C686AA">
      <w:start w:val="1"/>
      <w:numFmt w:val="bullet"/>
      <w:lvlText w:val=""/>
      <w:lvlJc w:val="left"/>
      <w:pPr>
        <w:tabs>
          <w:tab w:val="num" w:pos="4320"/>
        </w:tabs>
        <w:ind w:left="4320" w:hanging="360"/>
      </w:pPr>
      <w:rPr>
        <w:rFonts w:ascii="Wingdings" w:hAnsi="Wingdings"/>
      </w:rPr>
    </w:lvl>
    <w:lvl w:ilvl="6" w:tplc="CD9460B8">
      <w:start w:val="1"/>
      <w:numFmt w:val="bullet"/>
      <w:lvlText w:val=""/>
      <w:lvlJc w:val="left"/>
      <w:pPr>
        <w:tabs>
          <w:tab w:val="num" w:pos="5040"/>
        </w:tabs>
        <w:ind w:left="5040" w:hanging="360"/>
      </w:pPr>
      <w:rPr>
        <w:rFonts w:ascii="Symbol" w:hAnsi="Symbol"/>
      </w:rPr>
    </w:lvl>
    <w:lvl w:ilvl="7" w:tplc="02389628">
      <w:start w:val="1"/>
      <w:numFmt w:val="bullet"/>
      <w:lvlText w:val="o"/>
      <w:lvlJc w:val="left"/>
      <w:pPr>
        <w:tabs>
          <w:tab w:val="num" w:pos="5760"/>
        </w:tabs>
        <w:ind w:left="5760" w:hanging="360"/>
      </w:pPr>
      <w:rPr>
        <w:rFonts w:ascii="Courier New" w:hAnsi="Courier New"/>
      </w:rPr>
    </w:lvl>
    <w:lvl w:ilvl="8" w:tplc="0DA02A00">
      <w:start w:val="1"/>
      <w:numFmt w:val="bullet"/>
      <w:lvlText w:val=""/>
      <w:lvlJc w:val="left"/>
      <w:pPr>
        <w:tabs>
          <w:tab w:val="num" w:pos="6480"/>
        </w:tabs>
        <w:ind w:left="6480" w:hanging="360"/>
      </w:pPr>
      <w:rPr>
        <w:rFonts w:ascii="Wingdings" w:hAnsi="Wingdings"/>
      </w:rPr>
    </w:lvl>
  </w:abstractNum>
  <w:abstractNum w:abstractNumId="107" w15:restartNumberingAfterBreak="0">
    <w:nsid w:val="7BD8677B"/>
    <w:multiLevelType w:val="hybridMultilevel"/>
    <w:tmpl w:val="7BD8677B"/>
    <w:lvl w:ilvl="0" w:tplc="30C68092">
      <w:start w:val="1"/>
      <w:numFmt w:val="bullet"/>
      <w:lvlText w:val=""/>
      <w:lvlJc w:val="left"/>
      <w:pPr>
        <w:ind w:left="720" w:hanging="360"/>
      </w:pPr>
      <w:rPr>
        <w:rFonts w:ascii="Symbol" w:hAnsi="Symbol"/>
      </w:rPr>
    </w:lvl>
    <w:lvl w:ilvl="1" w:tplc="EE969158">
      <w:start w:val="1"/>
      <w:numFmt w:val="bullet"/>
      <w:lvlText w:val="o"/>
      <w:lvlJc w:val="left"/>
      <w:pPr>
        <w:tabs>
          <w:tab w:val="num" w:pos="1440"/>
        </w:tabs>
        <w:ind w:left="1440" w:hanging="360"/>
      </w:pPr>
      <w:rPr>
        <w:rFonts w:ascii="Courier New" w:hAnsi="Courier New"/>
      </w:rPr>
    </w:lvl>
    <w:lvl w:ilvl="2" w:tplc="749021D0">
      <w:start w:val="1"/>
      <w:numFmt w:val="bullet"/>
      <w:lvlText w:val=""/>
      <w:lvlJc w:val="left"/>
      <w:pPr>
        <w:tabs>
          <w:tab w:val="num" w:pos="2160"/>
        </w:tabs>
        <w:ind w:left="2160" w:hanging="360"/>
      </w:pPr>
      <w:rPr>
        <w:rFonts w:ascii="Wingdings" w:hAnsi="Wingdings"/>
      </w:rPr>
    </w:lvl>
    <w:lvl w:ilvl="3" w:tplc="85DE07CC">
      <w:start w:val="1"/>
      <w:numFmt w:val="bullet"/>
      <w:lvlText w:val=""/>
      <w:lvlJc w:val="left"/>
      <w:pPr>
        <w:tabs>
          <w:tab w:val="num" w:pos="2880"/>
        </w:tabs>
        <w:ind w:left="2880" w:hanging="360"/>
      </w:pPr>
      <w:rPr>
        <w:rFonts w:ascii="Symbol" w:hAnsi="Symbol"/>
      </w:rPr>
    </w:lvl>
    <w:lvl w:ilvl="4" w:tplc="8A406266">
      <w:start w:val="1"/>
      <w:numFmt w:val="bullet"/>
      <w:lvlText w:val="o"/>
      <w:lvlJc w:val="left"/>
      <w:pPr>
        <w:tabs>
          <w:tab w:val="num" w:pos="3600"/>
        </w:tabs>
        <w:ind w:left="3600" w:hanging="360"/>
      </w:pPr>
      <w:rPr>
        <w:rFonts w:ascii="Courier New" w:hAnsi="Courier New"/>
      </w:rPr>
    </w:lvl>
    <w:lvl w:ilvl="5" w:tplc="4A168140">
      <w:start w:val="1"/>
      <w:numFmt w:val="bullet"/>
      <w:lvlText w:val=""/>
      <w:lvlJc w:val="left"/>
      <w:pPr>
        <w:tabs>
          <w:tab w:val="num" w:pos="4320"/>
        </w:tabs>
        <w:ind w:left="4320" w:hanging="360"/>
      </w:pPr>
      <w:rPr>
        <w:rFonts w:ascii="Wingdings" w:hAnsi="Wingdings"/>
      </w:rPr>
    </w:lvl>
    <w:lvl w:ilvl="6" w:tplc="FAC4B51E">
      <w:start w:val="1"/>
      <w:numFmt w:val="bullet"/>
      <w:lvlText w:val=""/>
      <w:lvlJc w:val="left"/>
      <w:pPr>
        <w:tabs>
          <w:tab w:val="num" w:pos="5040"/>
        </w:tabs>
        <w:ind w:left="5040" w:hanging="360"/>
      </w:pPr>
      <w:rPr>
        <w:rFonts w:ascii="Symbol" w:hAnsi="Symbol"/>
      </w:rPr>
    </w:lvl>
    <w:lvl w:ilvl="7" w:tplc="BE4E5B84">
      <w:start w:val="1"/>
      <w:numFmt w:val="bullet"/>
      <w:lvlText w:val="o"/>
      <w:lvlJc w:val="left"/>
      <w:pPr>
        <w:tabs>
          <w:tab w:val="num" w:pos="5760"/>
        </w:tabs>
        <w:ind w:left="5760" w:hanging="360"/>
      </w:pPr>
      <w:rPr>
        <w:rFonts w:ascii="Courier New" w:hAnsi="Courier New"/>
      </w:rPr>
    </w:lvl>
    <w:lvl w:ilvl="8" w:tplc="35846F18">
      <w:start w:val="1"/>
      <w:numFmt w:val="bullet"/>
      <w:lvlText w:val=""/>
      <w:lvlJc w:val="left"/>
      <w:pPr>
        <w:tabs>
          <w:tab w:val="num" w:pos="6480"/>
        </w:tabs>
        <w:ind w:left="6480" w:hanging="360"/>
      </w:pPr>
      <w:rPr>
        <w:rFonts w:ascii="Wingdings" w:hAnsi="Wingdings"/>
      </w:rPr>
    </w:lvl>
  </w:abstractNum>
  <w:abstractNum w:abstractNumId="108" w15:restartNumberingAfterBreak="0">
    <w:nsid w:val="7BD8677D"/>
    <w:multiLevelType w:val="hybridMultilevel"/>
    <w:tmpl w:val="7BD8677D"/>
    <w:lvl w:ilvl="0" w:tplc="22B0FE5C">
      <w:start w:val="1"/>
      <w:numFmt w:val="bullet"/>
      <w:lvlText w:val=""/>
      <w:lvlJc w:val="left"/>
      <w:pPr>
        <w:ind w:left="720" w:hanging="360"/>
      </w:pPr>
      <w:rPr>
        <w:rFonts w:ascii="Symbol" w:hAnsi="Symbol"/>
      </w:rPr>
    </w:lvl>
    <w:lvl w:ilvl="1" w:tplc="A90CD0E8">
      <w:start w:val="1"/>
      <w:numFmt w:val="bullet"/>
      <w:lvlText w:val="o"/>
      <w:lvlJc w:val="left"/>
      <w:pPr>
        <w:tabs>
          <w:tab w:val="num" w:pos="1440"/>
        </w:tabs>
        <w:ind w:left="1440" w:hanging="360"/>
      </w:pPr>
      <w:rPr>
        <w:rFonts w:ascii="Courier New" w:hAnsi="Courier New"/>
      </w:rPr>
    </w:lvl>
    <w:lvl w:ilvl="2" w:tplc="E37A5CF8">
      <w:start w:val="1"/>
      <w:numFmt w:val="bullet"/>
      <w:lvlText w:val=""/>
      <w:lvlJc w:val="left"/>
      <w:pPr>
        <w:tabs>
          <w:tab w:val="num" w:pos="2160"/>
        </w:tabs>
        <w:ind w:left="2160" w:hanging="360"/>
      </w:pPr>
      <w:rPr>
        <w:rFonts w:ascii="Wingdings" w:hAnsi="Wingdings"/>
      </w:rPr>
    </w:lvl>
    <w:lvl w:ilvl="3" w:tplc="2506B566">
      <w:start w:val="1"/>
      <w:numFmt w:val="bullet"/>
      <w:lvlText w:val=""/>
      <w:lvlJc w:val="left"/>
      <w:pPr>
        <w:tabs>
          <w:tab w:val="num" w:pos="2880"/>
        </w:tabs>
        <w:ind w:left="2880" w:hanging="360"/>
      </w:pPr>
      <w:rPr>
        <w:rFonts w:ascii="Symbol" w:hAnsi="Symbol"/>
      </w:rPr>
    </w:lvl>
    <w:lvl w:ilvl="4" w:tplc="84B4937C">
      <w:start w:val="1"/>
      <w:numFmt w:val="bullet"/>
      <w:lvlText w:val="o"/>
      <w:lvlJc w:val="left"/>
      <w:pPr>
        <w:tabs>
          <w:tab w:val="num" w:pos="3600"/>
        </w:tabs>
        <w:ind w:left="3600" w:hanging="360"/>
      </w:pPr>
      <w:rPr>
        <w:rFonts w:ascii="Courier New" w:hAnsi="Courier New"/>
      </w:rPr>
    </w:lvl>
    <w:lvl w:ilvl="5" w:tplc="68A89422">
      <w:start w:val="1"/>
      <w:numFmt w:val="bullet"/>
      <w:lvlText w:val=""/>
      <w:lvlJc w:val="left"/>
      <w:pPr>
        <w:tabs>
          <w:tab w:val="num" w:pos="4320"/>
        </w:tabs>
        <w:ind w:left="4320" w:hanging="360"/>
      </w:pPr>
      <w:rPr>
        <w:rFonts w:ascii="Wingdings" w:hAnsi="Wingdings"/>
      </w:rPr>
    </w:lvl>
    <w:lvl w:ilvl="6" w:tplc="70EC8F72">
      <w:start w:val="1"/>
      <w:numFmt w:val="bullet"/>
      <w:lvlText w:val=""/>
      <w:lvlJc w:val="left"/>
      <w:pPr>
        <w:tabs>
          <w:tab w:val="num" w:pos="5040"/>
        </w:tabs>
        <w:ind w:left="5040" w:hanging="360"/>
      </w:pPr>
      <w:rPr>
        <w:rFonts w:ascii="Symbol" w:hAnsi="Symbol"/>
      </w:rPr>
    </w:lvl>
    <w:lvl w:ilvl="7" w:tplc="98C668A4">
      <w:start w:val="1"/>
      <w:numFmt w:val="bullet"/>
      <w:lvlText w:val="o"/>
      <w:lvlJc w:val="left"/>
      <w:pPr>
        <w:tabs>
          <w:tab w:val="num" w:pos="5760"/>
        </w:tabs>
        <w:ind w:left="5760" w:hanging="360"/>
      </w:pPr>
      <w:rPr>
        <w:rFonts w:ascii="Courier New" w:hAnsi="Courier New"/>
      </w:rPr>
    </w:lvl>
    <w:lvl w:ilvl="8" w:tplc="EB7A2A5C">
      <w:start w:val="1"/>
      <w:numFmt w:val="bullet"/>
      <w:lvlText w:val=""/>
      <w:lvlJc w:val="left"/>
      <w:pPr>
        <w:tabs>
          <w:tab w:val="num" w:pos="6480"/>
        </w:tabs>
        <w:ind w:left="6480" w:hanging="360"/>
      </w:pPr>
      <w:rPr>
        <w:rFonts w:ascii="Wingdings" w:hAnsi="Wingdings"/>
      </w:rPr>
    </w:lvl>
  </w:abstractNum>
  <w:abstractNum w:abstractNumId="109" w15:restartNumberingAfterBreak="0">
    <w:nsid w:val="7BD8677E"/>
    <w:multiLevelType w:val="hybridMultilevel"/>
    <w:tmpl w:val="7BD8677E"/>
    <w:lvl w:ilvl="0" w:tplc="A9C8E6D8">
      <w:start w:val="1"/>
      <w:numFmt w:val="bullet"/>
      <w:lvlText w:val=""/>
      <w:lvlJc w:val="left"/>
      <w:pPr>
        <w:ind w:left="720" w:hanging="360"/>
      </w:pPr>
      <w:rPr>
        <w:rFonts w:ascii="Symbol" w:hAnsi="Symbol"/>
      </w:rPr>
    </w:lvl>
    <w:lvl w:ilvl="1" w:tplc="B358A834">
      <w:start w:val="1"/>
      <w:numFmt w:val="bullet"/>
      <w:lvlText w:val="o"/>
      <w:lvlJc w:val="left"/>
      <w:pPr>
        <w:tabs>
          <w:tab w:val="num" w:pos="1440"/>
        </w:tabs>
        <w:ind w:left="1440" w:hanging="360"/>
      </w:pPr>
      <w:rPr>
        <w:rFonts w:ascii="Courier New" w:hAnsi="Courier New"/>
      </w:rPr>
    </w:lvl>
    <w:lvl w:ilvl="2" w:tplc="719AB32E">
      <w:start w:val="1"/>
      <w:numFmt w:val="bullet"/>
      <w:lvlText w:val=""/>
      <w:lvlJc w:val="left"/>
      <w:pPr>
        <w:tabs>
          <w:tab w:val="num" w:pos="2160"/>
        </w:tabs>
        <w:ind w:left="2160" w:hanging="360"/>
      </w:pPr>
      <w:rPr>
        <w:rFonts w:ascii="Wingdings" w:hAnsi="Wingdings"/>
      </w:rPr>
    </w:lvl>
    <w:lvl w:ilvl="3" w:tplc="754673A2">
      <w:start w:val="1"/>
      <w:numFmt w:val="bullet"/>
      <w:lvlText w:val=""/>
      <w:lvlJc w:val="left"/>
      <w:pPr>
        <w:tabs>
          <w:tab w:val="num" w:pos="2880"/>
        </w:tabs>
        <w:ind w:left="2880" w:hanging="360"/>
      </w:pPr>
      <w:rPr>
        <w:rFonts w:ascii="Symbol" w:hAnsi="Symbol"/>
      </w:rPr>
    </w:lvl>
    <w:lvl w:ilvl="4" w:tplc="7E480E1A">
      <w:start w:val="1"/>
      <w:numFmt w:val="bullet"/>
      <w:lvlText w:val="o"/>
      <w:lvlJc w:val="left"/>
      <w:pPr>
        <w:tabs>
          <w:tab w:val="num" w:pos="3600"/>
        </w:tabs>
        <w:ind w:left="3600" w:hanging="360"/>
      </w:pPr>
      <w:rPr>
        <w:rFonts w:ascii="Courier New" w:hAnsi="Courier New"/>
      </w:rPr>
    </w:lvl>
    <w:lvl w:ilvl="5" w:tplc="72082BF0">
      <w:start w:val="1"/>
      <w:numFmt w:val="bullet"/>
      <w:lvlText w:val=""/>
      <w:lvlJc w:val="left"/>
      <w:pPr>
        <w:tabs>
          <w:tab w:val="num" w:pos="4320"/>
        </w:tabs>
        <w:ind w:left="4320" w:hanging="360"/>
      </w:pPr>
      <w:rPr>
        <w:rFonts w:ascii="Wingdings" w:hAnsi="Wingdings"/>
      </w:rPr>
    </w:lvl>
    <w:lvl w:ilvl="6" w:tplc="225C8D12">
      <w:start w:val="1"/>
      <w:numFmt w:val="bullet"/>
      <w:lvlText w:val=""/>
      <w:lvlJc w:val="left"/>
      <w:pPr>
        <w:tabs>
          <w:tab w:val="num" w:pos="5040"/>
        </w:tabs>
        <w:ind w:left="5040" w:hanging="360"/>
      </w:pPr>
      <w:rPr>
        <w:rFonts w:ascii="Symbol" w:hAnsi="Symbol"/>
      </w:rPr>
    </w:lvl>
    <w:lvl w:ilvl="7" w:tplc="5E149F58">
      <w:start w:val="1"/>
      <w:numFmt w:val="bullet"/>
      <w:lvlText w:val="o"/>
      <w:lvlJc w:val="left"/>
      <w:pPr>
        <w:tabs>
          <w:tab w:val="num" w:pos="5760"/>
        </w:tabs>
        <w:ind w:left="5760" w:hanging="360"/>
      </w:pPr>
      <w:rPr>
        <w:rFonts w:ascii="Courier New" w:hAnsi="Courier New"/>
      </w:rPr>
    </w:lvl>
    <w:lvl w:ilvl="8" w:tplc="81F89B60">
      <w:start w:val="1"/>
      <w:numFmt w:val="bullet"/>
      <w:lvlText w:val=""/>
      <w:lvlJc w:val="left"/>
      <w:pPr>
        <w:tabs>
          <w:tab w:val="num" w:pos="6480"/>
        </w:tabs>
        <w:ind w:left="6480" w:hanging="360"/>
      </w:pPr>
      <w:rPr>
        <w:rFonts w:ascii="Wingdings" w:hAnsi="Wingdings"/>
      </w:rPr>
    </w:lvl>
  </w:abstractNum>
  <w:abstractNum w:abstractNumId="110" w15:restartNumberingAfterBreak="0">
    <w:nsid w:val="7BD8677F"/>
    <w:multiLevelType w:val="hybridMultilevel"/>
    <w:tmpl w:val="7BD8677F"/>
    <w:lvl w:ilvl="0" w:tplc="57B65932">
      <w:start w:val="1"/>
      <w:numFmt w:val="bullet"/>
      <w:lvlText w:val=""/>
      <w:lvlJc w:val="left"/>
      <w:pPr>
        <w:ind w:left="720" w:hanging="360"/>
      </w:pPr>
      <w:rPr>
        <w:rFonts w:ascii="Symbol" w:hAnsi="Symbol"/>
      </w:rPr>
    </w:lvl>
    <w:lvl w:ilvl="1" w:tplc="50041864">
      <w:start w:val="1"/>
      <w:numFmt w:val="bullet"/>
      <w:lvlText w:val="o"/>
      <w:lvlJc w:val="left"/>
      <w:pPr>
        <w:tabs>
          <w:tab w:val="num" w:pos="1440"/>
        </w:tabs>
        <w:ind w:left="1440" w:hanging="360"/>
      </w:pPr>
      <w:rPr>
        <w:rFonts w:ascii="Courier New" w:hAnsi="Courier New"/>
      </w:rPr>
    </w:lvl>
    <w:lvl w:ilvl="2" w:tplc="F1C4887A">
      <w:start w:val="1"/>
      <w:numFmt w:val="bullet"/>
      <w:lvlText w:val=""/>
      <w:lvlJc w:val="left"/>
      <w:pPr>
        <w:tabs>
          <w:tab w:val="num" w:pos="2160"/>
        </w:tabs>
        <w:ind w:left="2160" w:hanging="360"/>
      </w:pPr>
      <w:rPr>
        <w:rFonts w:ascii="Wingdings" w:hAnsi="Wingdings"/>
      </w:rPr>
    </w:lvl>
    <w:lvl w:ilvl="3" w:tplc="1E680170">
      <w:start w:val="1"/>
      <w:numFmt w:val="bullet"/>
      <w:lvlText w:val=""/>
      <w:lvlJc w:val="left"/>
      <w:pPr>
        <w:tabs>
          <w:tab w:val="num" w:pos="2880"/>
        </w:tabs>
        <w:ind w:left="2880" w:hanging="360"/>
      </w:pPr>
      <w:rPr>
        <w:rFonts w:ascii="Symbol" w:hAnsi="Symbol"/>
      </w:rPr>
    </w:lvl>
    <w:lvl w:ilvl="4" w:tplc="62C0E42A">
      <w:start w:val="1"/>
      <w:numFmt w:val="bullet"/>
      <w:lvlText w:val="o"/>
      <w:lvlJc w:val="left"/>
      <w:pPr>
        <w:tabs>
          <w:tab w:val="num" w:pos="3600"/>
        </w:tabs>
        <w:ind w:left="3600" w:hanging="360"/>
      </w:pPr>
      <w:rPr>
        <w:rFonts w:ascii="Courier New" w:hAnsi="Courier New"/>
      </w:rPr>
    </w:lvl>
    <w:lvl w:ilvl="5" w:tplc="C79C21E0">
      <w:start w:val="1"/>
      <w:numFmt w:val="bullet"/>
      <w:lvlText w:val=""/>
      <w:lvlJc w:val="left"/>
      <w:pPr>
        <w:tabs>
          <w:tab w:val="num" w:pos="4320"/>
        </w:tabs>
        <w:ind w:left="4320" w:hanging="360"/>
      </w:pPr>
      <w:rPr>
        <w:rFonts w:ascii="Wingdings" w:hAnsi="Wingdings"/>
      </w:rPr>
    </w:lvl>
    <w:lvl w:ilvl="6" w:tplc="002E52AC">
      <w:start w:val="1"/>
      <w:numFmt w:val="bullet"/>
      <w:lvlText w:val=""/>
      <w:lvlJc w:val="left"/>
      <w:pPr>
        <w:tabs>
          <w:tab w:val="num" w:pos="5040"/>
        </w:tabs>
        <w:ind w:left="5040" w:hanging="360"/>
      </w:pPr>
      <w:rPr>
        <w:rFonts w:ascii="Symbol" w:hAnsi="Symbol"/>
      </w:rPr>
    </w:lvl>
    <w:lvl w:ilvl="7" w:tplc="20BAECCA">
      <w:start w:val="1"/>
      <w:numFmt w:val="bullet"/>
      <w:lvlText w:val="o"/>
      <w:lvlJc w:val="left"/>
      <w:pPr>
        <w:tabs>
          <w:tab w:val="num" w:pos="5760"/>
        </w:tabs>
        <w:ind w:left="5760" w:hanging="360"/>
      </w:pPr>
      <w:rPr>
        <w:rFonts w:ascii="Courier New" w:hAnsi="Courier New"/>
      </w:rPr>
    </w:lvl>
    <w:lvl w:ilvl="8" w:tplc="ABE03AAE">
      <w:start w:val="1"/>
      <w:numFmt w:val="bullet"/>
      <w:lvlText w:val=""/>
      <w:lvlJc w:val="left"/>
      <w:pPr>
        <w:tabs>
          <w:tab w:val="num" w:pos="6480"/>
        </w:tabs>
        <w:ind w:left="6480" w:hanging="360"/>
      </w:pPr>
      <w:rPr>
        <w:rFonts w:ascii="Wingdings" w:hAnsi="Wingdings"/>
      </w:rPr>
    </w:lvl>
  </w:abstractNum>
  <w:abstractNum w:abstractNumId="111" w15:restartNumberingAfterBreak="0">
    <w:nsid w:val="7EEC6C3A"/>
    <w:multiLevelType w:val="hybridMultilevel"/>
    <w:tmpl w:val="7BD86776"/>
    <w:lvl w:ilvl="0" w:tplc="2064E6C6">
      <w:start w:val="1"/>
      <w:numFmt w:val="bullet"/>
      <w:lvlText w:val=""/>
      <w:lvlJc w:val="left"/>
      <w:pPr>
        <w:ind w:left="720" w:hanging="360"/>
      </w:pPr>
      <w:rPr>
        <w:rFonts w:ascii="Symbol" w:hAnsi="Symbol"/>
      </w:rPr>
    </w:lvl>
    <w:lvl w:ilvl="1" w:tplc="CD56071C">
      <w:start w:val="1"/>
      <w:numFmt w:val="bullet"/>
      <w:lvlText w:val="o"/>
      <w:lvlJc w:val="left"/>
      <w:pPr>
        <w:ind w:left="1440" w:hanging="360"/>
      </w:pPr>
      <w:rPr>
        <w:rFonts w:ascii="Courier New" w:hAnsi="Courier New"/>
      </w:rPr>
    </w:lvl>
    <w:lvl w:ilvl="2" w:tplc="1D70CFC4">
      <w:start w:val="1"/>
      <w:numFmt w:val="bullet"/>
      <w:lvlText w:val=""/>
      <w:lvlJc w:val="left"/>
      <w:pPr>
        <w:tabs>
          <w:tab w:val="num" w:pos="2160"/>
        </w:tabs>
        <w:ind w:left="2160" w:hanging="360"/>
      </w:pPr>
      <w:rPr>
        <w:rFonts w:ascii="Wingdings" w:hAnsi="Wingdings"/>
      </w:rPr>
    </w:lvl>
    <w:lvl w:ilvl="3" w:tplc="35648B84">
      <w:start w:val="1"/>
      <w:numFmt w:val="bullet"/>
      <w:lvlText w:val=""/>
      <w:lvlJc w:val="left"/>
      <w:pPr>
        <w:tabs>
          <w:tab w:val="num" w:pos="2880"/>
        </w:tabs>
        <w:ind w:left="2880" w:hanging="360"/>
      </w:pPr>
      <w:rPr>
        <w:rFonts w:ascii="Symbol" w:hAnsi="Symbol"/>
      </w:rPr>
    </w:lvl>
    <w:lvl w:ilvl="4" w:tplc="E668CCE6">
      <w:start w:val="1"/>
      <w:numFmt w:val="bullet"/>
      <w:lvlText w:val="o"/>
      <w:lvlJc w:val="left"/>
      <w:pPr>
        <w:tabs>
          <w:tab w:val="num" w:pos="3600"/>
        </w:tabs>
        <w:ind w:left="3600" w:hanging="360"/>
      </w:pPr>
      <w:rPr>
        <w:rFonts w:ascii="Courier New" w:hAnsi="Courier New"/>
      </w:rPr>
    </w:lvl>
    <w:lvl w:ilvl="5" w:tplc="1E52A784">
      <w:start w:val="1"/>
      <w:numFmt w:val="bullet"/>
      <w:lvlText w:val=""/>
      <w:lvlJc w:val="left"/>
      <w:pPr>
        <w:tabs>
          <w:tab w:val="num" w:pos="4320"/>
        </w:tabs>
        <w:ind w:left="4320" w:hanging="360"/>
      </w:pPr>
      <w:rPr>
        <w:rFonts w:ascii="Wingdings" w:hAnsi="Wingdings"/>
      </w:rPr>
    </w:lvl>
    <w:lvl w:ilvl="6" w:tplc="0AE423A2">
      <w:start w:val="1"/>
      <w:numFmt w:val="bullet"/>
      <w:lvlText w:val=""/>
      <w:lvlJc w:val="left"/>
      <w:pPr>
        <w:tabs>
          <w:tab w:val="num" w:pos="5040"/>
        </w:tabs>
        <w:ind w:left="5040" w:hanging="360"/>
      </w:pPr>
      <w:rPr>
        <w:rFonts w:ascii="Symbol" w:hAnsi="Symbol"/>
      </w:rPr>
    </w:lvl>
    <w:lvl w:ilvl="7" w:tplc="6C8EDC10">
      <w:start w:val="1"/>
      <w:numFmt w:val="bullet"/>
      <w:lvlText w:val="o"/>
      <w:lvlJc w:val="left"/>
      <w:pPr>
        <w:tabs>
          <w:tab w:val="num" w:pos="5760"/>
        </w:tabs>
        <w:ind w:left="5760" w:hanging="360"/>
      </w:pPr>
      <w:rPr>
        <w:rFonts w:ascii="Courier New" w:hAnsi="Courier New"/>
      </w:rPr>
    </w:lvl>
    <w:lvl w:ilvl="8" w:tplc="E8127928">
      <w:start w:val="1"/>
      <w:numFmt w:val="bullet"/>
      <w:lvlText w:val=""/>
      <w:lvlJc w:val="left"/>
      <w:pPr>
        <w:tabs>
          <w:tab w:val="num" w:pos="6480"/>
        </w:tabs>
        <w:ind w:left="6480" w:hanging="360"/>
      </w:pPr>
      <w:rPr>
        <w:rFonts w:ascii="Wingdings" w:hAnsi="Wingdings"/>
      </w:rPr>
    </w:lvl>
  </w:abstractNum>
  <w:num w:numId="1" w16cid:durableId="251546897">
    <w:abstractNumId w:val="28"/>
  </w:num>
  <w:num w:numId="2" w16cid:durableId="1799255730">
    <w:abstractNumId w:val="90"/>
  </w:num>
  <w:num w:numId="3" w16cid:durableId="589505699">
    <w:abstractNumId w:val="96"/>
  </w:num>
  <w:num w:numId="4" w16cid:durableId="1878200726">
    <w:abstractNumId w:val="86"/>
  </w:num>
  <w:num w:numId="5" w16cid:durableId="721636011">
    <w:abstractNumId w:val="91"/>
  </w:num>
  <w:num w:numId="6" w16cid:durableId="1987008379">
    <w:abstractNumId w:val="66"/>
  </w:num>
  <w:num w:numId="7" w16cid:durableId="1051803284">
    <w:abstractNumId w:val="41"/>
  </w:num>
  <w:num w:numId="8" w16cid:durableId="1584336905">
    <w:abstractNumId w:val="15"/>
  </w:num>
  <w:num w:numId="9" w16cid:durableId="1285044297">
    <w:abstractNumId w:val="40"/>
  </w:num>
  <w:num w:numId="10" w16cid:durableId="784348136">
    <w:abstractNumId w:val="47"/>
  </w:num>
  <w:num w:numId="11" w16cid:durableId="1529292312">
    <w:abstractNumId w:val="25"/>
  </w:num>
  <w:num w:numId="12" w16cid:durableId="202326933">
    <w:abstractNumId w:val="87"/>
  </w:num>
  <w:num w:numId="13" w16cid:durableId="326634006">
    <w:abstractNumId w:val="6"/>
  </w:num>
  <w:num w:numId="14" w16cid:durableId="1359625439">
    <w:abstractNumId w:val="85"/>
  </w:num>
  <w:num w:numId="15" w16cid:durableId="147332063">
    <w:abstractNumId w:val="67"/>
  </w:num>
  <w:num w:numId="16" w16cid:durableId="1540821822">
    <w:abstractNumId w:val="31"/>
  </w:num>
  <w:num w:numId="17" w16cid:durableId="857112529">
    <w:abstractNumId w:val="93"/>
  </w:num>
  <w:num w:numId="18" w16cid:durableId="13001654">
    <w:abstractNumId w:val="77"/>
  </w:num>
  <w:num w:numId="19" w16cid:durableId="352197130">
    <w:abstractNumId w:val="11"/>
  </w:num>
  <w:num w:numId="20" w16cid:durableId="1570536683">
    <w:abstractNumId w:val="23"/>
  </w:num>
  <w:num w:numId="21" w16cid:durableId="437261054">
    <w:abstractNumId w:val="0"/>
  </w:num>
  <w:num w:numId="22" w16cid:durableId="1449398644">
    <w:abstractNumId w:val="33"/>
  </w:num>
  <w:num w:numId="23" w16cid:durableId="1357807605">
    <w:abstractNumId w:val="49"/>
  </w:num>
  <w:num w:numId="24" w16cid:durableId="1440829988">
    <w:abstractNumId w:val="36"/>
  </w:num>
  <w:num w:numId="25" w16cid:durableId="2070498365">
    <w:abstractNumId w:val="89"/>
  </w:num>
  <w:num w:numId="26" w16cid:durableId="1996950935">
    <w:abstractNumId w:val="13"/>
  </w:num>
  <w:num w:numId="27" w16cid:durableId="485441392">
    <w:abstractNumId w:val="13"/>
    <w:lvlOverride w:ilvl="0">
      <w:startOverride w:val="1"/>
    </w:lvlOverride>
  </w:num>
  <w:num w:numId="28" w16cid:durableId="920722291">
    <w:abstractNumId w:val="13"/>
    <w:lvlOverride w:ilvl="0">
      <w:startOverride w:val="1"/>
    </w:lvlOverride>
  </w:num>
  <w:num w:numId="29" w16cid:durableId="1762867804">
    <w:abstractNumId w:val="13"/>
    <w:lvlOverride w:ilvl="0">
      <w:startOverride w:val="1"/>
    </w:lvlOverride>
  </w:num>
  <w:num w:numId="30" w16cid:durableId="832138906">
    <w:abstractNumId w:val="13"/>
    <w:lvlOverride w:ilvl="0">
      <w:startOverride w:val="1"/>
    </w:lvlOverride>
  </w:num>
  <w:num w:numId="31" w16cid:durableId="1114326811">
    <w:abstractNumId w:val="13"/>
    <w:lvlOverride w:ilvl="0">
      <w:startOverride w:val="1"/>
    </w:lvlOverride>
  </w:num>
  <w:num w:numId="32" w16cid:durableId="1406298299">
    <w:abstractNumId w:val="13"/>
    <w:lvlOverride w:ilvl="0">
      <w:startOverride w:val="1"/>
    </w:lvlOverride>
  </w:num>
  <w:num w:numId="33" w16cid:durableId="505171499">
    <w:abstractNumId w:val="84"/>
  </w:num>
  <w:num w:numId="34" w16cid:durableId="1491405745">
    <w:abstractNumId w:val="13"/>
    <w:lvlOverride w:ilvl="0">
      <w:startOverride w:val="1"/>
    </w:lvlOverride>
  </w:num>
  <w:num w:numId="35" w16cid:durableId="59791842">
    <w:abstractNumId w:val="13"/>
    <w:lvlOverride w:ilvl="0">
      <w:startOverride w:val="1"/>
    </w:lvlOverride>
  </w:num>
  <w:num w:numId="36" w16cid:durableId="1653682436">
    <w:abstractNumId w:val="13"/>
    <w:lvlOverride w:ilvl="0">
      <w:startOverride w:val="1"/>
    </w:lvlOverride>
  </w:num>
  <w:num w:numId="37" w16cid:durableId="298265896">
    <w:abstractNumId w:val="13"/>
    <w:lvlOverride w:ilvl="0">
      <w:startOverride w:val="1"/>
    </w:lvlOverride>
  </w:num>
  <w:num w:numId="38" w16cid:durableId="370344636">
    <w:abstractNumId w:val="13"/>
    <w:lvlOverride w:ilvl="0">
      <w:startOverride w:val="1"/>
    </w:lvlOverride>
  </w:num>
  <w:num w:numId="39" w16cid:durableId="1850752311">
    <w:abstractNumId w:val="46"/>
  </w:num>
  <w:num w:numId="40" w16cid:durableId="1388727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85763124">
    <w:abstractNumId w:val="92"/>
  </w:num>
  <w:num w:numId="42" w16cid:durableId="100028059">
    <w:abstractNumId w:val="78"/>
  </w:num>
  <w:num w:numId="43" w16cid:durableId="1180049247">
    <w:abstractNumId w:val="2"/>
  </w:num>
  <w:num w:numId="44" w16cid:durableId="1390419503">
    <w:abstractNumId w:val="60"/>
  </w:num>
  <w:num w:numId="45" w16cid:durableId="1533687582">
    <w:abstractNumId w:val="45"/>
  </w:num>
  <w:num w:numId="46" w16cid:durableId="1877814020">
    <w:abstractNumId w:val="65"/>
  </w:num>
  <w:num w:numId="47" w16cid:durableId="2083016464">
    <w:abstractNumId w:val="4"/>
  </w:num>
  <w:num w:numId="48" w16cid:durableId="1677078126">
    <w:abstractNumId w:val="20"/>
  </w:num>
  <w:num w:numId="49" w16cid:durableId="569199094">
    <w:abstractNumId w:val="39"/>
  </w:num>
  <w:num w:numId="50" w16cid:durableId="843520383">
    <w:abstractNumId w:val="71"/>
  </w:num>
  <w:num w:numId="51" w16cid:durableId="2128818112">
    <w:abstractNumId w:val="74"/>
  </w:num>
  <w:num w:numId="52" w16cid:durableId="1288051549">
    <w:abstractNumId w:val="99"/>
  </w:num>
  <w:num w:numId="53" w16cid:durableId="757748532">
    <w:abstractNumId w:val="51"/>
  </w:num>
  <w:num w:numId="54" w16cid:durableId="633491202">
    <w:abstractNumId w:val="24"/>
  </w:num>
  <w:num w:numId="55" w16cid:durableId="1434201192">
    <w:abstractNumId w:val="54"/>
  </w:num>
  <w:num w:numId="56" w16cid:durableId="203753127">
    <w:abstractNumId w:val="100"/>
  </w:num>
  <w:num w:numId="57" w16cid:durableId="670256807">
    <w:abstractNumId w:val="22"/>
  </w:num>
  <w:num w:numId="58" w16cid:durableId="1715150628">
    <w:abstractNumId w:val="101"/>
  </w:num>
  <w:num w:numId="59" w16cid:durableId="233012695">
    <w:abstractNumId w:val="75"/>
  </w:num>
  <w:num w:numId="60" w16cid:durableId="1228956707">
    <w:abstractNumId w:val="102"/>
  </w:num>
  <w:num w:numId="61" w16cid:durableId="910232475">
    <w:abstractNumId w:val="103"/>
  </w:num>
  <w:num w:numId="62" w16cid:durableId="1568110527">
    <w:abstractNumId w:val="111"/>
  </w:num>
  <w:num w:numId="63" w16cid:durableId="1281693062">
    <w:abstractNumId w:val="8"/>
  </w:num>
  <w:num w:numId="64" w16cid:durableId="76291048">
    <w:abstractNumId w:val="61"/>
  </w:num>
  <w:num w:numId="65" w16cid:durableId="808596164">
    <w:abstractNumId w:val="104"/>
  </w:num>
  <w:num w:numId="66" w16cid:durableId="211385116">
    <w:abstractNumId w:val="21"/>
  </w:num>
  <w:num w:numId="67" w16cid:durableId="1711104653">
    <w:abstractNumId w:val="98"/>
  </w:num>
  <w:num w:numId="68" w16cid:durableId="659698437">
    <w:abstractNumId w:val="105"/>
  </w:num>
  <w:num w:numId="69" w16cid:durableId="1801265833">
    <w:abstractNumId w:val="106"/>
  </w:num>
  <w:num w:numId="70" w16cid:durableId="1129737473">
    <w:abstractNumId w:val="68"/>
  </w:num>
  <w:num w:numId="71" w16cid:durableId="1360735297">
    <w:abstractNumId w:val="30"/>
  </w:num>
  <w:num w:numId="72" w16cid:durableId="116217208">
    <w:abstractNumId w:val="107"/>
  </w:num>
  <w:num w:numId="73" w16cid:durableId="807239116">
    <w:abstractNumId w:val="108"/>
  </w:num>
  <w:num w:numId="74" w16cid:durableId="2029217157">
    <w:abstractNumId w:val="109"/>
  </w:num>
  <w:num w:numId="75" w16cid:durableId="1640302755">
    <w:abstractNumId w:val="26"/>
  </w:num>
  <w:num w:numId="76" w16cid:durableId="1245843345">
    <w:abstractNumId w:val="63"/>
  </w:num>
  <w:num w:numId="77" w16cid:durableId="1574004530">
    <w:abstractNumId w:val="81"/>
  </w:num>
  <w:num w:numId="78" w16cid:durableId="1945840776">
    <w:abstractNumId w:val="29"/>
  </w:num>
  <w:num w:numId="79" w16cid:durableId="2119831528">
    <w:abstractNumId w:val="110"/>
  </w:num>
  <w:num w:numId="80" w16cid:durableId="1656372643">
    <w:abstractNumId w:val="50"/>
  </w:num>
  <w:num w:numId="81" w16cid:durableId="1778939380">
    <w:abstractNumId w:val="95"/>
  </w:num>
  <w:num w:numId="82" w16cid:durableId="1649089548">
    <w:abstractNumId w:val="17"/>
  </w:num>
  <w:num w:numId="83" w16cid:durableId="852063992">
    <w:abstractNumId w:val="80"/>
  </w:num>
  <w:num w:numId="84" w16cid:durableId="744034674">
    <w:abstractNumId w:val="9"/>
  </w:num>
  <w:num w:numId="85" w16cid:durableId="1569459444">
    <w:abstractNumId w:val="16"/>
  </w:num>
  <w:num w:numId="86" w16cid:durableId="1728453691">
    <w:abstractNumId w:val="83"/>
  </w:num>
  <w:num w:numId="87" w16cid:durableId="1114517515">
    <w:abstractNumId w:val="56"/>
  </w:num>
  <w:num w:numId="88" w16cid:durableId="1773236846">
    <w:abstractNumId w:val="76"/>
  </w:num>
  <w:num w:numId="89" w16cid:durableId="302196376">
    <w:abstractNumId w:val="59"/>
  </w:num>
  <w:num w:numId="90" w16cid:durableId="1027876880">
    <w:abstractNumId w:val="18"/>
  </w:num>
  <w:num w:numId="91" w16cid:durableId="554973146">
    <w:abstractNumId w:val="79"/>
  </w:num>
  <w:num w:numId="92" w16cid:durableId="1165976713">
    <w:abstractNumId w:val="88"/>
  </w:num>
  <w:num w:numId="93" w16cid:durableId="1749577569">
    <w:abstractNumId w:val="52"/>
  </w:num>
  <w:num w:numId="94" w16cid:durableId="1482497520">
    <w:abstractNumId w:val="53"/>
  </w:num>
  <w:num w:numId="95" w16cid:durableId="1915698839">
    <w:abstractNumId w:val="3"/>
  </w:num>
  <w:num w:numId="96" w16cid:durableId="858471338">
    <w:abstractNumId w:val="37"/>
  </w:num>
  <w:num w:numId="97" w16cid:durableId="394815371">
    <w:abstractNumId w:val="38"/>
  </w:num>
  <w:num w:numId="98" w16cid:durableId="286744403">
    <w:abstractNumId w:val="32"/>
  </w:num>
  <w:num w:numId="99" w16cid:durableId="948004796">
    <w:abstractNumId w:val="1"/>
  </w:num>
  <w:num w:numId="100" w16cid:durableId="481124522">
    <w:abstractNumId w:val="70"/>
  </w:num>
  <w:num w:numId="101" w16cid:durableId="210308139">
    <w:abstractNumId w:val="94"/>
  </w:num>
  <w:num w:numId="102" w16cid:durableId="742489580">
    <w:abstractNumId w:val="12"/>
    <w:lvlOverride w:ilvl="0">
      <w:lvl w:ilvl="0">
        <w:start w:val="1"/>
        <w:numFmt w:val="upperRoman"/>
        <w:pStyle w:val="FOAHeading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pStyle w:val="FOAHeading2"/>
        <w:lvlText w:val="%2."/>
        <w:lvlJc w:val="left"/>
        <w:pPr>
          <w:ind w:left="1080" w:hanging="360"/>
        </w:pPr>
        <w:rPr>
          <w:rFonts w:ascii="Calibri" w:hAnsi="Calibri" w:hint="default"/>
          <w:b/>
          <w:i w:val="0"/>
          <w:caps w:val="0"/>
          <w:smallCaps/>
          <w:strike w:val="0"/>
          <w:dstrike w:val="0"/>
          <w:vanish w:val="0"/>
          <w:sz w:val="28"/>
          <w:vertAlign w:val="baseline"/>
        </w:rPr>
      </w:lvl>
    </w:lvlOverride>
    <w:lvlOverride w:ilvl="2">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Override>
    <w:lvlOverride w:ilvl="3">
      <w:lvl w:ilvl="3">
        <w:start w:val="1"/>
        <w:numFmt w:val="lowerRoman"/>
        <w:pStyle w:val="FOAHeading4"/>
        <w:lvlText w:val="%4."/>
        <w:lvlJc w:val="left"/>
        <w:pPr>
          <w:ind w:left="1800" w:hanging="360"/>
        </w:pPr>
        <w:rPr>
          <w:rFonts w:ascii="Calibri" w:hAnsi="Calibri" w:hint="default"/>
          <w:i w:val="0"/>
          <w:iCs/>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03" w16cid:durableId="1869567015">
    <w:abstractNumId w:val="13"/>
    <w:lvlOverride w:ilvl="0">
      <w:startOverride w:val="1"/>
    </w:lvlOverride>
  </w:num>
  <w:num w:numId="104" w16cid:durableId="1583635142">
    <w:abstractNumId w:val="55"/>
  </w:num>
  <w:num w:numId="105" w16cid:durableId="766540914">
    <w:abstractNumId w:val="57"/>
  </w:num>
  <w:num w:numId="106" w16cid:durableId="1513571348">
    <w:abstractNumId w:val="73"/>
  </w:num>
  <w:num w:numId="107" w16cid:durableId="1692419070">
    <w:abstractNumId w:val="43"/>
  </w:num>
  <w:num w:numId="108" w16cid:durableId="1413897072">
    <w:abstractNumId w:val="58"/>
  </w:num>
  <w:num w:numId="109" w16cid:durableId="1876775190">
    <w:abstractNumId w:val="19"/>
  </w:num>
  <w:num w:numId="110" w16cid:durableId="1722752061">
    <w:abstractNumId w:val="48"/>
  </w:num>
  <w:num w:numId="111" w16cid:durableId="1164056091">
    <w:abstractNumId w:val="97"/>
  </w:num>
  <w:num w:numId="112" w16cid:durableId="1361853691">
    <w:abstractNumId w:val="14"/>
  </w:num>
  <w:num w:numId="113" w16cid:durableId="1670327680">
    <w:abstractNumId w:val="5"/>
  </w:num>
  <w:num w:numId="114" w16cid:durableId="1497454690">
    <w:abstractNumId w:val="12"/>
    <w:lvlOverride w:ilvl="0">
      <w:lvl w:ilvl="0">
        <w:start w:val="1"/>
        <w:numFmt w:val="upperRoman"/>
        <w:pStyle w:val="FOAHeading1"/>
        <w:lvlText w:val="%1."/>
        <w:lvlJc w:val="left"/>
        <w:pPr>
          <w:ind w:left="720" w:hanging="360"/>
        </w:pPr>
        <w:rPr>
          <w:rFonts w:ascii="Calibri" w:hAnsi="Calibri" w:hint="default"/>
          <w:b/>
          <w:caps w:val="0"/>
          <w:smallCaps/>
          <w:strike w:val="0"/>
          <w:dstrike w:val="0"/>
          <w:vanish w:val="0"/>
          <w:sz w:val="40"/>
          <w:u w:val="none"/>
          <w:vertAlign w:val="baseline"/>
        </w:rPr>
      </w:lvl>
    </w:lvlOverride>
    <w:lvlOverride w:ilvl="1">
      <w:lvl w:ilvl="1">
        <w:start w:val="1"/>
        <w:numFmt w:val="upperLetter"/>
        <w:pStyle w:val="FOAHeading2"/>
        <w:lvlText w:val="%2."/>
        <w:lvlJc w:val="left"/>
        <w:pPr>
          <w:ind w:left="1080" w:hanging="360"/>
        </w:pPr>
        <w:rPr>
          <w:rFonts w:ascii="Calibri" w:hAnsi="Calibri" w:hint="default"/>
          <w:b/>
          <w:i w:val="0"/>
          <w:caps w:val="0"/>
          <w:smallCaps/>
          <w:strike w:val="0"/>
          <w:dstrike w:val="0"/>
          <w:vanish w:val="0"/>
          <w:sz w:val="28"/>
          <w:vertAlign w:val="baseline"/>
        </w:rPr>
      </w:lvl>
    </w:lvlOverride>
    <w:lvlOverride w:ilvl="2">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Override>
    <w:lvlOverride w:ilvl="3">
      <w:lvl w:ilvl="3">
        <w:start w:val="1"/>
        <w:numFmt w:val="lowerRoman"/>
        <w:pStyle w:val="FOAHeading4"/>
        <w:lvlText w:val="%4."/>
        <w:lvlJc w:val="left"/>
        <w:pPr>
          <w:ind w:left="1800" w:hanging="360"/>
        </w:pPr>
        <w:rPr>
          <w:rFonts w:ascii="Calibri" w:hAnsi="Calibri" w:hint="default"/>
          <w:b/>
          <w:bCs w:val="0"/>
          <w:i w:val="0"/>
          <w:iCs/>
          <w:caps w:val="0"/>
          <w:smallCaps w:val="0"/>
          <w:strike w:val="0"/>
          <w:dstrike w:val="0"/>
          <w:vanish w:val="0"/>
          <w:sz w:val="24"/>
          <w:vertAlign w:val="baseline"/>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15" w16cid:durableId="427429531">
    <w:abstractNumId w:val="27"/>
  </w:num>
  <w:num w:numId="116" w16cid:durableId="1883402165">
    <w:abstractNumId w:val="82"/>
  </w:num>
  <w:num w:numId="117" w16cid:durableId="2063599403">
    <w:abstractNumId w:val="72"/>
  </w:num>
  <w:num w:numId="118" w16cid:durableId="400057581">
    <w:abstractNumId w:val="10"/>
  </w:num>
  <w:num w:numId="119" w16cid:durableId="2001690408">
    <w:abstractNumId w:val="62"/>
  </w:num>
  <w:num w:numId="120" w16cid:durableId="1640264755">
    <w:abstractNumId w:val="42"/>
  </w:num>
  <w:num w:numId="121" w16cid:durableId="274800059">
    <w:abstractNumId w:val="34"/>
  </w:num>
  <w:num w:numId="122" w16cid:durableId="1832484503">
    <w:abstractNumId w:val="44"/>
  </w:num>
  <w:num w:numId="123" w16cid:durableId="323050332">
    <w:abstractNumId w:val="69"/>
  </w:num>
  <w:num w:numId="124" w16cid:durableId="31734639">
    <w:abstractNumId w:val="64"/>
  </w:num>
  <w:num w:numId="125" w16cid:durableId="474690313">
    <w:abstractNumId w:val="13"/>
    <w:lvlOverride w:ilvl="0">
      <w:startOverride w:val="1"/>
    </w:lvlOverride>
  </w:num>
  <w:num w:numId="126" w16cid:durableId="1665468152">
    <w:abstractNumId w:val="7"/>
  </w:num>
  <w:num w:numId="127" w16cid:durableId="1572615428">
    <w:abstractNumId w:val="3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0F58C1A-BD7E-406B-B3D5-7679035D6F87}"/>
    <w:docVar w:name="dgnword-eventsink" w:val="3600928"/>
  </w:docVars>
  <w:rsids>
    <w:rsidRoot w:val="00C950F1"/>
    <w:rsid w:val="00000653"/>
    <w:rsid w:val="000011AB"/>
    <w:rsid w:val="0000150C"/>
    <w:rsid w:val="00001947"/>
    <w:rsid w:val="00001B11"/>
    <w:rsid w:val="00001C64"/>
    <w:rsid w:val="00001E13"/>
    <w:rsid w:val="00001FFB"/>
    <w:rsid w:val="0000223E"/>
    <w:rsid w:val="0000250C"/>
    <w:rsid w:val="00002BD8"/>
    <w:rsid w:val="00002FF5"/>
    <w:rsid w:val="00003C43"/>
    <w:rsid w:val="00004CC7"/>
    <w:rsid w:val="00004F55"/>
    <w:rsid w:val="00005D9E"/>
    <w:rsid w:val="00006BC2"/>
    <w:rsid w:val="00006ED0"/>
    <w:rsid w:val="0000759E"/>
    <w:rsid w:val="00007921"/>
    <w:rsid w:val="00007A85"/>
    <w:rsid w:val="00007B21"/>
    <w:rsid w:val="00007DC2"/>
    <w:rsid w:val="00007FD4"/>
    <w:rsid w:val="00010920"/>
    <w:rsid w:val="00010ED4"/>
    <w:rsid w:val="00010EF6"/>
    <w:rsid w:val="00010F14"/>
    <w:rsid w:val="00011211"/>
    <w:rsid w:val="00011744"/>
    <w:rsid w:val="00011AC5"/>
    <w:rsid w:val="00012410"/>
    <w:rsid w:val="00012EC4"/>
    <w:rsid w:val="00012F1F"/>
    <w:rsid w:val="00014404"/>
    <w:rsid w:val="00015448"/>
    <w:rsid w:val="00015641"/>
    <w:rsid w:val="0001625F"/>
    <w:rsid w:val="00016817"/>
    <w:rsid w:val="00017148"/>
    <w:rsid w:val="0001758B"/>
    <w:rsid w:val="00017939"/>
    <w:rsid w:val="00017ACB"/>
    <w:rsid w:val="00017C1C"/>
    <w:rsid w:val="00020544"/>
    <w:rsid w:val="00020CBE"/>
    <w:rsid w:val="00020F3F"/>
    <w:rsid w:val="000216F9"/>
    <w:rsid w:val="00021A9E"/>
    <w:rsid w:val="00022517"/>
    <w:rsid w:val="00022A31"/>
    <w:rsid w:val="00023062"/>
    <w:rsid w:val="000248D6"/>
    <w:rsid w:val="00024A50"/>
    <w:rsid w:val="00024A66"/>
    <w:rsid w:val="00025061"/>
    <w:rsid w:val="00025075"/>
    <w:rsid w:val="000251DF"/>
    <w:rsid w:val="00025455"/>
    <w:rsid w:val="00027284"/>
    <w:rsid w:val="0002735F"/>
    <w:rsid w:val="0002737B"/>
    <w:rsid w:val="000279F4"/>
    <w:rsid w:val="00027F16"/>
    <w:rsid w:val="000300B5"/>
    <w:rsid w:val="000303D6"/>
    <w:rsid w:val="00030495"/>
    <w:rsid w:val="0003080E"/>
    <w:rsid w:val="00032273"/>
    <w:rsid w:val="0003283A"/>
    <w:rsid w:val="000328BA"/>
    <w:rsid w:val="00032B86"/>
    <w:rsid w:val="00032C9C"/>
    <w:rsid w:val="000330A3"/>
    <w:rsid w:val="00033C8E"/>
    <w:rsid w:val="00033E57"/>
    <w:rsid w:val="000345AD"/>
    <w:rsid w:val="00035721"/>
    <w:rsid w:val="0003587C"/>
    <w:rsid w:val="0003625A"/>
    <w:rsid w:val="00036612"/>
    <w:rsid w:val="000377A5"/>
    <w:rsid w:val="000403EF"/>
    <w:rsid w:val="000407CE"/>
    <w:rsid w:val="000408E6"/>
    <w:rsid w:val="00040BEC"/>
    <w:rsid w:val="0004107C"/>
    <w:rsid w:val="0004199E"/>
    <w:rsid w:val="00043971"/>
    <w:rsid w:val="000439CD"/>
    <w:rsid w:val="00043B73"/>
    <w:rsid w:val="000447DB"/>
    <w:rsid w:val="00044AED"/>
    <w:rsid w:val="00044EF8"/>
    <w:rsid w:val="0004512F"/>
    <w:rsid w:val="000458BE"/>
    <w:rsid w:val="00045C51"/>
    <w:rsid w:val="00046358"/>
    <w:rsid w:val="000468A8"/>
    <w:rsid w:val="0004701F"/>
    <w:rsid w:val="00047E58"/>
    <w:rsid w:val="00047F19"/>
    <w:rsid w:val="00050AD5"/>
    <w:rsid w:val="00050FE4"/>
    <w:rsid w:val="000524E7"/>
    <w:rsid w:val="00052816"/>
    <w:rsid w:val="0005293C"/>
    <w:rsid w:val="000533B9"/>
    <w:rsid w:val="000534FF"/>
    <w:rsid w:val="00053F28"/>
    <w:rsid w:val="0005494D"/>
    <w:rsid w:val="000551BC"/>
    <w:rsid w:val="00055AC8"/>
    <w:rsid w:val="000561C1"/>
    <w:rsid w:val="0005637C"/>
    <w:rsid w:val="00056C62"/>
    <w:rsid w:val="00056CD5"/>
    <w:rsid w:val="00057614"/>
    <w:rsid w:val="000577F0"/>
    <w:rsid w:val="0005780B"/>
    <w:rsid w:val="000579B1"/>
    <w:rsid w:val="000600BA"/>
    <w:rsid w:val="00060A5D"/>
    <w:rsid w:val="000613E1"/>
    <w:rsid w:val="0006278B"/>
    <w:rsid w:val="00062DB1"/>
    <w:rsid w:val="00063968"/>
    <w:rsid w:val="00063C5C"/>
    <w:rsid w:val="00064FCC"/>
    <w:rsid w:val="00065B5A"/>
    <w:rsid w:val="00065DB1"/>
    <w:rsid w:val="00066376"/>
    <w:rsid w:val="000664C6"/>
    <w:rsid w:val="0006734F"/>
    <w:rsid w:val="00070114"/>
    <w:rsid w:val="000707C6"/>
    <w:rsid w:val="00070D39"/>
    <w:rsid w:val="00072505"/>
    <w:rsid w:val="00072A70"/>
    <w:rsid w:val="00072CDD"/>
    <w:rsid w:val="00073676"/>
    <w:rsid w:val="00073A00"/>
    <w:rsid w:val="00073E82"/>
    <w:rsid w:val="00073EA7"/>
    <w:rsid w:val="00074566"/>
    <w:rsid w:val="00074885"/>
    <w:rsid w:val="00074F11"/>
    <w:rsid w:val="000751D7"/>
    <w:rsid w:val="000754DB"/>
    <w:rsid w:val="00075DA4"/>
    <w:rsid w:val="00076E61"/>
    <w:rsid w:val="000771FD"/>
    <w:rsid w:val="0007782A"/>
    <w:rsid w:val="000778D5"/>
    <w:rsid w:val="00077F4E"/>
    <w:rsid w:val="000800CA"/>
    <w:rsid w:val="00081799"/>
    <w:rsid w:val="000823A0"/>
    <w:rsid w:val="00082423"/>
    <w:rsid w:val="000826C0"/>
    <w:rsid w:val="00082791"/>
    <w:rsid w:val="00082AC6"/>
    <w:rsid w:val="00084046"/>
    <w:rsid w:val="000840BC"/>
    <w:rsid w:val="00084783"/>
    <w:rsid w:val="00084CB0"/>
    <w:rsid w:val="00085135"/>
    <w:rsid w:val="00085D35"/>
    <w:rsid w:val="00085D37"/>
    <w:rsid w:val="00085EE8"/>
    <w:rsid w:val="000879EA"/>
    <w:rsid w:val="00087B9F"/>
    <w:rsid w:val="0009010B"/>
    <w:rsid w:val="00090384"/>
    <w:rsid w:val="00091742"/>
    <w:rsid w:val="00091C54"/>
    <w:rsid w:val="00091CAA"/>
    <w:rsid w:val="000921E2"/>
    <w:rsid w:val="00092748"/>
    <w:rsid w:val="000929FD"/>
    <w:rsid w:val="000935F1"/>
    <w:rsid w:val="00093978"/>
    <w:rsid w:val="00094F67"/>
    <w:rsid w:val="00095695"/>
    <w:rsid w:val="00095B10"/>
    <w:rsid w:val="00096C06"/>
    <w:rsid w:val="00096C86"/>
    <w:rsid w:val="000978A4"/>
    <w:rsid w:val="00097DFD"/>
    <w:rsid w:val="00097E74"/>
    <w:rsid w:val="000A0B55"/>
    <w:rsid w:val="000A10EF"/>
    <w:rsid w:val="000A110B"/>
    <w:rsid w:val="000A12DC"/>
    <w:rsid w:val="000A133D"/>
    <w:rsid w:val="000A17EA"/>
    <w:rsid w:val="000A2337"/>
    <w:rsid w:val="000A2636"/>
    <w:rsid w:val="000A2CB4"/>
    <w:rsid w:val="000A2E28"/>
    <w:rsid w:val="000A4E9C"/>
    <w:rsid w:val="000A53BB"/>
    <w:rsid w:val="000A5746"/>
    <w:rsid w:val="000A5834"/>
    <w:rsid w:val="000A5BE0"/>
    <w:rsid w:val="000A6BE4"/>
    <w:rsid w:val="000B00CC"/>
    <w:rsid w:val="000B044A"/>
    <w:rsid w:val="000B0569"/>
    <w:rsid w:val="000B0C6E"/>
    <w:rsid w:val="000B0F47"/>
    <w:rsid w:val="000B11BD"/>
    <w:rsid w:val="000B175B"/>
    <w:rsid w:val="000B24A9"/>
    <w:rsid w:val="000B2A5F"/>
    <w:rsid w:val="000B3463"/>
    <w:rsid w:val="000B4CA5"/>
    <w:rsid w:val="000B4EBB"/>
    <w:rsid w:val="000B553B"/>
    <w:rsid w:val="000B61F9"/>
    <w:rsid w:val="000B643E"/>
    <w:rsid w:val="000B731F"/>
    <w:rsid w:val="000B7460"/>
    <w:rsid w:val="000B7757"/>
    <w:rsid w:val="000C11A3"/>
    <w:rsid w:val="000C13C3"/>
    <w:rsid w:val="000C145C"/>
    <w:rsid w:val="000C15DE"/>
    <w:rsid w:val="000C16CD"/>
    <w:rsid w:val="000C1A86"/>
    <w:rsid w:val="000C1F94"/>
    <w:rsid w:val="000C23AB"/>
    <w:rsid w:val="000C33E9"/>
    <w:rsid w:val="000C3607"/>
    <w:rsid w:val="000C3662"/>
    <w:rsid w:val="000C3C2F"/>
    <w:rsid w:val="000C6402"/>
    <w:rsid w:val="000C6EBB"/>
    <w:rsid w:val="000C7370"/>
    <w:rsid w:val="000D09C3"/>
    <w:rsid w:val="000D14D8"/>
    <w:rsid w:val="000D1723"/>
    <w:rsid w:val="000D17C5"/>
    <w:rsid w:val="000D1B73"/>
    <w:rsid w:val="000D2B8D"/>
    <w:rsid w:val="000D42DC"/>
    <w:rsid w:val="000D46CF"/>
    <w:rsid w:val="000D77D6"/>
    <w:rsid w:val="000D7832"/>
    <w:rsid w:val="000D7FC8"/>
    <w:rsid w:val="000E0006"/>
    <w:rsid w:val="000E0189"/>
    <w:rsid w:val="000E0555"/>
    <w:rsid w:val="000E07DD"/>
    <w:rsid w:val="000E094D"/>
    <w:rsid w:val="000E0AE2"/>
    <w:rsid w:val="000E0E82"/>
    <w:rsid w:val="000E0F5B"/>
    <w:rsid w:val="000E1786"/>
    <w:rsid w:val="000E2048"/>
    <w:rsid w:val="000E230F"/>
    <w:rsid w:val="000E254B"/>
    <w:rsid w:val="000E27DC"/>
    <w:rsid w:val="000E3AB2"/>
    <w:rsid w:val="000E3DBB"/>
    <w:rsid w:val="000E4616"/>
    <w:rsid w:val="000E4709"/>
    <w:rsid w:val="000E497A"/>
    <w:rsid w:val="000E4992"/>
    <w:rsid w:val="000E53A1"/>
    <w:rsid w:val="000E5B8A"/>
    <w:rsid w:val="000E5BB3"/>
    <w:rsid w:val="000E5EAA"/>
    <w:rsid w:val="000E622F"/>
    <w:rsid w:val="000E658B"/>
    <w:rsid w:val="000E797E"/>
    <w:rsid w:val="000E7CAC"/>
    <w:rsid w:val="000F0009"/>
    <w:rsid w:val="000F0038"/>
    <w:rsid w:val="000F07E2"/>
    <w:rsid w:val="000F09B0"/>
    <w:rsid w:val="000F0C4B"/>
    <w:rsid w:val="000F0D95"/>
    <w:rsid w:val="000F1AD9"/>
    <w:rsid w:val="000F1B1D"/>
    <w:rsid w:val="000F1C5F"/>
    <w:rsid w:val="000F1CBD"/>
    <w:rsid w:val="000F2292"/>
    <w:rsid w:val="000F2630"/>
    <w:rsid w:val="000F2798"/>
    <w:rsid w:val="000F307F"/>
    <w:rsid w:val="000F3253"/>
    <w:rsid w:val="000F39BF"/>
    <w:rsid w:val="000F39E1"/>
    <w:rsid w:val="000F432F"/>
    <w:rsid w:val="000F4720"/>
    <w:rsid w:val="000F5689"/>
    <w:rsid w:val="000F5F0F"/>
    <w:rsid w:val="000F6860"/>
    <w:rsid w:val="000F6A6D"/>
    <w:rsid w:val="00100EB5"/>
    <w:rsid w:val="00101035"/>
    <w:rsid w:val="00101815"/>
    <w:rsid w:val="00101E99"/>
    <w:rsid w:val="00101F9E"/>
    <w:rsid w:val="001020E9"/>
    <w:rsid w:val="00103176"/>
    <w:rsid w:val="001038FE"/>
    <w:rsid w:val="00104961"/>
    <w:rsid w:val="00106132"/>
    <w:rsid w:val="00106295"/>
    <w:rsid w:val="00106AA5"/>
    <w:rsid w:val="00106FCE"/>
    <w:rsid w:val="0010730D"/>
    <w:rsid w:val="0010750A"/>
    <w:rsid w:val="00107B57"/>
    <w:rsid w:val="00107FFB"/>
    <w:rsid w:val="0011005E"/>
    <w:rsid w:val="001101A0"/>
    <w:rsid w:val="00110CC7"/>
    <w:rsid w:val="001117C1"/>
    <w:rsid w:val="00111A07"/>
    <w:rsid w:val="00111F87"/>
    <w:rsid w:val="00112074"/>
    <w:rsid w:val="00112200"/>
    <w:rsid w:val="00112226"/>
    <w:rsid w:val="00112608"/>
    <w:rsid w:val="00112703"/>
    <w:rsid w:val="001128E6"/>
    <w:rsid w:val="00113450"/>
    <w:rsid w:val="00115A49"/>
    <w:rsid w:val="00115C2D"/>
    <w:rsid w:val="00115D56"/>
    <w:rsid w:val="001161AF"/>
    <w:rsid w:val="0011659A"/>
    <w:rsid w:val="00120572"/>
    <w:rsid w:val="001207B6"/>
    <w:rsid w:val="00120F39"/>
    <w:rsid w:val="0012148E"/>
    <w:rsid w:val="0012225B"/>
    <w:rsid w:val="001225BD"/>
    <w:rsid w:val="00122A3B"/>
    <w:rsid w:val="00122AA1"/>
    <w:rsid w:val="00122E91"/>
    <w:rsid w:val="00123F6E"/>
    <w:rsid w:val="00124031"/>
    <w:rsid w:val="001244BD"/>
    <w:rsid w:val="001246BA"/>
    <w:rsid w:val="00125CE3"/>
    <w:rsid w:val="00125D28"/>
    <w:rsid w:val="00125EF5"/>
    <w:rsid w:val="00126FBB"/>
    <w:rsid w:val="001271BC"/>
    <w:rsid w:val="00127630"/>
    <w:rsid w:val="00127FE9"/>
    <w:rsid w:val="0013034B"/>
    <w:rsid w:val="001305E3"/>
    <w:rsid w:val="00130952"/>
    <w:rsid w:val="0013119B"/>
    <w:rsid w:val="0013199F"/>
    <w:rsid w:val="00131A4F"/>
    <w:rsid w:val="0013318C"/>
    <w:rsid w:val="00133A43"/>
    <w:rsid w:val="00133B3C"/>
    <w:rsid w:val="0013415B"/>
    <w:rsid w:val="001350D9"/>
    <w:rsid w:val="00135647"/>
    <w:rsid w:val="00135ADC"/>
    <w:rsid w:val="00136BA9"/>
    <w:rsid w:val="00140902"/>
    <w:rsid w:val="001413C8"/>
    <w:rsid w:val="00141A39"/>
    <w:rsid w:val="00141B6F"/>
    <w:rsid w:val="00141D31"/>
    <w:rsid w:val="00141D9D"/>
    <w:rsid w:val="00142678"/>
    <w:rsid w:val="00142B42"/>
    <w:rsid w:val="00143122"/>
    <w:rsid w:val="001431C0"/>
    <w:rsid w:val="00143BBD"/>
    <w:rsid w:val="00144A57"/>
    <w:rsid w:val="001454EF"/>
    <w:rsid w:val="0014599D"/>
    <w:rsid w:val="00146141"/>
    <w:rsid w:val="001470AF"/>
    <w:rsid w:val="001479AD"/>
    <w:rsid w:val="001479CB"/>
    <w:rsid w:val="00150060"/>
    <w:rsid w:val="0015016B"/>
    <w:rsid w:val="0015033F"/>
    <w:rsid w:val="001518FD"/>
    <w:rsid w:val="00151B56"/>
    <w:rsid w:val="00152117"/>
    <w:rsid w:val="00152174"/>
    <w:rsid w:val="00152A3A"/>
    <w:rsid w:val="00152DD0"/>
    <w:rsid w:val="00153549"/>
    <w:rsid w:val="00153766"/>
    <w:rsid w:val="00154F8A"/>
    <w:rsid w:val="00155819"/>
    <w:rsid w:val="00156033"/>
    <w:rsid w:val="00156691"/>
    <w:rsid w:val="001566C8"/>
    <w:rsid w:val="001568CD"/>
    <w:rsid w:val="00156A27"/>
    <w:rsid w:val="00156F9D"/>
    <w:rsid w:val="001572FC"/>
    <w:rsid w:val="00157354"/>
    <w:rsid w:val="00157F94"/>
    <w:rsid w:val="00161071"/>
    <w:rsid w:val="001610A1"/>
    <w:rsid w:val="00161FF6"/>
    <w:rsid w:val="00162C6F"/>
    <w:rsid w:val="00163BE9"/>
    <w:rsid w:val="00163C59"/>
    <w:rsid w:val="00163ED2"/>
    <w:rsid w:val="001646DC"/>
    <w:rsid w:val="00164A97"/>
    <w:rsid w:val="0016542E"/>
    <w:rsid w:val="00165E3E"/>
    <w:rsid w:val="00166BEB"/>
    <w:rsid w:val="00167093"/>
    <w:rsid w:val="0016766E"/>
    <w:rsid w:val="001704F8"/>
    <w:rsid w:val="001706B9"/>
    <w:rsid w:val="00171227"/>
    <w:rsid w:val="00171E51"/>
    <w:rsid w:val="00172D80"/>
    <w:rsid w:val="001733B5"/>
    <w:rsid w:val="00173C33"/>
    <w:rsid w:val="00173EE9"/>
    <w:rsid w:val="0017478F"/>
    <w:rsid w:val="0017554D"/>
    <w:rsid w:val="0017595D"/>
    <w:rsid w:val="00176DA9"/>
    <w:rsid w:val="00176DD7"/>
    <w:rsid w:val="0017729B"/>
    <w:rsid w:val="00177977"/>
    <w:rsid w:val="00177AC8"/>
    <w:rsid w:val="00180260"/>
    <w:rsid w:val="001804B4"/>
    <w:rsid w:val="001812B7"/>
    <w:rsid w:val="001815FE"/>
    <w:rsid w:val="001816B5"/>
    <w:rsid w:val="00182951"/>
    <w:rsid w:val="00182AE3"/>
    <w:rsid w:val="00182DB6"/>
    <w:rsid w:val="00182F53"/>
    <w:rsid w:val="0018386F"/>
    <w:rsid w:val="0018525F"/>
    <w:rsid w:val="00185823"/>
    <w:rsid w:val="00186620"/>
    <w:rsid w:val="00186770"/>
    <w:rsid w:val="00186784"/>
    <w:rsid w:val="001871BD"/>
    <w:rsid w:val="00187354"/>
    <w:rsid w:val="00187415"/>
    <w:rsid w:val="00187BF9"/>
    <w:rsid w:val="001916D0"/>
    <w:rsid w:val="00191727"/>
    <w:rsid w:val="00192272"/>
    <w:rsid w:val="00192D5D"/>
    <w:rsid w:val="00193169"/>
    <w:rsid w:val="0019319C"/>
    <w:rsid w:val="00194D76"/>
    <w:rsid w:val="00195153"/>
    <w:rsid w:val="00195845"/>
    <w:rsid w:val="0019647A"/>
    <w:rsid w:val="0019651E"/>
    <w:rsid w:val="00197BEB"/>
    <w:rsid w:val="001A0F69"/>
    <w:rsid w:val="001A1B70"/>
    <w:rsid w:val="001A1B91"/>
    <w:rsid w:val="001A20DD"/>
    <w:rsid w:val="001A235C"/>
    <w:rsid w:val="001A23DE"/>
    <w:rsid w:val="001A3502"/>
    <w:rsid w:val="001A4F47"/>
    <w:rsid w:val="001A4F57"/>
    <w:rsid w:val="001A546E"/>
    <w:rsid w:val="001A5DB5"/>
    <w:rsid w:val="001A62FF"/>
    <w:rsid w:val="001A6434"/>
    <w:rsid w:val="001A652C"/>
    <w:rsid w:val="001B113C"/>
    <w:rsid w:val="001B1D49"/>
    <w:rsid w:val="001B1E68"/>
    <w:rsid w:val="001B1FFA"/>
    <w:rsid w:val="001B2232"/>
    <w:rsid w:val="001B238F"/>
    <w:rsid w:val="001B2A43"/>
    <w:rsid w:val="001B33AC"/>
    <w:rsid w:val="001B3A53"/>
    <w:rsid w:val="001B3C5C"/>
    <w:rsid w:val="001B4465"/>
    <w:rsid w:val="001B4E3C"/>
    <w:rsid w:val="001B5793"/>
    <w:rsid w:val="001B5D20"/>
    <w:rsid w:val="001B613E"/>
    <w:rsid w:val="001B6E91"/>
    <w:rsid w:val="001B7316"/>
    <w:rsid w:val="001B761D"/>
    <w:rsid w:val="001B7656"/>
    <w:rsid w:val="001B76D6"/>
    <w:rsid w:val="001B772D"/>
    <w:rsid w:val="001B7AC6"/>
    <w:rsid w:val="001C02E3"/>
    <w:rsid w:val="001C0682"/>
    <w:rsid w:val="001C1BE4"/>
    <w:rsid w:val="001C1DE6"/>
    <w:rsid w:val="001C1E27"/>
    <w:rsid w:val="001C2021"/>
    <w:rsid w:val="001C26C4"/>
    <w:rsid w:val="001C2A0F"/>
    <w:rsid w:val="001C35CF"/>
    <w:rsid w:val="001C3628"/>
    <w:rsid w:val="001C414B"/>
    <w:rsid w:val="001C433B"/>
    <w:rsid w:val="001C499E"/>
    <w:rsid w:val="001C6076"/>
    <w:rsid w:val="001C6263"/>
    <w:rsid w:val="001C633C"/>
    <w:rsid w:val="001C683F"/>
    <w:rsid w:val="001C6AFF"/>
    <w:rsid w:val="001D0313"/>
    <w:rsid w:val="001D0DC8"/>
    <w:rsid w:val="001D13AE"/>
    <w:rsid w:val="001D1475"/>
    <w:rsid w:val="001D198A"/>
    <w:rsid w:val="001D1E36"/>
    <w:rsid w:val="001D2969"/>
    <w:rsid w:val="001D29FC"/>
    <w:rsid w:val="001D2D59"/>
    <w:rsid w:val="001D3F2D"/>
    <w:rsid w:val="001D52E4"/>
    <w:rsid w:val="001D5943"/>
    <w:rsid w:val="001D60C4"/>
    <w:rsid w:val="001D6173"/>
    <w:rsid w:val="001D6E34"/>
    <w:rsid w:val="001D70CB"/>
    <w:rsid w:val="001D7D58"/>
    <w:rsid w:val="001E08A5"/>
    <w:rsid w:val="001E1283"/>
    <w:rsid w:val="001E1EF0"/>
    <w:rsid w:val="001E28BC"/>
    <w:rsid w:val="001E29F6"/>
    <w:rsid w:val="001E2C51"/>
    <w:rsid w:val="001E3443"/>
    <w:rsid w:val="001E40B2"/>
    <w:rsid w:val="001E41EF"/>
    <w:rsid w:val="001E46DE"/>
    <w:rsid w:val="001E49EF"/>
    <w:rsid w:val="001E5464"/>
    <w:rsid w:val="001E5D99"/>
    <w:rsid w:val="001E676D"/>
    <w:rsid w:val="001E7463"/>
    <w:rsid w:val="001E750F"/>
    <w:rsid w:val="001F169D"/>
    <w:rsid w:val="001F16AE"/>
    <w:rsid w:val="001F19A6"/>
    <w:rsid w:val="001F1F38"/>
    <w:rsid w:val="001F2AAF"/>
    <w:rsid w:val="001F33A7"/>
    <w:rsid w:val="001F3AE9"/>
    <w:rsid w:val="001F3E66"/>
    <w:rsid w:val="001F43C2"/>
    <w:rsid w:val="001F5C6D"/>
    <w:rsid w:val="001F6D19"/>
    <w:rsid w:val="001F6D5B"/>
    <w:rsid w:val="00200D84"/>
    <w:rsid w:val="0020120B"/>
    <w:rsid w:val="002013D0"/>
    <w:rsid w:val="00201CF7"/>
    <w:rsid w:val="002024BA"/>
    <w:rsid w:val="00202755"/>
    <w:rsid w:val="00203706"/>
    <w:rsid w:val="0020374F"/>
    <w:rsid w:val="00204D76"/>
    <w:rsid w:val="00204D8F"/>
    <w:rsid w:val="00205AD0"/>
    <w:rsid w:val="00205B9F"/>
    <w:rsid w:val="002064E0"/>
    <w:rsid w:val="00206B5A"/>
    <w:rsid w:val="00206F90"/>
    <w:rsid w:val="002078C7"/>
    <w:rsid w:val="002114F3"/>
    <w:rsid w:val="00211966"/>
    <w:rsid w:val="002119CB"/>
    <w:rsid w:val="00211F32"/>
    <w:rsid w:val="00212604"/>
    <w:rsid w:val="00212D14"/>
    <w:rsid w:val="00213302"/>
    <w:rsid w:val="0021367B"/>
    <w:rsid w:val="002136B8"/>
    <w:rsid w:val="00213B69"/>
    <w:rsid w:val="00213CF4"/>
    <w:rsid w:val="0021513E"/>
    <w:rsid w:val="00215544"/>
    <w:rsid w:val="00216A3D"/>
    <w:rsid w:val="00216B12"/>
    <w:rsid w:val="00216DC7"/>
    <w:rsid w:val="00216E1C"/>
    <w:rsid w:val="00216E72"/>
    <w:rsid w:val="002171BF"/>
    <w:rsid w:val="0022038E"/>
    <w:rsid w:val="0022085A"/>
    <w:rsid w:val="00220C14"/>
    <w:rsid w:val="00220C9C"/>
    <w:rsid w:val="00220DDB"/>
    <w:rsid w:val="0022157D"/>
    <w:rsid w:val="00221596"/>
    <w:rsid w:val="00221643"/>
    <w:rsid w:val="00222BB1"/>
    <w:rsid w:val="00222BC8"/>
    <w:rsid w:val="00222F89"/>
    <w:rsid w:val="00223299"/>
    <w:rsid w:val="00223518"/>
    <w:rsid w:val="002237DE"/>
    <w:rsid w:val="002247B7"/>
    <w:rsid w:val="00225425"/>
    <w:rsid w:val="00225FF3"/>
    <w:rsid w:val="00226338"/>
    <w:rsid w:val="00226777"/>
    <w:rsid w:val="00226F18"/>
    <w:rsid w:val="00227424"/>
    <w:rsid w:val="0022786F"/>
    <w:rsid w:val="00227AE7"/>
    <w:rsid w:val="00227E18"/>
    <w:rsid w:val="00230775"/>
    <w:rsid w:val="00230ABE"/>
    <w:rsid w:val="00230C6F"/>
    <w:rsid w:val="00230EA1"/>
    <w:rsid w:val="00231951"/>
    <w:rsid w:val="00232651"/>
    <w:rsid w:val="0023299B"/>
    <w:rsid w:val="00232B6C"/>
    <w:rsid w:val="00233679"/>
    <w:rsid w:val="00234199"/>
    <w:rsid w:val="0023443A"/>
    <w:rsid w:val="002348E7"/>
    <w:rsid w:val="00234CD9"/>
    <w:rsid w:val="00234E94"/>
    <w:rsid w:val="002350A7"/>
    <w:rsid w:val="00235184"/>
    <w:rsid w:val="00235979"/>
    <w:rsid w:val="00235FD4"/>
    <w:rsid w:val="00236314"/>
    <w:rsid w:val="0023686C"/>
    <w:rsid w:val="00236DF8"/>
    <w:rsid w:val="0023706C"/>
    <w:rsid w:val="00237170"/>
    <w:rsid w:val="00237417"/>
    <w:rsid w:val="00240603"/>
    <w:rsid w:val="00240EE9"/>
    <w:rsid w:val="00241BE8"/>
    <w:rsid w:val="0024210E"/>
    <w:rsid w:val="00242C8A"/>
    <w:rsid w:val="00242EB6"/>
    <w:rsid w:val="00242F6E"/>
    <w:rsid w:val="002430CE"/>
    <w:rsid w:val="002434F8"/>
    <w:rsid w:val="00243715"/>
    <w:rsid w:val="00244416"/>
    <w:rsid w:val="002444D3"/>
    <w:rsid w:val="0024558C"/>
    <w:rsid w:val="002475B0"/>
    <w:rsid w:val="00247889"/>
    <w:rsid w:val="00247B27"/>
    <w:rsid w:val="00247F72"/>
    <w:rsid w:val="002504D2"/>
    <w:rsid w:val="00250CFA"/>
    <w:rsid w:val="002513B0"/>
    <w:rsid w:val="00251C47"/>
    <w:rsid w:val="002520FE"/>
    <w:rsid w:val="00252465"/>
    <w:rsid w:val="002527E1"/>
    <w:rsid w:val="00252CAF"/>
    <w:rsid w:val="00253AB8"/>
    <w:rsid w:val="00254058"/>
    <w:rsid w:val="00254385"/>
    <w:rsid w:val="0025439D"/>
    <w:rsid w:val="00254E3C"/>
    <w:rsid w:val="00255D08"/>
    <w:rsid w:val="002561FC"/>
    <w:rsid w:val="00257C84"/>
    <w:rsid w:val="0026116F"/>
    <w:rsid w:val="00261BB2"/>
    <w:rsid w:val="002625B0"/>
    <w:rsid w:val="00263565"/>
    <w:rsid w:val="00263743"/>
    <w:rsid w:val="00263C52"/>
    <w:rsid w:val="0026495B"/>
    <w:rsid w:val="00266130"/>
    <w:rsid w:val="002665D3"/>
    <w:rsid w:val="00267BB8"/>
    <w:rsid w:val="00270264"/>
    <w:rsid w:val="0027033E"/>
    <w:rsid w:val="002703E7"/>
    <w:rsid w:val="0027098F"/>
    <w:rsid w:val="00271097"/>
    <w:rsid w:val="002712BB"/>
    <w:rsid w:val="0027192C"/>
    <w:rsid w:val="00271DC8"/>
    <w:rsid w:val="00271FDD"/>
    <w:rsid w:val="002721A9"/>
    <w:rsid w:val="0027221D"/>
    <w:rsid w:val="00272335"/>
    <w:rsid w:val="00272728"/>
    <w:rsid w:val="00272A19"/>
    <w:rsid w:val="00272D64"/>
    <w:rsid w:val="00273C18"/>
    <w:rsid w:val="00273FEF"/>
    <w:rsid w:val="0027421D"/>
    <w:rsid w:val="002748A6"/>
    <w:rsid w:val="00275448"/>
    <w:rsid w:val="00275638"/>
    <w:rsid w:val="00276035"/>
    <w:rsid w:val="002760BF"/>
    <w:rsid w:val="00276F3B"/>
    <w:rsid w:val="00277A06"/>
    <w:rsid w:val="00277A68"/>
    <w:rsid w:val="00280005"/>
    <w:rsid w:val="002804FB"/>
    <w:rsid w:val="00280827"/>
    <w:rsid w:val="00281B40"/>
    <w:rsid w:val="00281CFF"/>
    <w:rsid w:val="00282419"/>
    <w:rsid w:val="002829F9"/>
    <w:rsid w:val="00282C15"/>
    <w:rsid w:val="00282ECC"/>
    <w:rsid w:val="00283227"/>
    <w:rsid w:val="002839C1"/>
    <w:rsid w:val="00285CBE"/>
    <w:rsid w:val="002872F6"/>
    <w:rsid w:val="00290B70"/>
    <w:rsid w:val="00290DCB"/>
    <w:rsid w:val="00290E2B"/>
    <w:rsid w:val="00290EE6"/>
    <w:rsid w:val="00291F55"/>
    <w:rsid w:val="00292A01"/>
    <w:rsid w:val="00292B00"/>
    <w:rsid w:val="00292BBC"/>
    <w:rsid w:val="0029353D"/>
    <w:rsid w:val="002944BD"/>
    <w:rsid w:val="002944ED"/>
    <w:rsid w:val="00295347"/>
    <w:rsid w:val="0029546F"/>
    <w:rsid w:val="00295876"/>
    <w:rsid w:val="00295959"/>
    <w:rsid w:val="00295B55"/>
    <w:rsid w:val="0029652D"/>
    <w:rsid w:val="00296BA1"/>
    <w:rsid w:val="002A0AA3"/>
    <w:rsid w:val="002A0C86"/>
    <w:rsid w:val="002A1029"/>
    <w:rsid w:val="002A1776"/>
    <w:rsid w:val="002A283A"/>
    <w:rsid w:val="002A2A17"/>
    <w:rsid w:val="002A36C8"/>
    <w:rsid w:val="002A3AAE"/>
    <w:rsid w:val="002A3EF3"/>
    <w:rsid w:val="002A460F"/>
    <w:rsid w:val="002A47E0"/>
    <w:rsid w:val="002A77AF"/>
    <w:rsid w:val="002A7975"/>
    <w:rsid w:val="002A7A62"/>
    <w:rsid w:val="002B0337"/>
    <w:rsid w:val="002B0FEB"/>
    <w:rsid w:val="002B1AB8"/>
    <w:rsid w:val="002B251C"/>
    <w:rsid w:val="002B2529"/>
    <w:rsid w:val="002B2A1E"/>
    <w:rsid w:val="002B3877"/>
    <w:rsid w:val="002B3BCA"/>
    <w:rsid w:val="002B3C2A"/>
    <w:rsid w:val="002B4530"/>
    <w:rsid w:val="002B4A40"/>
    <w:rsid w:val="002B4E0E"/>
    <w:rsid w:val="002B5928"/>
    <w:rsid w:val="002B5E14"/>
    <w:rsid w:val="002B764F"/>
    <w:rsid w:val="002C004F"/>
    <w:rsid w:val="002C18DC"/>
    <w:rsid w:val="002C1B54"/>
    <w:rsid w:val="002C1D01"/>
    <w:rsid w:val="002C255A"/>
    <w:rsid w:val="002C2703"/>
    <w:rsid w:val="002C3147"/>
    <w:rsid w:val="002C3B1F"/>
    <w:rsid w:val="002C49CB"/>
    <w:rsid w:val="002C4B73"/>
    <w:rsid w:val="002C4BB6"/>
    <w:rsid w:val="002C5224"/>
    <w:rsid w:val="002C5D17"/>
    <w:rsid w:val="002C6194"/>
    <w:rsid w:val="002C6207"/>
    <w:rsid w:val="002C6C78"/>
    <w:rsid w:val="002C7CAB"/>
    <w:rsid w:val="002C7F4E"/>
    <w:rsid w:val="002D08B8"/>
    <w:rsid w:val="002D115C"/>
    <w:rsid w:val="002D11D3"/>
    <w:rsid w:val="002D1715"/>
    <w:rsid w:val="002D1A6A"/>
    <w:rsid w:val="002D1DC8"/>
    <w:rsid w:val="002D2278"/>
    <w:rsid w:val="002D23AD"/>
    <w:rsid w:val="002D31C8"/>
    <w:rsid w:val="002D31E4"/>
    <w:rsid w:val="002D3608"/>
    <w:rsid w:val="002D40FF"/>
    <w:rsid w:val="002D5A10"/>
    <w:rsid w:val="002D5E25"/>
    <w:rsid w:val="002D5E47"/>
    <w:rsid w:val="002D6AD3"/>
    <w:rsid w:val="002D7434"/>
    <w:rsid w:val="002D7998"/>
    <w:rsid w:val="002E0016"/>
    <w:rsid w:val="002E0A77"/>
    <w:rsid w:val="002E139E"/>
    <w:rsid w:val="002E16E7"/>
    <w:rsid w:val="002E1B4A"/>
    <w:rsid w:val="002E2B28"/>
    <w:rsid w:val="002E3F3A"/>
    <w:rsid w:val="002E47B9"/>
    <w:rsid w:val="002E4FB8"/>
    <w:rsid w:val="002E5EE6"/>
    <w:rsid w:val="002E5FD4"/>
    <w:rsid w:val="002E7B40"/>
    <w:rsid w:val="002E7B88"/>
    <w:rsid w:val="002F0D23"/>
    <w:rsid w:val="002F14A9"/>
    <w:rsid w:val="002F1E47"/>
    <w:rsid w:val="002F204B"/>
    <w:rsid w:val="002F217E"/>
    <w:rsid w:val="002F23B7"/>
    <w:rsid w:val="002F2D6C"/>
    <w:rsid w:val="002F310A"/>
    <w:rsid w:val="002F32B8"/>
    <w:rsid w:val="002F33C9"/>
    <w:rsid w:val="002F42E0"/>
    <w:rsid w:val="002F534A"/>
    <w:rsid w:val="002F588F"/>
    <w:rsid w:val="002F6C40"/>
    <w:rsid w:val="002F6F2A"/>
    <w:rsid w:val="002F7294"/>
    <w:rsid w:val="002F7732"/>
    <w:rsid w:val="002F78F2"/>
    <w:rsid w:val="002F7CA8"/>
    <w:rsid w:val="00300B2F"/>
    <w:rsid w:val="0030159B"/>
    <w:rsid w:val="00301714"/>
    <w:rsid w:val="00302026"/>
    <w:rsid w:val="00302166"/>
    <w:rsid w:val="0030280E"/>
    <w:rsid w:val="0030309F"/>
    <w:rsid w:val="003038C1"/>
    <w:rsid w:val="00303A61"/>
    <w:rsid w:val="00303D7F"/>
    <w:rsid w:val="00303D90"/>
    <w:rsid w:val="0030412F"/>
    <w:rsid w:val="0030520B"/>
    <w:rsid w:val="00307663"/>
    <w:rsid w:val="003076B8"/>
    <w:rsid w:val="003076EB"/>
    <w:rsid w:val="00311290"/>
    <w:rsid w:val="00311C54"/>
    <w:rsid w:val="00311E3E"/>
    <w:rsid w:val="003124A7"/>
    <w:rsid w:val="00312F7B"/>
    <w:rsid w:val="00313EE4"/>
    <w:rsid w:val="0031434D"/>
    <w:rsid w:val="003145B1"/>
    <w:rsid w:val="00314A78"/>
    <w:rsid w:val="00316166"/>
    <w:rsid w:val="00316A1D"/>
    <w:rsid w:val="00316C88"/>
    <w:rsid w:val="00320871"/>
    <w:rsid w:val="00320C30"/>
    <w:rsid w:val="003212DC"/>
    <w:rsid w:val="00321CED"/>
    <w:rsid w:val="003223E6"/>
    <w:rsid w:val="003224D7"/>
    <w:rsid w:val="00323050"/>
    <w:rsid w:val="0032380B"/>
    <w:rsid w:val="0032396C"/>
    <w:rsid w:val="00323BE0"/>
    <w:rsid w:val="00323CEF"/>
    <w:rsid w:val="003242B1"/>
    <w:rsid w:val="00324558"/>
    <w:rsid w:val="00324630"/>
    <w:rsid w:val="00324858"/>
    <w:rsid w:val="00324F39"/>
    <w:rsid w:val="00324FFA"/>
    <w:rsid w:val="00325538"/>
    <w:rsid w:val="00325C65"/>
    <w:rsid w:val="003261B0"/>
    <w:rsid w:val="00326375"/>
    <w:rsid w:val="0032640A"/>
    <w:rsid w:val="003270E9"/>
    <w:rsid w:val="00327245"/>
    <w:rsid w:val="00327E00"/>
    <w:rsid w:val="00330268"/>
    <w:rsid w:val="003302B8"/>
    <w:rsid w:val="003304BC"/>
    <w:rsid w:val="00330A89"/>
    <w:rsid w:val="00331DBC"/>
    <w:rsid w:val="00331E64"/>
    <w:rsid w:val="00332686"/>
    <w:rsid w:val="003326F0"/>
    <w:rsid w:val="0033294D"/>
    <w:rsid w:val="00333535"/>
    <w:rsid w:val="00333CB3"/>
    <w:rsid w:val="003345DE"/>
    <w:rsid w:val="0033505C"/>
    <w:rsid w:val="003354A1"/>
    <w:rsid w:val="00335F47"/>
    <w:rsid w:val="0033616D"/>
    <w:rsid w:val="003371AD"/>
    <w:rsid w:val="003372D6"/>
    <w:rsid w:val="0033793C"/>
    <w:rsid w:val="003401DA"/>
    <w:rsid w:val="00340A2F"/>
    <w:rsid w:val="003431CF"/>
    <w:rsid w:val="00343E2C"/>
    <w:rsid w:val="0034455F"/>
    <w:rsid w:val="00344B9C"/>
    <w:rsid w:val="00346014"/>
    <w:rsid w:val="003462E5"/>
    <w:rsid w:val="003466A8"/>
    <w:rsid w:val="00346AB4"/>
    <w:rsid w:val="00346C18"/>
    <w:rsid w:val="00346F8A"/>
    <w:rsid w:val="00350984"/>
    <w:rsid w:val="0035143B"/>
    <w:rsid w:val="003514E5"/>
    <w:rsid w:val="00351A14"/>
    <w:rsid w:val="00351AED"/>
    <w:rsid w:val="00351ECD"/>
    <w:rsid w:val="00353EAA"/>
    <w:rsid w:val="003548BF"/>
    <w:rsid w:val="003555DB"/>
    <w:rsid w:val="0035569C"/>
    <w:rsid w:val="00356220"/>
    <w:rsid w:val="003567BC"/>
    <w:rsid w:val="003573A9"/>
    <w:rsid w:val="00357C4E"/>
    <w:rsid w:val="00360534"/>
    <w:rsid w:val="003606D3"/>
    <w:rsid w:val="0036164D"/>
    <w:rsid w:val="0036186F"/>
    <w:rsid w:val="0036197D"/>
    <w:rsid w:val="00362510"/>
    <w:rsid w:val="0036308C"/>
    <w:rsid w:val="00364AFA"/>
    <w:rsid w:val="0036573A"/>
    <w:rsid w:val="00365BDA"/>
    <w:rsid w:val="0036693B"/>
    <w:rsid w:val="0036702F"/>
    <w:rsid w:val="00367EF8"/>
    <w:rsid w:val="0037009A"/>
    <w:rsid w:val="003701C5"/>
    <w:rsid w:val="0037083F"/>
    <w:rsid w:val="00370C23"/>
    <w:rsid w:val="003710FD"/>
    <w:rsid w:val="00371C4D"/>
    <w:rsid w:val="00371D04"/>
    <w:rsid w:val="00371E0A"/>
    <w:rsid w:val="00372240"/>
    <w:rsid w:val="0037266E"/>
    <w:rsid w:val="003728A2"/>
    <w:rsid w:val="00372EAB"/>
    <w:rsid w:val="0037345C"/>
    <w:rsid w:val="00373669"/>
    <w:rsid w:val="00373BA0"/>
    <w:rsid w:val="00374257"/>
    <w:rsid w:val="0037425E"/>
    <w:rsid w:val="003746FC"/>
    <w:rsid w:val="003748CE"/>
    <w:rsid w:val="003756E7"/>
    <w:rsid w:val="0037577A"/>
    <w:rsid w:val="00375F52"/>
    <w:rsid w:val="00376574"/>
    <w:rsid w:val="0037677A"/>
    <w:rsid w:val="00376783"/>
    <w:rsid w:val="00376A2F"/>
    <w:rsid w:val="003770D2"/>
    <w:rsid w:val="00377614"/>
    <w:rsid w:val="003779D9"/>
    <w:rsid w:val="00377BE5"/>
    <w:rsid w:val="00377D5D"/>
    <w:rsid w:val="00380979"/>
    <w:rsid w:val="0038283E"/>
    <w:rsid w:val="0038284A"/>
    <w:rsid w:val="0038309A"/>
    <w:rsid w:val="003844E1"/>
    <w:rsid w:val="00384AFA"/>
    <w:rsid w:val="00385003"/>
    <w:rsid w:val="003852B0"/>
    <w:rsid w:val="003853E8"/>
    <w:rsid w:val="003854FD"/>
    <w:rsid w:val="00385654"/>
    <w:rsid w:val="00385771"/>
    <w:rsid w:val="00385AC4"/>
    <w:rsid w:val="00385E19"/>
    <w:rsid w:val="00385F26"/>
    <w:rsid w:val="003871DB"/>
    <w:rsid w:val="00387A45"/>
    <w:rsid w:val="00387F63"/>
    <w:rsid w:val="003907EF"/>
    <w:rsid w:val="00390B40"/>
    <w:rsid w:val="00391285"/>
    <w:rsid w:val="00391908"/>
    <w:rsid w:val="00391C8D"/>
    <w:rsid w:val="00391EC1"/>
    <w:rsid w:val="003921B4"/>
    <w:rsid w:val="003923B7"/>
    <w:rsid w:val="00392598"/>
    <w:rsid w:val="00392DDD"/>
    <w:rsid w:val="00393408"/>
    <w:rsid w:val="00393640"/>
    <w:rsid w:val="003944C5"/>
    <w:rsid w:val="00394550"/>
    <w:rsid w:val="0039470A"/>
    <w:rsid w:val="0039482D"/>
    <w:rsid w:val="00395320"/>
    <w:rsid w:val="00395634"/>
    <w:rsid w:val="0039640C"/>
    <w:rsid w:val="003969D2"/>
    <w:rsid w:val="003975B0"/>
    <w:rsid w:val="003A0502"/>
    <w:rsid w:val="003A055D"/>
    <w:rsid w:val="003A06FA"/>
    <w:rsid w:val="003A0AB3"/>
    <w:rsid w:val="003A110C"/>
    <w:rsid w:val="003A13BB"/>
    <w:rsid w:val="003A175F"/>
    <w:rsid w:val="003A1800"/>
    <w:rsid w:val="003A180B"/>
    <w:rsid w:val="003A226D"/>
    <w:rsid w:val="003A2730"/>
    <w:rsid w:val="003A2A79"/>
    <w:rsid w:val="003A2EEC"/>
    <w:rsid w:val="003A3D9E"/>
    <w:rsid w:val="003A3E07"/>
    <w:rsid w:val="003A43F3"/>
    <w:rsid w:val="003A45C9"/>
    <w:rsid w:val="003A503C"/>
    <w:rsid w:val="003A57DB"/>
    <w:rsid w:val="003A6E58"/>
    <w:rsid w:val="003A72B1"/>
    <w:rsid w:val="003A7BAC"/>
    <w:rsid w:val="003A7DE2"/>
    <w:rsid w:val="003B0ACC"/>
    <w:rsid w:val="003B0B92"/>
    <w:rsid w:val="003B1493"/>
    <w:rsid w:val="003B2CD2"/>
    <w:rsid w:val="003B3ECC"/>
    <w:rsid w:val="003B4EC1"/>
    <w:rsid w:val="003B5D26"/>
    <w:rsid w:val="003B6A83"/>
    <w:rsid w:val="003B6CC0"/>
    <w:rsid w:val="003B7075"/>
    <w:rsid w:val="003B73FA"/>
    <w:rsid w:val="003B7889"/>
    <w:rsid w:val="003B7BAF"/>
    <w:rsid w:val="003C029D"/>
    <w:rsid w:val="003C0459"/>
    <w:rsid w:val="003C054B"/>
    <w:rsid w:val="003C0C09"/>
    <w:rsid w:val="003C14CB"/>
    <w:rsid w:val="003C14D8"/>
    <w:rsid w:val="003C2FE2"/>
    <w:rsid w:val="003C3B86"/>
    <w:rsid w:val="003C3C02"/>
    <w:rsid w:val="003C3ECB"/>
    <w:rsid w:val="003C4598"/>
    <w:rsid w:val="003C55AE"/>
    <w:rsid w:val="003C62D0"/>
    <w:rsid w:val="003C6712"/>
    <w:rsid w:val="003C6A14"/>
    <w:rsid w:val="003C6A6E"/>
    <w:rsid w:val="003C7028"/>
    <w:rsid w:val="003C71C0"/>
    <w:rsid w:val="003C7601"/>
    <w:rsid w:val="003C78F2"/>
    <w:rsid w:val="003D056A"/>
    <w:rsid w:val="003D0AA5"/>
    <w:rsid w:val="003D0F57"/>
    <w:rsid w:val="003D1095"/>
    <w:rsid w:val="003D2859"/>
    <w:rsid w:val="003D2A5B"/>
    <w:rsid w:val="003D2CD2"/>
    <w:rsid w:val="003D30A7"/>
    <w:rsid w:val="003D3385"/>
    <w:rsid w:val="003D3F69"/>
    <w:rsid w:val="003D3FC2"/>
    <w:rsid w:val="003D40D4"/>
    <w:rsid w:val="003D4763"/>
    <w:rsid w:val="003D49B9"/>
    <w:rsid w:val="003D52B2"/>
    <w:rsid w:val="003D5DAA"/>
    <w:rsid w:val="003D6558"/>
    <w:rsid w:val="003E050B"/>
    <w:rsid w:val="003E0BAB"/>
    <w:rsid w:val="003E1D49"/>
    <w:rsid w:val="003E1D82"/>
    <w:rsid w:val="003E2184"/>
    <w:rsid w:val="003E220B"/>
    <w:rsid w:val="003E3B5C"/>
    <w:rsid w:val="003E3D5F"/>
    <w:rsid w:val="003E56F2"/>
    <w:rsid w:val="003E5800"/>
    <w:rsid w:val="003E5872"/>
    <w:rsid w:val="003F028A"/>
    <w:rsid w:val="003F1334"/>
    <w:rsid w:val="003F26AB"/>
    <w:rsid w:val="003F27C3"/>
    <w:rsid w:val="003F2B17"/>
    <w:rsid w:val="003F2F13"/>
    <w:rsid w:val="003F3152"/>
    <w:rsid w:val="003F3686"/>
    <w:rsid w:val="003F3AC9"/>
    <w:rsid w:val="003F3D06"/>
    <w:rsid w:val="003F441E"/>
    <w:rsid w:val="003F4A73"/>
    <w:rsid w:val="003F535A"/>
    <w:rsid w:val="003F59B2"/>
    <w:rsid w:val="003F5B93"/>
    <w:rsid w:val="003F60FA"/>
    <w:rsid w:val="003F63EE"/>
    <w:rsid w:val="003F662E"/>
    <w:rsid w:val="003F6B84"/>
    <w:rsid w:val="003F71EB"/>
    <w:rsid w:val="003F73BB"/>
    <w:rsid w:val="003F7A1C"/>
    <w:rsid w:val="00400151"/>
    <w:rsid w:val="00400481"/>
    <w:rsid w:val="00400923"/>
    <w:rsid w:val="004012CD"/>
    <w:rsid w:val="00401B3A"/>
    <w:rsid w:val="00401E12"/>
    <w:rsid w:val="004024AD"/>
    <w:rsid w:val="00403033"/>
    <w:rsid w:val="004036F3"/>
    <w:rsid w:val="0040476B"/>
    <w:rsid w:val="00404A27"/>
    <w:rsid w:val="00404B76"/>
    <w:rsid w:val="00405796"/>
    <w:rsid w:val="00406F7F"/>
    <w:rsid w:val="0040770E"/>
    <w:rsid w:val="0040798A"/>
    <w:rsid w:val="00410EA5"/>
    <w:rsid w:val="00410F95"/>
    <w:rsid w:val="00411351"/>
    <w:rsid w:val="0041142B"/>
    <w:rsid w:val="00411592"/>
    <w:rsid w:val="00411682"/>
    <w:rsid w:val="00411AAA"/>
    <w:rsid w:val="00412FE9"/>
    <w:rsid w:val="00413787"/>
    <w:rsid w:val="00414266"/>
    <w:rsid w:val="00414AFD"/>
    <w:rsid w:val="00415EF2"/>
    <w:rsid w:val="00416A12"/>
    <w:rsid w:val="00416A55"/>
    <w:rsid w:val="00417079"/>
    <w:rsid w:val="00417C09"/>
    <w:rsid w:val="00417FB4"/>
    <w:rsid w:val="00420111"/>
    <w:rsid w:val="0042322E"/>
    <w:rsid w:val="00423ED8"/>
    <w:rsid w:val="00424000"/>
    <w:rsid w:val="004240AC"/>
    <w:rsid w:val="004249CD"/>
    <w:rsid w:val="004250F0"/>
    <w:rsid w:val="0042530B"/>
    <w:rsid w:val="00426550"/>
    <w:rsid w:val="0042667E"/>
    <w:rsid w:val="00426BBA"/>
    <w:rsid w:val="00427076"/>
    <w:rsid w:val="004301C6"/>
    <w:rsid w:val="00430E00"/>
    <w:rsid w:val="00431805"/>
    <w:rsid w:val="00431A07"/>
    <w:rsid w:val="0043230E"/>
    <w:rsid w:val="0043324F"/>
    <w:rsid w:val="0043507E"/>
    <w:rsid w:val="004350FD"/>
    <w:rsid w:val="00435583"/>
    <w:rsid w:val="00435883"/>
    <w:rsid w:val="00436530"/>
    <w:rsid w:val="00436742"/>
    <w:rsid w:val="004367ED"/>
    <w:rsid w:val="004372C7"/>
    <w:rsid w:val="004375E8"/>
    <w:rsid w:val="004378B4"/>
    <w:rsid w:val="00440309"/>
    <w:rsid w:val="00441D34"/>
    <w:rsid w:val="004421DB"/>
    <w:rsid w:val="004421FF"/>
    <w:rsid w:val="00442708"/>
    <w:rsid w:val="0044291F"/>
    <w:rsid w:val="00442994"/>
    <w:rsid w:val="0044333E"/>
    <w:rsid w:val="00443627"/>
    <w:rsid w:val="00443AA5"/>
    <w:rsid w:val="00443FA8"/>
    <w:rsid w:val="004441C2"/>
    <w:rsid w:val="004446CC"/>
    <w:rsid w:val="00444C29"/>
    <w:rsid w:val="00445D2E"/>
    <w:rsid w:val="00446B56"/>
    <w:rsid w:val="00446D4A"/>
    <w:rsid w:val="00446F42"/>
    <w:rsid w:val="004479DF"/>
    <w:rsid w:val="00447B2B"/>
    <w:rsid w:val="00447DEE"/>
    <w:rsid w:val="004509BA"/>
    <w:rsid w:val="00450A05"/>
    <w:rsid w:val="004515D2"/>
    <w:rsid w:val="00451BEA"/>
    <w:rsid w:val="004532A3"/>
    <w:rsid w:val="00454A68"/>
    <w:rsid w:val="00455463"/>
    <w:rsid w:val="00455975"/>
    <w:rsid w:val="00455BF0"/>
    <w:rsid w:val="00455EFE"/>
    <w:rsid w:val="0045670E"/>
    <w:rsid w:val="00456918"/>
    <w:rsid w:val="004577F1"/>
    <w:rsid w:val="00457A44"/>
    <w:rsid w:val="004603FA"/>
    <w:rsid w:val="0046108A"/>
    <w:rsid w:val="004610AC"/>
    <w:rsid w:val="00461A8C"/>
    <w:rsid w:val="00461BA7"/>
    <w:rsid w:val="004621A5"/>
    <w:rsid w:val="004641EB"/>
    <w:rsid w:val="004644AC"/>
    <w:rsid w:val="0046585D"/>
    <w:rsid w:val="00465963"/>
    <w:rsid w:val="00465D11"/>
    <w:rsid w:val="00465D3C"/>
    <w:rsid w:val="00465D6E"/>
    <w:rsid w:val="00466D0F"/>
    <w:rsid w:val="00466E9B"/>
    <w:rsid w:val="004671FA"/>
    <w:rsid w:val="00467D6A"/>
    <w:rsid w:val="004700BE"/>
    <w:rsid w:val="00470123"/>
    <w:rsid w:val="00470311"/>
    <w:rsid w:val="00471393"/>
    <w:rsid w:val="0047207A"/>
    <w:rsid w:val="00473760"/>
    <w:rsid w:val="00474EFF"/>
    <w:rsid w:val="004754FC"/>
    <w:rsid w:val="00476E14"/>
    <w:rsid w:val="00476F9A"/>
    <w:rsid w:val="004810FB"/>
    <w:rsid w:val="00481C6B"/>
    <w:rsid w:val="00481D71"/>
    <w:rsid w:val="00481E0A"/>
    <w:rsid w:val="00481E32"/>
    <w:rsid w:val="00481FA8"/>
    <w:rsid w:val="00482FB6"/>
    <w:rsid w:val="004833AF"/>
    <w:rsid w:val="00483F9D"/>
    <w:rsid w:val="00484B65"/>
    <w:rsid w:val="004853DE"/>
    <w:rsid w:val="00486517"/>
    <w:rsid w:val="0048700E"/>
    <w:rsid w:val="00487818"/>
    <w:rsid w:val="00487B9C"/>
    <w:rsid w:val="00487CA8"/>
    <w:rsid w:val="00487DC4"/>
    <w:rsid w:val="00487E22"/>
    <w:rsid w:val="00487FD3"/>
    <w:rsid w:val="00487FDD"/>
    <w:rsid w:val="00491C3D"/>
    <w:rsid w:val="0049292D"/>
    <w:rsid w:val="0049298C"/>
    <w:rsid w:val="00492DF9"/>
    <w:rsid w:val="0049325E"/>
    <w:rsid w:val="00495425"/>
    <w:rsid w:val="00495547"/>
    <w:rsid w:val="0049565C"/>
    <w:rsid w:val="00496B2A"/>
    <w:rsid w:val="0049E6AF"/>
    <w:rsid w:val="004A0202"/>
    <w:rsid w:val="004A082A"/>
    <w:rsid w:val="004A0C0F"/>
    <w:rsid w:val="004A0F72"/>
    <w:rsid w:val="004A1D66"/>
    <w:rsid w:val="004A3995"/>
    <w:rsid w:val="004A3AAA"/>
    <w:rsid w:val="004A3CCA"/>
    <w:rsid w:val="004A3DE8"/>
    <w:rsid w:val="004A5CFD"/>
    <w:rsid w:val="004A6820"/>
    <w:rsid w:val="004A6BCC"/>
    <w:rsid w:val="004A7EB3"/>
    <w:rsid w:val="004A7FE1"/>
    <w:rsid w:val="004B00D0"/>
    <w:rsid w:val="004B17F9"/>
    <w:rsid w:val="004B27A6"/>
    <w:rsid w:val="004B2F31"/>
    <w:rsid w:val="004B3EF0"/>
    <w:rsid w:val="004B44F0"/>
    <w:rsid w:val="004B4C80"/>
    <w:rsid w:val="004B4DBC"/>
    <w:rsid w:val="004B6442"/>
    <w:rsid w:val="004B645C"/>
    <w:rsid w:val="004B660F"/>
    <w:rsid w:val="004B6FAF"/>
    <w:rsid w:val="004B762A"/>
    <w:rsid w:val="004C1302"/>
    <w:rsid w:val="004C2610"/>
    <w:rsid w:val="004C28C9"/>
    <w:rsid w:val="004C3363"/>
    <w:rsid w:val="004C39F6"/>
    <w:rsid w:val="004C3DEA"/>
    <w:rsid w:val="004C59D1"/>
    <w:rsid w:val="004C607B"/>
    <w:rsid w:val="004C6A5F"/>
    <w:rsid w:val="004C76A0"/>
    <w:rsid w:val="004C7810"/>
    <w:rsid w:val="004C7B21"/>
    <w:rsid w:val="004D01F2"/>
    <w:rsid w:val="004D123B"/>
    <w:rsid w:val="004D1807"/>
    <w:rsid w:val="004D1924"/>
    <w:rsid w:val="004D2236"/>
    <w:rsid w:val="004D2AC3"/>
    <w:rsid w:val="004D5367"/>
    <w:rsid w:val="004D5983"/>
    <w:rsid w:val="004D5AD0"/>
    <w:rsid w:val="004D5EC4"/>
    <w:rsid w:val="004D610D"/>
    <w:rsid w:val="004D63BF"/>
    <w:rsid w:val="004D6448"/>
    <w:rsid w:val="004D69B6"/>
    <w:rsid w:val="004D6FFC"/>
    <w:rsid w:val="004D705B"/>
    <w:rsid w:val="004D7878"/>
    <w:rsid w:val="004D7DB2"/>
    <w:rsid w:val="004E06FA"/>
    <w:rsid w:val="004E0CF7"/>
    <w:rsid w:val="004E1762"/>
    <w:rsid w:val="004E2150"/>
    <w:rsid w:val="004E288D"/>
    <w:rsid w:val="004E292C"/>
    <w:rsid w:val="004E2EC7"/>
    <w:rsid w:val="004E3C5A"/>
    <w:rsid w:val="004E3F1A"/>
    <w:rsid w:val="004E47F7"/>
    <w:rsid w:val="004E4A85"/>
    <w:rsid w:val="004E4BE0"/>
    <w:rsid w:val="004E54B1"/>
    <w:rsid w:val="004E5C5F"/>
    <w:rsid w:val="004E5F60"/>
    <w:rsid w:val="004E672B"/>
    <w:rsid w:val="004E69AF"/>
    <w:rsid w:val="004E73D2"/>
    <w:rsid w:val="004E7D6E"/>
    <w:rsid w:val="004E7E2F"/>
    <w:rsid w:val="004F0212"/>
    <w:rsid w:val="004F1A40"/>
    <w:rsid w:val="004F21E9"/>
    <w:rsid w:val="004F2C54"/>
    <w:rsid w:val="004F3004"/>
    <w:rsid w:val="004F3014"/>
    <w:rsid w:val="004F305A"/>
    <w:rsid w:val="004F36E5"/>
    <w:rsid w:val="004F4A85"/>
    <w:rsid w:val="004F5039"/>
    <w:rsid w:val="004F594C"/>
    <w:rsid w:val="004F59FA"/>
    <w:rsid w:val="004F5A93"/>
    <w:rsid w:val="004F5E5E"/>
    <w:rsid w:val="004F6317"/>
    <w:rsid w:val="004F649B"/>
    <w:rsid w:val="004F78E0"/>
    <w:rsid w:val="005001E3"/>
    <w:rsid w:val="00501A9F"/>
    <w:rsid w:val="0050232E"/>
    <w:rsid w:val="00503C30"/>
    <w:rsid w:val="0050518E"/>
    <w:rsid w:val="00505703"/>
    <w:rsid w:val="00505EF4"/>
    <w:rsid w:val="0050639F"/>
    <w:rsid w:val="00506702"/>
    <w:rsid w:val="00506F43"/>
    <w:rsid w:val="00506FA9"/>
    <w:rsid w:val="0050777F"/>
    <w:rsid w:val="005077C7"/>
    <w:rsid w:val="00507AE1"/>
    <w:rsid w:val="00510FDE"/>
    <w:rsid w:val="005114D0"/>
    <w:rsid w:val="0051198F"/>
    <w:rsid w:val="00512E25"/>
    <w:rsid w:val="0051309C"/>
    <w:rsid w:val="005133BC"/>
    <w:rsid w:val="00513B18"/>
    <w:rsid w:val="00514C9A"/>
    <w:rsid w:val="00514F0B"/>
    <w:rsid w:val="005151B3"/>
    <w:rsid w:val="00515570"/>
    <w:rsid w:val="005156B5"/>
    <w:rsid w:val="00515736"/>
    <w:rsid w:val="00515772"/>
    <w:rsid w:val="005175AC"/>
    <w:rsid w:val="005178A5"/>
    <w:rsid w:val="00517BA4"/>
    <w:rsid w:val="00517EC5"/>
    <w:rsid w:val="0052076D"/>
    <w:rsid w:val="00520E89"/>
    <w:rsid w:val="00521B9D"/>
    <w:rsid w:val="00521DB7"/>
    <w:rsid w:val="005220DA"/>
    <w:rsid w:val="00522184"/>
    <w:rsid w:val="005224D4"/>
    <w:rsid w:val="00522C18"/>
    <w:rsid w:val="00523D2F"/>
    <w:rsid w:val="0052400A"/>
    <w:rsid w:val="00524763"/>
    <w:rsid w:val="00524DDE"/>
    <w:rsid w:val="00524E59"/>
    <w:rsid w:val="0052533F"/>
    <w:rsid w:val="005257A6"/>
    <w:rsid w:val="00525E44"/>
    <w:rsid w:val="005267BC"/>
    <w:rsid w:val="005273EB"/>
    <w:rsid w:val="005277B3"/>
    <w:rsid w:val="00527AAA"/>
    <w:rsid w:val="00527DB4"/>
    <w:rsid w:val="0053023F"/>
    <w:rsid w:val="005306C2"/>
    <w:rsid w:val="005309C4"/>
    <w:rsid w:val="00532D87"/>
    <w:rsid w:val="00533190"/>
    <w:rsid w:val="00533FE1"/>
    <w:rsid w:val="00535E9F"/>
    <w:rsid w:val="00536031"/>
    <w:rsid w:val="00536352"/>
    <w:rsid w:val="005364F8"/>
    <w:rsid w:val="005368A8"/>
    <w:rsid w:val="00536F64"/>
    <w:rsid w:val="005372DB"/>
    <w:rsid w:val="005406D6"/>
    <w:rsid w:val="005408B2"/>
    <w:rsid w:val="00540E2E"/>
    <w:rsid w:val="00541360"/>
    <w:rsid w:val="00542297"/>
    <w:rsid w:val="00542F65"/>
    <w:rsid w:val="0054581A"/>
    <w:rsid w:val="005474CA"/>
    <w:rsid w:val="005508E3"/>
    <w:rsid w:val="00550D84"/>
    <w:rsid w:val="005519B9"/>
    <w:rsid w:val="00551ACC"/>
    <w:rsid w:val="00552F07"/>
    <w:rsid w:val="005533FC"/>
    <w:rsid w:val="00553D64"/>
    <w:rsid w:val="00554A80"/>
    <w:rsid w:val="00556E0D"/>
    <w:rsid w:val="00557553"/>
    <w:rsid w:val="00557ACA"/>
    <w:rsid w:val="00557BD0"/>
    <w:rsid w:val="00557D5A"/>
    <w:rsid w:val="00560982"/>
    <w:rsid w:val="0056257D"/>
    <w:rsid w:val="00562B52"/>
    <w:rsid w:val="00563452"/>
    <w:rsid w:val="005639F6"/>
    <w:rsid w:val="00563B4B"/>
    <w:rsid w:val="00564241"/>
    <w:rsid w:val="00564ACA"/>
    <w:rsid w:val="00565309"/>
    <w:rsid w:val="00565A45"/>
    <w:rsid w:val="0056680B"/>
    <w:rsid w:val="00567133"/>
    <w:rsid w:val="00567448"/>
    <w:rsid w:val="00567ACA"/>
    <w:rsid w:val="00567ACD"/>
    <w:rsid w:val="0057018E"/>
    <w:rsid w:val="005706AB"/>
    <w:rsid w:val="00570DD7"/>
    <w:rsid w:val="00571062"/>
    <w:rsid w:val="005711AB"/>
    <w:rsid w:val="00571587"/>
    <w:rsid w:val="00571F2E"/>
    <w:rsid w:val="0057299A"/>
    <w:rsid w:val="00572C5E"/>
    <w:rsid w:val="00572CBC"/>
    <w:rsid w:val="00572D37"/>
    <w:rsid w:val="0057334A"/>
    <w:rsid w:val="005733EF"/>
    <w:rsid w:val="00573443"/>
    <w:rsid w:val="00573D99"/>
    <w:rsid w:val="00573FAD"/>
    <w:rsid w:val="00574248"/>
    <w:rsid w:val="005748F1"/>
    <w:rsid w:val="00574CF8"/>
    <w:rsid w:val="00574E11"/>
    <w:rsid w:val="00576BC8"/>
    <w:rsid w:val="0057745C"/>
    <w:rsid w:val="00577473"/>
    <w:rsid w:val="005778BC"/>
    <w:rsid w:val="00580237"/>
    <w:rsid w:val="00580E87"/>
    <w:rsid w:val="005817D3"/>
    <w:rsid w:val="005817F2"/>
    <w:rsid w:val="00581C03"/>
    <w:rsid w:val="00582169"/>
    <w:rsid w:val="005822E8"/>
    <w:rsid w:val="005824DB"/>
    <w:rsid w:val="00582A41"/>
    <w:rsid w:val="00584098"/>
    <w:rsid w:val="005840DE"/>
    <w:rsid w:val="0058424A"/>
    <w:rsid w:val="005848CE"/>
    <w:rsid w:val="00585327"/>
    <w:rsid w:val="00585B72"/>
    <w:rsid w:val="005867BE"/>
    <w:rsid w:val="00586FD2"/>
    <w:rsid w:val="00587AF6"/>
    <w:rsid w:val="00587CF7"/>
    <w:rsid w:val="005907C1"/>
    <w:rsid w:val="00591367"/>
    <w:rsid w:val="00591983"/>
    <w:rsid w:val="00591A43"/>
    <w:rsid w:val="00591C9E"/>
    <w:rsid w:val="00591E4F"/>
    <w:rsid w:val="00592888"/>
    <w:rsid w:val="00592F7C"/>
    <w:rsid w:val="0059310E"/>
    <w:rsid w:val="005932CD"/>
    <w:rsid w:val="00593598"/>
    <w:rsid w:val="005946DE"/>
    <w:rsid w:val="0059668D"/>
    <w:rsid w:val="00596B5C"/>
    <w:rsid w:val="00596BDB"/>
    <w:rsid w:val="00597450"/>
    <w:rsid w:val="005A0F19"/>
    <w:rsid w:val="005A13D5"/>
    <w:rsid w:val="005A16ED"/>
    <w:rsid w:val="005A1994"/>
    <w:rsid w:val="005A1B9B"/>
    <w:rsid w:val="005A26EC"/>
    <w:rsid w:val="005A2864"/>
    <w:rsid w:val="005A2AC5"/>
    <w:rsid w:val="005A38A3"/>
    <w:rsid w:val="005A3BC1"/>
    <w:rsid w:val="005A3D51"/>
    <w:rsid w:val="005A4111"/>
    <w:rsid w:val="005A42A2"/>
    <w:rsid w:val="005A457A"/>
    <w:rsid w:val="005A4FE7"/>
    <w:rsid w:val="005A578E"/>
    <w:rsid w:val="005A6297"/>
    <w:rsid w:val="005A63C5"/>
    <w:rsid w:val="005A78E4"/>
    <w:rsid w:val="005A79A3"/>
    <w:rsid w:val="005B0E0B"/>
    <w:rsid w:val="005B1163"/>
    <w:rsid w:val="005B13AF"/>
    <w:rsid w:val="005B1EEB"/>
    <w:rsid w:val="005B20D6"/>
    <w:rsid w:val="005B29F7"/>
    <w:rsid w:val="005B3606"/>
    <w:rsid w:val="005B38EE"/>
    <w:rsid w:val="005B3CCE"/>
    <w:rsid w:val="005B3F27"/>
    <w:rsid w:val="005B480A"/>
    <w:rsid w:val="005B52B2"/>
    <w:rsid w:val="005B5E17"/>
    <w:rsid w:val="005B5F95"/>
    <w:rsid w:val="005B60E2"/>
    <w:rsid w:val="005B6642"/>
    <w:rsid w:val="005B676A"/>
    <w:rsid w:val="005B69D6"/>
    <w:rsid w:val="005B72D6"/>
    <w:rsid w:val="005B738E"/>
    <w:rsid w:val="005B7647"/>
    <w:rsid w:val="005B7F24"/>
    <w:rsid w:val="005B7FEC"/>
    <w:rsid w:val="005C08B4"/>
    <w:rsid w:val="005C0ABC"/>
    <w:rsid w:val="005C0F7C"/>
    <w:rsid w:val="005C1405"/>
    <w:rsid w:val="005C295F"/>
    <w:rsid w:val="005C2DCD"/>
    <w:rsid w:val="005C3891"/>
    <w:rsid w:val="005C46D9"/>
    <w:rsid w:val="005C4948"/>
    <w:rsid w:val="005C535F"/>
    <w:rsid w:val="005C56A4"/>
    <w:rsid w:val="005C74F9"/>
    <w:rsid w:val="005C7876"/>
    <w:rsid w:val="005D042A"/>
    <w:rsid w:val="005D0770"/>
    <w:rsid w:val="005D0881"/>
    <w:rsid w:val="005D100F"/>
    <w:rsid w:val="005D1F6F"/>
    <w:rsid w:val="005D252C"/>
    <w:rsid w:val="005D3758"/>
    <w:rsid w:val="005D42DA"/>
    <w:rsid w:val="005D4938"/>
    <w:rsid w:val="005D51D2"/>
    <w:rsid w:val="005D6F91"/>
    <w:rsid w:val="005D6FCA"/>
    <w:rsid w:val="005D7FA2"/>
    <w:rsid w:val="005E0D82"/>
    <w:rsid w:val="005E0DA4"/>
    <w:rsid w:val="005E1121"/>
    <w:rsid w:val="005E1211"/>
    <w:rsid w:val="005E1271"/>
    <w:rsid w:val="005E1968"/>
    <w:rsid w:val="005E211E"/>
    <w:rsid w:val="005E2146"/>
    <w:rsid w:val="005E2B20"/>
    <w:rsid w:val="005E2B4E"/>
    <w:rsid w:val="005E392A"/>
    <w:rsid w:val="005E3A39"/>
    <w:rsid w:val="005E4291"/>
    <w:rsid w:val="005E47B5"/>
    <w:rsid w:val="005E4C8E"/>
    <w:rsid w:val="005E5033"/>
    <w:rsid w:val="005E65BD"/>
    <w:rsid w:val="005E6B70"/>
    <w:rsid w:val="005E741E"/>
    <w:rsid w:val="005E7BA2"/>
    <w:rsid w:val="005E7DF9"/>
    <w:rsid w:val="005E7F1C"/>
    <w:rsid w:val="005E7FF0"/>
    <w:rsid w:val="005ED61A"/>
    <w:rsid w:val="005F00A7"/>
    <w:rsid w:val="005F06B5"/>
    <w:rsid w:val="005F0730"/>
    <w:rsid w:val="005F0EA0"/>
    <w:rsid w:val="005F0F64"/>
    <w:rsid w:val="005F1435"/>
    <w:rsid w:val="005F19E9"/>
    <w:rsid w:val="005F1B6B"/>
    <w:rsid w:val="005F1C9F"/>
    <w:rsid w:val="005F2F6A"/>
    <w:rsid w:val="005F4241"/>
    <w:rsid w:val="005F62B1"/>
    <w:rsid w:val="005F6814"/>
    <w:rsid w:val="005F6DA3"/>
    <w:rsid w:val="005F73C5"/>
    <w:rsid w:val="005F787A"/>
    <w:rsid w:val="005F7F06"/>
    <w:rsid w:val="005F7FAD"/>
    <w:rsid w:val="00601742"/>
    <w:rsid w:val="00601959"/>
    <w:rsid w:val="00601EA4"/>
    <w:rsid w:val="0060210D"/>
    <w:rsid w:val="006035F9"/>
    <w:rsid w:val="0060384B"/>
    <w:rsid w:val="00603B77"/>
    <w:rsid w:val="006043CA"/>
    <w:rsid w:val="00604D0E"/>
    <w:rsid w:val="00604DB0"/>
    <w:rsid w:val="00604FC0"/>
    <w:rsid w:val="00605115"/>
    <w:rsid w:val="0060512B"/>
    <w:rsid w:val="00606550"/>
    <w:rsid w:val="00607A9B"/>
    <w:rsid w:val="006107F2"/>
    <w:rsid w:val="0061181C"/>
    <w:rsid w:val="0061301B"/>
    <w:rsid w:val="00613C6E"/>
    <w:rsid w:val="00613F83"/>
    <w:rsid w:val="00615A20"/>
    <w:rsid w:val="006167A5"/>
    <w:rsid w:val="006169E8"/>
    <w:rsid w:val="00616E06"/>
    <w:rsid w:val="00616F53"/>
    <w:rsid w:val="006170AF"/>
    <w:rsid w:val="00617582"/>
    <w:rsid w:val="00620633"/>
    <w:rsid w:val="006208BA"/>
    <w:rsid w:val="0062095B"/>
    <w:rsid w:val="00620C5B"/>
    <w:rsid w:val="00621497"/>
    <w:rsid w:val="006216F8"/>
    <w:rsid w:val="0062197C"/>
    <w:rsid w:val="00621A52"/>
    <w:rsid w:val="00621CBA"/>
    <w:rsid w:val="00622D6E"/>
    <w:rsid w:val="00623111"/>
    <w:rsid w:val="00625504"/>
    <w:rsid w:val="0062551D"/>
    <w:rsid w:val="00625E51"/>
    <w:rsid w:val="0062608F"/>
    <w:rsid w:val="00627426"/>
    <w:rsid w:val="006279A8"/>
    <w:rsid w:val="00627D04"/>
    <w:rsid w:val="00627E0C"/>
    <w:rsid w:val="00627E65"/>
    <w:rsid w:val="006303AE"/>
    <w:rsid w:val="006304C9"/>
    <w:rsid w:val="00630540"/>
    <w:rsid w:val="00631024"/>
    <w:rsid w:val="00631229"/>
    <w:rsid w:val="00631E77"/>
    <w:rsid w:val="006326B7"/>
    <w:rsid w:val="0063314E"/>
    <w:rsid w:val="006334F1"/>
    <w:rsid w:val="006349FD"/>
    <w:rsid w:val="00634C68"/>
    <w:rsid w:val="006365A1"/>
    <w:rsid w:val="006366AA"/>
    <w:rsid w:val="00636C48"/>
    <w:rsid w:val="006378AD"/>
    <w:rsid w:val="0064044D"/>
    <w:rsid w:val="00640F20"/>
    <w:rsid w:val="00641470"/>
    <w:rsid w:val="00641F17"/>
    <w:rsid w:val="006423B4"/>
    <w:rsid w:val="00642AEB"/>
    <w:rsid w:val="0064365E"/>
    <w:rsid w:val="006437B5"/>
    <w:rsid w:val="00643FF4"/>
    <w:rsid w:val="00644129"/>
    <w:rsid w:val="00644828"/>
    <w:rsid w:val="0064547C"/>
    <w:rsid w:val="00645534"/>
    <w:rsid w:val="00645C2A"/>
    <w:rsid w:val="00645E2F"/>
    <w:rsid w:val="00646C5C"/>
    <w:rsid w:val="00646D36"/>
    <w:rsid w:val="00646DAD"/>
    <w:rsid w:val="0064748D"/>
    <w:rsid w:val="00647D5B"/>
    <w:rsid w:val="006503B1"/>
    <w:rsid w:val="00650E9C"/>
    <w:rsid w:val="00651259"/>
    <w:rsid w:val="00651D15"/>
    <w:rsid w:val="0065203C"/>
    <w:rsid w:val="00652450"/>
    <w:rsid w:val="0065359D"/>
    <w:rsid w:val="006538B2"/>
    <w:rsid w:val="00654206"/>
    <w:rsid w:val="00654C6F"/>
    <w:rsid w:val="00654F05"/>
    <w:rsid w:val="0065668C"/>
    <w:rsid w:val="00656A70"/>
    <w:rsid w:val="00656D75"/>
    <w:rsid w:val="0065782B"/>
    <w:rsid w:val="006578DF"/>
    <w:rsid w:val="00657E8F"/>
    <w:rsid w:val="00660F5B"/>
    <w:rsid w:val="00661891"/>
    <w:rsid w:val="00662262"/>
    <w:rsid w:val="0066261A"/>
    <w:rsid w:val="006628F7"/>
    <w:rsid w:val="00662FF1"/>
    <w:rsid w:val="0066376C"/>
    <w:rsid w:val="006641C5"/>
    <w:rsid w:val="0066437A"/>
    <w:rsid w:val="00664ED3"/>
    <w:rsid w:val="00665B37"/>
    <w:rsid w:val="006661BA"/>
    <w:rsid w:val="0066692B"/>
    <w:rsid w:val="006670D8"/>
    <w:rsid w:val="0066755F"/>
    <w:rsid w:val="00670238"/>
    <w:rsid w:val="00670273"/>
    <w:rsid w:val="0067031E"/>
    <w:rsid w:val="00670AD5"/>
    <w:rsid w:val="006712D7"/>
    <w:rsid w:val="00671AB0"/>
    <w:rsid w:val="00672734"/>
    <w:rsid w:val="00673B30"/>
    <w:rsid w:val="00673FB8"/>
    <w:rsid w:val="006757DF"/>
    <w:rsid w:val="00675B4A"/>
    <w:rsid w:val="00675C42"/>
    <w:rsid w:val="00675D15"/>
    <w:rsid w:val="006761F7"/>
    <w:rsid w:val="006762EE"/>
    <w:rsid w:val="006765DD"/>
    <w:rsid w:val="00676773"/>
    <w:rsid w:val="006771B5"/>
    <w:rsid w:val="00677C3F"/>
    <w:rsid w:val="00677D7B"/>
    <w:rsid w:val="00680E97"/>
    <w:rsid w:val="00681230"/>
    <w:rsid w:val="00681CAB"/>
    <w:rsid w:val="00681EEF"/>
    <w:rsid w:val="00681F3E"/>
    <w:rsid w:val="00682AAC"/>
    <w:rsid w:val="00682CE1"/>
    <w:rsid w:val="00682EE7"/>
    <w:rsid w:val="00683726"/>
    <w:rsid w:val="00683BBB"/>
    <w:rsid w:val="00683F8A"/>
    <w:rsid w:val="00684165"/>
    <w:rsid w:val="006842F8"/>
    <w:rsid w:val="0068470B"/>
    <w:rsid w:val="00684E44"/>
    <w:rsid w:val="00685AD0"/>
    <w:rsid w:val="00685BA9"/>
    <w:rsid w:val="00686188"/>
    <w:rsid w:val="006862FD"/>
    <w:rsid w:val="00686859"/>
    <w:rsid w:val="006875D2"/>
    <w:rsid w:val="0068777D"/>
    <w:rsid w:val="00690096"/>
    <w:rsid w:val="006901E6"/>
    <w:rsid w:val="006907A3"/>
    <w:rsid w:val="00691264"/>
    <w:rsid w:val="00691502"/>
    <w:rsid w:val="00691832"/>
    <w:rsid w:val="00691C8F"/>
    <w:rsid w:val="00691D44"/>
    <w:rsid w:val="00692064"/>
    <w:rsid w:val="0069216C"/>
    <w:rsid w:val="006928BB"/>
    <w:rsid w:val="00692E84"/>
    <w:rsid w:val="00693460"/>
    <w:rsid w:val="00693626"/>
    <w:rsid w:val="00693ED0"/>
    <w:rsid w:val="006943D7"/>
    <w:rsid w:val="00694F34"/>
    <w:rsid w:val="006950C0"/>
    <w:rsid w:val="00695166"/>
    <w:rsid w:val="00696B1B"/>
    <w:rsid w:val="00696F6C"/>
    <w:rsid w:val="00697CFD"/>
    <w:rsid w:val="00697FD5"/>
    <w:rsid w:val="006A01D7"/>
    <w:rsid w:val="006A049D"/>
    <w:rsid w:val="006A06DD"/>
    <w:rsid w:val="006A07BB"/>
    <w:rsid w:val="006A155D"/>
    <w:rsid w:val="006A16A6"/>
    <w:rsid w:val="006A18AB"/>
    <w:rsid w:val="006A24B8"/>
    <w:rsid w:val="006A2878"/>
    <w:rsid w:val="006A2DB6"/>
    <w:rsid w:val="006A34D8"/>
    <w:rsid w:val="006A3FBE"/>
    <w:rsid w:val="006A531E"/>
    <w:rsid w:val="006A5887"/>
    <w:rsid w:val="006A6897"/>
    <w:rsid w:val="006A6C2F"/>
    <w:rsid w:val="006A71C6"/>
    <w:rsid w:val="006A7377"/>
    <w:rsid w:val="006B0F9A"/>
    <w:rsid w:val="006B15A0"/>
    <w:rsid w:val="006B1EF8"/>
    <w:rsid w:val="006B2EC9"/>
    <w:rsid w:val="006B3232"/>
    <w:rsid w:val="006B33CB"/>
    <w:rsid w:val="006B379E"/>
    <w:rsid w:val="006B39AC"/>
    <w:rsid w:val="006B3C02"/>
    <w:rsid w:val="006B3C63"/>
    <w:rsid w:val="006B4036"/>
    <w:rsid w:val="006B41E4"/>
    <w:rsid w:val="006B540A"/>
    <w:rsid w:val="006B61AD"/>
    <w:rsid w:val="006B6279"/>
    <w:rsid w:val="006B66E5"/>
    <w:rsid w:val="006B7897"/>
    <w:rsid w:val="006B7AE3"/>
    <w:rsid w:val="006C0230"/>
    <w:rsid w:val="006C050B"/>
    <w:rsid w:val="006C09F8"/>
    <w:rsid w:val="006C26FD"/>
    <w:rsid w:val="006C2B90"/>
    <w:rsid w:val="006C2ECF"/>
    <w:rsid w:val="006C3418"/>
    <w:rsid w:val="006C38F3"/>
    <w:rsid w:val="006C4711"/>
    <w:rsid w:val="006C484F"/>
    <w:rsid w:val="006C4962"/>
    <w:rsid w:val="006C49BB"/>
    <w:rsid w:val="006C4A7A"/>
    <w:rsid w:val="006C4EC1"/>
    <w:rsid w:val="006C74D2"/>
    <w:rsid w:val="006C79C8"/>
    <w:rsid w:val="006C7A01"/>
    <w:rsid w:val="006C7BBB"/>
    <w:rsid w:val="006C7D1B"/>
    <w:rsid w:val="006D00EC"/>
    <w:rsid w:val="006D0242"/>
    <w:rsid w:val="006D084E"/>
    <w:rsid w:val="006D0C48"/>
    <w:rsid w:val="006D2D69"/>
    <w:rsid w:val="006D2F4D"/>
    <w:rsid w:val="006D3195"/>
    <w:rsid w:val="006D34B2"/>
    <w:rsid w:val="006D367E"/>
    <w:rsid w:val="006D3D02"/>
    <w:rsid w:val="006D40B9"/>
    <w:rsid w:val="006D428E"/>
    <w:rsid w:val="006D466B"/>
    <w:rsid w:val="006D47A4"/>
    <w:rsid w:val="006D4CA5"/>
    <w:rsid w:val="006D4F08"/>
    <w:rsid w:val="006D4FC8"/>
    <w:rsid w:val="006D58D3"/>
    <w:rsid w:val="006D5CFF"/>
    <w:rsid w:val="006D5F20"/>
    <w:rsid w:val="006D67C1"/>
    <w:rsid w:val="006D723E"/>
    <w:rsid w:val="006D7716"/>
    <w:rsid w:val="006D7CE4"/>
    <w:rsid w:val="006D7D72"/>
    <w:rsid w:val="006E0360"/>
    <w:rsid w:val="006E0AFF"/>
    <w:rsid w:val="006E1FD8"/>
    <w:rsid w:val="006E27A7"/>
    <w:rsid w:val="006E2862"/>
    <w:rsid w:val="006E298B"/>
    <w:rsid w:val="006E32BE"/>
    <w:rsid w:val="006E3A44"/>
    <w:rsid w:val="006E3B7E"/>
    <w:rsid w:val="006E3D58"/>
    <w:rsid w:val="006E3DAD"/>
    <w:rsid w:val="006E3F43"/>
    <w:rsid w:val="006E4775"/>
    <w:rsid w:val="006E4C22"/>
    <w:rsid w:val="006E542B"/>
    <w:rsid w:val="006E5A62"/>
    <w:rsid w:val="006E5D5C"/>
    <w:rsid w:val="006E6340"/>
    <w:rsid w:val="006E674D"/>
    <w:rsid w:val="006E6B91"/>
    <w:rsid w:val="006E6D92"/>
    <w:rsid w:val="006E702B"/>
    <w:rsid w:val="006E7E98"/>
    <w:rsid w:val="006F044F"/>
    <w:rsid w:val="006F2647"/>
    <w:rsid w:val="006F2F10"/>
    <w:rsid w:val="006F324C"/>
    <w:rsid w:val="006F3292"/>
    <w:rsid w:val="006F3372"/>
    <w:rsid w:val="006F34B1"/>
    <w:rsid w:val="006F37B4"/>
    <w:rsid w:val="006F493A"/>
    <w:rsid w:val="006F53B8"/>
    <w:rsid w:val="006F542C"/>
    <w:rsid w:val="006F5947"/>
    <w:rsid w:val="006F6397"/>
    <w:rsid w:val="006F66CD"/>
    <w:rsid w:val="006F699C"/>
    <w:rsid w:val="006F6A40"/>
    <w:rsid w:val="006F71BA"/>
    <w:rsid w:val="006F72BA"/>
    <w:rsid w:val="00700A21"/>
    <w:rsid w:val="00701003"/>
    <w:rsid w:val="00701385"/>
    <w:rsid w:val="007014E3"/>
    <w:rsid w:val="0070189A"/>
    <w:rsid w:val="00701914"/>
    <w:rsid w:val="00702728"/>
    <w:rsid w:val="00703044"/>
    <w:rsid w:val="00703090"/>
    <w:rsid w:val="0070322E"/>
    <w:rsid w:val="00703B41"/>
    <w:rsid w:val="007054A3"/>
    <w:rsid w:val="007058FE"/>
    <w:rsid w:val="00705A15"/>
    <w:rsid w:val="00705CAC"/>
    <w:rsid w:val="00705D96"/>
    <w:rsid w:val="00705D98"/>
    <w:rsid w:val="00706C6E"/>
    <w:rsid w:val="007077BD"/>
    <w:rsid w:val="00707E97"/>
    <w:rsid w:val="00710096"/>
    <w:rsid w:val="0071075F"/>
    <w:rsid w:val="00710E81"/>
    <w:rsid w:val="00710ED6"/>
    <w:rsid w:val="007118D7"/>
    <w:rsid w:val="0071190F"/>
    <w:rsid w:val="00711A50"/>
    <w:rsid w:val="0071207C"/>
    <w:rsid w:val="00712DBD"/>
    <w:rsid w:val="0071358E"/>
    <w:rsid w:val="00713ACB"/>
    <w:rsid w:val="00714506"/>
    <w:rsid w:val="00714C9F"/>
    <w:rsid w:val="007159BF"/>
    <w:rsid w:val="00716C84"/>
    <w:rsid w:val="00716C9A"/>
    <w:rsid w:val="00717C68"/>
    <w:rsid w:val="007203D5"/>
    <w:rsid w:val="0072049A"/>
    <w:rsid w:val="00720984"/>
    <w:rsid w:val="00720CFC"/>
    <w:rsid w:val="00720F4A"/>
    <w:rsid w:val="0072229F"/>
    <w:rsid w:val="0072286D"/>
    <w:rsid w:val="00723304"/>
    <w:rsid w:val="007237C2"/>
    <w:rsid w:val="0072385E"/>
    <w:rsid w:val="00723955"/>
    <w:rsid w:val="00723DE9"/>
    <w:rsid w:val="00724216"/>
    <w:rsid w:val="00724730"/>
    <w:rsid w:val="00725466"/>
    <w:rsid w:val="00725D5B"/>
    <w:rsid w:val="007260AD"/>
    <w:rsid w:val="0072665D"/>
    <w:rsid w:val="00726A44"/>
    <w:rsid w:val="00727AA3"/>
    <w:rsid w:val="00727BB4"/>
    <w:rsid w:val="00727DE7"/>
    <w:rsid w:val="00730E1F"/>
    <w:rsid w:val="00732398"/>
    <w:rsid w:val="00732992"/>
    <w:rsid w:val="00732FFB"/>
    <w:rsid w:val="007330C5"/>
    <w:rsid w:val="00733D3B"/>
    <w:rsid w:val="00734E17"/>
    <w:rsid w:val="00735E87"/>
    <w:rsid w:val="007362BA"/>
    <w:rsid w:val="00737710"/>
    <w:rsid w:val="00737E94"/>
    <w:rsid w:val="0074039E"/>
    <w:rsid w:val="00740AEC"/>
    <w:rsid w:val="00740AF8"/>
    <w:rsid w:val="007414BB"/>
    <w:rsid w:val="007417B5"/>
    <w:rsid w:val="00741A62"/>
    <w:rsid w:val="00742903"/>
    <w:rsid w:val="007436B8"/>
    <w:rsid w:val="0074422B"/>
    <w:rsid w:val="007444EB"/>
    <w:rsid w:val="00744658"/>
    <w:rsid w:val="00744AEE"/>
    <w:rsid w:val="00744B28"/>
    <w:rsid w:val="00744CE4"/>
    <w:rsid w:val="00746CAF"/>
    <w:rsid w:val="0075088A"/>
    <w:rsid w:val="00751262"/>
    <w:rsid w:val="00751E01"/>
    <w:rsid w:val="00751F51"/>
    <w:rsid w:val="00752E5D"/>
    <w:rsid w:val="00753419"/>
    <w:rsid w:val="007536CE"/>
    <w:rsid w:val="00753F89"/>
    <w:rsid w:val="00754393"/>
    <w:rsid w:val="00755004"/>
    <w:rsid w:val="00755C6C"/>
    <w:rsid w:val="00755EF6"/>
    <w:rsid w:val="007561CF"/>
    <w:rsid w:val="00756AA6"/>
    <w:rsid w:val="00757439"/>
    <w:rsid w:val="007602F2"/>
    <w:rsid w:val="00760755"/>
    <w:rsid w:val="00760DA3"/>
    <w:rsid w:val="007614EC"/>
    <w:rsid w:val="0076171E"/>
    <w:rsid w:val="007618D5"/>
    <w:rsid w:val="00761BDE"/>
    <w:rsid w:val="00762DE0"/>
    <w:rsid w:val="007641AF"/>
    <w:rsid w:val="007641FE"/>
    <w:rsid w:val="007644CB"/>
    <w:rsid w:val="007646C9"/>
    <w:rsid w:val="00764B7A"/>
    <w:rsid w:val="00764EC3"/>
    <w:rsid w:val="00766322"/>
    <w:rsid w:val="00766A9E"/>
    <w:rsid w:val="00767336"/>
    <w:rsid w:val="00767349"/>
    <w:rsid w:val="00767708"/>
    <w:rsid w:val="007679E9"/>
    <w:rsid w:val="0077082B"/>
    <w:rsid w:val="00771034"/>
    <w:rsid w:val="00771EEC"/>
    <w:rsid w:val="007721C3"/>
    <w:rsid w:val="007725FA"/>
    <w:rsid w:val="00772A1F"/>
    <w:rsid w:val="0077327D"/>
    <w:rsid w:val="0077392D"/>
    <w:rsid w:val="00773BED"/>
    <w:rsid w:val="00773EE0"/>
    <w:rsid w:val="007745F9"/>
    <w:rsid w:val="00774AF7"/>
    <w:rsid w:val="00775630"/>
    <w:rsid w:val="00776092"/>
    <w:rsid w:val="0077680A"/>
    <w:rsid w:val="00776FC7"/>
    <w:rsid w:val="0077764B"/>
    <w:rsid w:val="007778BD"/>
    <w:rsid w:val="00777FC0"/>
    <w:rsid w:val="007805E2"/>
    <w:rsid w:val="00781294"/>
    <w:rsid w:val="007820B5"/>
    <w:rsid w:val="00782DD2"/>
    <w:rsid w:val="007836CA"/>
    <w:rsid w:val="00783C63"/>
    <w:rsid w:val="00784135"/>
    <w:rsid w:val="007843F3"/>
    <w:rsid w:val="007849F3"/>
    <w:rsid w:val="00784E30"/>
    <w:rsid w:val="0078511C"/>
    <w:rsid w:val="00785190"/>
    <w:rsid w:val="00785964"/>
    <w:rsid w:val="007859FF"/>
    <w:rsid w:val="00786174"/>
    <w:rsid w:val="007863EC"/>
    <w:rsid w:val="00786BCB"/>
    <w:rsid w:val="00786DD0"/>
    <w:rsid w:val="00787A6A"/>
    <w:rsid w:val="007906BE"/>
    <w:rsid w:val="00790CC3"/>
    <w:rsid w:val="00790E40"/>
    <w:rsid w:val="0079291B"/>
    <w:rsid w:val="0079306C"/>
    <w:rsid w:val="00793739"/>
    <w:rsid w:val="00793A20"/>
    <w:rsid w:val="00793DE2"/>
    <w:rsid w:val="00793E3E"/>
    <w:rsid w:val="00793FB0"/>
    <w:rsid w:val="0079412B"/>
    <w:rsid w:val="007943D8"/>
    <w:rsid w:val="00794EA2"/>
    <w:rsid w:val="00796AE1"/>
    <w:rsid w:val="00797708"/>
    <w:rsid w:val="00797819"/>
    <w:rsid w:val="00797944"/>
    <w:rsid w:val="007A0774"/>
    <w:rsid w:val="007A10A3"/>
    <w:rsid w:val="007A232E"/>
    <w:rsid w:val="007A26FB"/>
    <w:rsid w:val="007A29A5"/>
    <w:rsid w:val="007A2D21"/>
    <w:rsid w:val="007A2DBF"/>
    <w:rsid w:val="007A35B7"/>
    <w:rsid w:val="007A36C1"/>
    <w:rsid w:val="007A3912"/>
    <w:rsid w:val="007A4464"/>
    <w:rsid w:val="007A502B"/>
    <w:rsid w:val="007A5CF1"/>
    <w:rsid w:val="007A68CE"/>
    <w:rsid w:val="007A6DD9"/>
    <w:rsid w:val="007A6E29"/>
    <w:rsid w:val="007A7087"/>
    <w:rsid w:val="007A70C6"/>
    <w:rsid w:val="007A7382"/>
    <w:rsid w:val="007A766F"/>
    <w:rsid w:val="007A7BDC"/>
    <w:rsid w:val="007A7C27"/>
    <w:rsid w:val="007B023C"/>
    <w:rsid w:val="007B0477"/>
    <w:rsid w:val="007B0BD6"/>
    <w:rsid w:val="007B141B"/>
    <w:rsid w:val="007B1470"/>
    <w:rsid w:val="007B1F3E"/>
    <w:rsid w:val="007B2B3A"/>
    <w:rsid w:val="007B2DC9"/>
    <w:rsid w:val="007B33B6"/>
    <w:rsid w:val="007B3902"/>
    <w:rsid w:val="007B3AD4"/>
    <w:rsid w:val="007B4017"/>
    <w:rsid w:val="007B4952"/>
    <w:rsid w:val="007B4B3D"/>
    <w:rsid w:val="007B4B88"/>
    <w:rsid w:val="007B530B"/>
    <w:rsid w:val="007B562B"/>
    <w:rsid w:val="007B57F7"/>
    <w:rsid w:val="007B59FA"/>
    <w:rsid w:val="007B657B"/>
    <w:rsid w:val="007B7177"/>
    <w:rsid w:val="007C0205"/>
    <w:rsid w:val="007C1059"/>
    <w:rsid w:val="007C10A4"/>
    <w:rsid w:val="007C182D"/>
    <w:rsid w:val="007C29DE"/>
    <w:rsid w:val="007C31DC"/>
    <w:rsid w:val="007C37BD"/>
    <w:rsid w:val="007C4BA4"/>
    <w:rsid w:val="007C4C5F"/>
    <w:rsid w:val="007C5187"/>
    <w:rsid w:val="007C5D8E"/>
    <w:rsid w:val="007C6352"/>
    <w:rsid w:val="007C7C27"/>
    <w:rsid w:val="007C7F97"/>
    <w:rsid w:val="007D0109"/>
    <w:rsid w:val="007D153D"/>
    <w:rsid w:val="007D156E"/>
    <w:rsid w:val="007D18DD"/>
    <w:rsid w:val="007D19F0"/>
    <w:rsid w:val="007D21A5"/>
    <w:rsid w:val="007D2E95"/>
    <w:rsid w:val="007D32CF"/>
    <w:rsid w:val="007D349C"/>
    <w:rsid w:val="007D4589"/>
    <w:rsid w:val="007D4757"/>
    <w:rsid w:val="007D5EB5"/>
    <w:rsid w:val="007D666D"/>
    <w:rsid w:val="007D750E"/>
    <w:rsid w:val="007D7654"/>
    <w:rsid w:val="007D7FE9"/>
    <w:rsid w:val="007E0282"/>
    <w:rsid w:val="007E0306"/>
    <w:rsid w:val="007E0ACB"/>
    <w:rsid w:val="007E0FBA"/>
    <w:rsid w:val="007E1751"/>
    <w:rsid w:val="007E1927"/>
    <w:rsid w:val="007E22C8"/>
    <w:rsid w:val="007E26D5"/>
    <w:rsid w:val="007E2BCF"/>
    <w:rsid w:val="007E3126"/>
    <w:rsid w:val="007E31A7"/>
    <w:rsid w:val="007E373F"/>
    <w:rsid w:val="007E3887"/>
    <w:rsid w:val="007E47BB"/>
    <w:rsid w:val="007E480A"/>
    <w:rsid w:val="007E62F1"/>
    <w:rsid w:val="007E677B"/>
    <w:rsid w:val="007E6E0D"/>
    <w:rsid w:val="007E7435"/>
    <w:rsid w:val="007E76CA"/>
    <w:rsid w:val="007F0057"/>
    <w:rsid w:val="007F0B81"/>
    <w:rsid w:val="007F150D"/>
    <w:rsid w:val="007F18EA"/>
    <w:rsid w:val="007F3F1E"/>
    <w:rsid w:val="007F4820"/>
    <w:rsid w:val="007F4877"/>
    <w:rsid w:val="007F5044"/>
    <w:rsid w:val="007F5547"/>
    <w:rsid w:val="007F5E25"/>
    <w:rsid w:val="007F64B2"/>
    <w:rsid w:val="007F70F5"/>
    <w:rsid w:val="007F7624"/>
    <w:rsid w:val="007F795C"/>
    <w:rsid w:val="007F79D3"/>
    <w:rsid w:val="008001C7"/>
    <w:rsid w:val="008005C9"/>
    <w:rsid w:val="00800A5E"/>
    <w:rsid w:val="00801C7E"/>
    <w:rsid w:val="00801DA3"/>
    <w:rsid w:val="00802161"/>
    <w:rsid w:val="00803251"/>
    <w:rsid w:val="00804F9A"/>
    <w:rsid w:val="00805781"/>
    <w:rsid w:val="00805A15"/>
    <w:rsid w:val="00805AAC"/>
    <w:rsid w:val="008062C0"/>
    <w:rsid w:val="0080675F"/>
    <w:rsid w:val="00806C80"/>
    <w:rsid w:val="00806D17"/>
    <w:rsid w:val="00807196"/>
    <w:rsid w:val="0080777E"/>
    <w:rsid w:val="008079FD"/>
    <w:rsid w:val="00810054"/>
    <w:rsid w:val="008106A3"/>
    <w:rsid w:val="00811A29"/>
    <w:rsid w:val="00811CE6"/>
    <w:rsid w:val="00811F30"/>
    <w:rsid w:val="00813443"/>
    <w:rsid w:val="00813ECF"/>
    <w:rsid w:val="008148C2"/>
    <w:rsid w:val="00815033"/>
    <w:rsid w:val="008152C4"/>
    <w:rsid w:val="008156A4"/>
    <w:rsid w:val="0081604B"/>
    <w:rsid w:val="008174E4"/>
    <w:rsid w:val="008175CB"/>
    <w:rsid w:val="00817622"/>
    <w:rsid w:val="008179EA"/>
    <w:rsid w:val="00817CE2"/>
    <w:rsid w:val="00821674"/>
    <w:rsid w:val="0082190B"/>
    <w:rsid w:val="00821A42"/>
    <w:rsid w:val="00821FFE"/>
    <w:rsid w:val="00822054"/>
    <w:rsid w:val="00822901"/>
    <w:rsid w:val="00822AEE"/>
    <w:rsid w:val="00822C09"/>
    <w:rsid w:val="00822D37"/>
    <w:rsid w:val="00822F78"/>
    <w:rsid w:val="00822FCC"/>
    <w:rsid w:val="008236A0"/>
    <w:rsid w:val="00823D5D"/>
    <w:rsid w:val="0082475A"/>
    <w:rsid w:val="008248AA"/>
    <w:rsid w:val="00824BA0"/>
    <w:rsid w:val="00825B01"/>
    <w:rsid w:val="00826A7A"/>
    <w:rsid w:val="00827A40"/>
    <w:rsid w:val="008304C3"/>
    <w:rsid w:val="008307CC"/>
    <w:rsid w:val="00830A4B"/>
    <w:rsid w:val="008312F8"/>
    <w:rsid w:val="00831811"/>
    <w:rsid w:val="00831B2C"/>
    <w:rsid w:val="00833192"/>
    <w:rsid w:val="008367F6"/>
    <w:rsid w:val="00836EC4"/>
    <w:rsid w:val="00837502"/>
    <w:rsid w:val="00840A66"/>
    <w:rsid w:val="00840CB3"/>
    <w:rsid w:val="008410E2"/>
    <w:rsid w:val="008419DA"/>
    <w:rsid w:val="00841F8C"/>
    <w:rsid w:val="00842063"/>
    <w:rsid w:val="008426EC"/>
    <w:rsid w:val="008429E4"/>
    <w:rsid w:val="00843469"/>
    <w:rsid w:val="00843572"/>
    <w:rsid w:val="0084523C"/>
    <w:rsid w:val="00845A2B"/>
    <w:rsid w:val="00846AFA"/>
    <w:rsid w:val="00847004"/>
    <w:rsid w:val="00847B85"/>
    <w:rsid w:val="00847F71"/>
    <w:rsid w:val="008505A7"/>
    <w:rsid w:val="00850B28"/>
    <w:rsid w:val="00852155"/>
    <w:rsid w:val="0085282C"/>
    <w:rsid w:val="00852945"/>
    <w:rsid w:val="00852E1F"/>
    <w:rsid w:val="00853350"/>
    <w:rsid w:val="00853FCE"/>
    <w:rsid w:val="00854B16"/>
    <w:rsid w:val="00854DDF"/>
    <w:rsid w:val="00855106"/>
    <w:rsid w:val="00855E17"/>
    <w:rsid w:val="00856BAA"/>
    <w:rsid w:val="008577B6"/>
    <w:rsid w:val="008579C7"/>
    <w:rsid w:val="00857EEE"/>
    <w:rsid w:val="00860332"/>
    <w:rsid w:val="00860BBB"/>
    <w:rsid w:val="00861065"/>
    <w:rsid w:val="00861D26"/>
    <w:rsid w:val="008626AF"/>
    <w:rsid w:val="00862D7C"/>
    <w:rsid w:val="00862F22"/>
    <w:rsid w:val="00863C56"/>
    <w:rsid w:val="00863EF4"/>
    <w:rsid w:val="008643AF"/>
    <w:rsid w:val="008649FF"/>
    <w:rsid w:val="00866014"/>
    <w:rsid w:val="00866302"/>
    <w:rsid w:val="008663F0"/>
    <w:rsid w:val="008674E8"/>
    <w:rsid w:val="008679A4"/>
    <w:rsid w:val="00870146"/>
    <w:rsid w:val="00870411"/>
    <w:rsid w:val="00870592"/>
    <w:rsid w:val="008706AD"/>
    <w:rsid w:val="008716A0"/>
    <w:rsid w:val="008717E8"/>
    <w:rsid w:val="00872007"/>
    <w:rsid w:val="0087250E"/>
    <w:rsid w:val="00872698"/>
    <w:rsid w:val="00872882"/>
    <w:rsid w:val="0087411F"/>
    <w:rsid w:val="0087447C"/>
    <w:rsid w:val="008745B5"/>
    <w:rsid w:val="00874E90"/>
    <w:rsid w:val="00874EE8"/>
    <w:rsid w:val="008753FC"/>
    <w:rsid w:val="008757CD"/>
    <w:rsid w:val="00875898"/>
    <w:rsid w:val="008769FB"/>
    <w:rsid w:val="008770A0"/>
    <w:rsid w:val="008773F6"/>
    <w:rsid w:val="008779F2"/>
    <w:rsid w:val="00880152"/>
    <w:rsid w:val="0088130D"/>
    <w:rsid w:val="008815F5"/>
    <w:rsid w:val="00881C20"/>
    <w:rsid w:val="0088202E"/>
    <w:rsid w:val="008821FC"/>
    <w:rsid w:val="008822B7"/>
    <w:rsid w:val="0088291C"/>
    <w:rsid w:val="00883609"/>
    <w:rsid w:val="00883D8E"/>
    <w:rsid w:val="0088470F"/>
    <w:rsid w:val="008858B4"/>
    <w:rsid w:val="0088610E"/>
    <w:rsid w:val="00886253"/>
    <w:rsid w:val="00886431"/>
    <w:rsid w:val="00886906"/>
    <w:rsid w:val="00886BD4"/>
    <w:rsid w:val="00886E0F"/>
    <w:rsid w:val="008870F3"/>
    <w:rsid w:val="008901B8"/>
    <w:rsid w:val="008906FD"/>
    <w:rsid w:val="008915AF"/>
    <w:rsid w:val="008919F3"/>
    <w:rsid w:val="00891C66"/>
    <w:rsid w:val="00891F33"/>
    <w:rsid w:val="00891FA7"/>
    <w:rsid w:val="0089230D"/>
    <w:rsid w:val="00892422"/>
    <w:rsid w:val="00892645"/>
    <w:rsid w:val="008928CC"/>
    <w:rsid w:val="00893662"/>
    <w:rsid w:val="00893D47"/>
    <w:rsid w:val="008956AB"/>
    <w:rsid w:val="00896B2D"/>
    <w:rsid w:val="00896F38"/>
    <w:rsid w:val="008972B5"/>
    <w:rsid w:val="00897FCE"/>
    <w:rsid w:val="008A0D7A"/>
    <w:rsid w:val="008A0F58"/>
    <w:rsid w:val="008A151C"/>
    <w:rsid w:val="008A16FA"/>
    <w:rsid w:val="008A1BB6"/>
    <w:rsid w:val="008A2261"/>
    <w:rsid w:val="008A23F1"/>
    <w:rsid w:val="008A2AE7"/>
    <w:rsid w:val="008A2B8F"/>
    <w:rsid w:val="008A2BCA"/>
    <w:rsid w:val="008A3101"/>
    <w:rsid w:val="008A315D"/>
    <w:rsid w:val="008A413C"/>
    <w:rsid w:val="008A53BC"/>
    <w:rsid w:val="008A58BC"/>
    <w:rsid w:val="008A5B2B"/>
    <w:rsid w:val="008A5CDF"/>
    <w:rsid w:val="008A68F0"/>
    <w:rsid w:val="008A6B53"/>
    <w:rsid w:val="008A73A5"/>
    <w:rsid w:val="008A7E30"/>
    <w:rsid w:val="008A7FA8"/>
    <w:rsid w:val="008B0195"/>
    <w:rsid w:val="008B15BB"/>
    <w:rsid w:val="008B1972"/>
    <w:rsid w:val="008B2F1C"/>
    <w:rsid w:val="008B2F79"/>
    <w:rsid w:val="008B41B9"/>
    <w:rsid w:val="008B41F3"/>
    <w:rsid w:val="008B49C2"/>
    <w:rsid w:val="008B4CD2"/>
    <w:rsid w:val="008B5240"/>
    <w:rsid w:val="008B5F00"/>
    <w:rsid w:val="008C19EB"/>
    <w:rsid w:val="008C1B60"/>
    <w:rsid w:val="008C21BB"/>
    <w:rsid w:val="008C2429"/>
    <w:rsid w:val="008C3E7D"/>
    <w:rsid w:val="008C40BB"/>
    <w:rsid w:val="008C4634"/>
    <w:rsid w:val="008C6176"/>
    <w:rsid w:val="008C62B0"/>
    <w:rsid w:val="008C6995"/>
    <w:rsid w:val="008C7419"/>
    <w:rsid w:val="008C7BAF"/>
    <w:rsid w:val="008C7D82"/>
    <w:rsid w:val="008D04DC"/>
    <w:rsid w:val="008D0C5D"/>
    <w:rsid w:val="008D0E96"/>
    <w:rsid w:val="008D148A"/>
    <w:rsid w:val="008D2128"/>
    <w:rsid w:val="008D24B7"/>
    <w:rsid w:val="008D2989"/>
    <w:rsid w:val="008D2B4F"/>
    <w:rsid w:val="008D2C1A"/>
    <w:rsid w:val="008D3748"/>
    <w:rsid w:val="008D396A"/>
    <w:rsid w:val="008D3D62"/>
    <w:rsid w:val="008D4727"/>
    <w:rsid w:val="008D477B"/>
    <w:rsid w:val="008D4873"/>
    <w:rsid w:val="008D48B8"/>
    <w:rsid w:val="008D5013"/>
    <w:rsid w:val="008D52C7"/>
    <w:rsid w:val="008D6DA0"/>
    <w:rsid w:val="008D6E97"/>
    <w:rsid w:val="008D723E"/>
    <w:rsid w:val="008D7243"/>
    <w:rsid w:val="008D7AD5"/>
    <w:rsid w:val="008D7D46"/>
    <w:rsid w:val="008E03C0"/>
    <w:rsid w:val="008E1069"/>
    <w:rsid w:val="008E11CE"/>
    <w:rsid w:val="008E1C6B"/>
    <w:rsid w:val="008E27F4"/>
    <w:rsid w:val="008E29E0"/>
    <w:rsid w:val="008E3362"/>
    <w:rsid w:val="008E426C"/>
    <w:rsid w:val="008E46FE"/>
    <w:rsid w:val="008E4DCA"/>
    <w:rsid w:val="008E69DB"/>
    <w:rsid w:val="008E6D23"/>
    <w:rsid w:val="008E7670"/>
    <w:rsid w:val="008E7FE7"/>
    <w:rsid w:val="008F05B1"/>
    <w:rsid w:val="008F062F"/>
    <w:rsid w:val="008F093D"/>
    <w:rsid w:val="008F12D7"/>
    <w:rsid w:val="008F1744"/>
    <w:rsid w:val="008F19C5"/>
    <w:rsid w:val="008F33A6"/>
    <w:rsid w:val="008F41CE"/>
    <w:rsid w:val="008F4E37"/>
    <w:rsid w:val="008F5C10"/>
    <w:rsid w:val="008F5C8D"/>
    <w:rsid w:val="008F604A"/>
    <w:rsid w:val="008F6648"/>
    <w:rsid w:val="008F6E57"/>
    <w:rsid w:val="008F6EB8"/>
    <w:rsid w:val="008F7351"/>
    <w:rsid w:val="008F7589"/>
    <w:rsid w:val="008F7C59"/>
    <w:rsid w:val="0090057A"/>
    <w:rsid w:val="00900C1C"/>
    <w:rsid w:val="0090163D"/>
    <w:rsid w:val="009031ED"/>
    <w:rsid w:val="009039EA"/>
    <w:rsid w:val="0090475D"/>
    <w:rsid w:val="0090476A"/>
    <w:rsid w:val="009047A2"/>
    <w:rsid w:val="00905EAC"/>
    <w:rsid w:val="009061D6"/>
    <w:rsid w:val="00907462"/>
    <w:rsid w:val="0090751A"/>
    <w:rsid w:val="009079A7"/>
    <w:rsid w:val="00907B13"/>
    <w:rsid w:val="009104BB"/>
    <w:rsid w:val="00910F06"/>
    <w:rsid w:val="009112C1"/>
    <w:rsid w:val="009113F9"/>
    <w:rsid w:val="009120F7"/>
    <w:rsid w:val="0091255B"/>
    <w:rsid w:val="009132E4"/>
    <w:rsid w:val="009134E5"/>
    <w:rsid w:val="00913677"/>
    <w:rsid w:val="00913CB8"/>
    <w:rsid w:val="00914175"/>
    <w:rsid w:val="0091431D"/>
    <w:rsid w:val="00914497"/>
    <w:rsid w:val="00914640"/>
    <w:rsid w:val="00914F81"/>
    <w:rsid w:val="00916087"/>
    <w:rsid w:val="0091671C"/>
    <w:rsid w:val="00916791"/>
    <w:rsid w:val="0091680F"/>
    <w:rsid w:val="00916FBD"/>
    <w:rsid w:val="0091714F"/>
    <w:rsid w:val="009174B3"/>
    <w:rsid w:val="00917A6D"/>
    <w:rsid w:val="00920830"/>
    <w:rsid w:val="0092139B"/>
    <w:rsid w:val="009215ED"/>
    <w:rsid w:val="00921712"/>
    <w:rsid w:val="009218EA"/>
    <w:rsid w:val="0092246C"/>
    <w:rsid w:val="00922712"/>
    <w:rsid w:val="00922DDC"/>
    <w:rsid w:val="00923C1B"/>
    <w:rsid w:val="00923CC9"/>
    <w:rsid w:val="0092404E"/>
    <w:rsid w:val="009249AC"/>
    <w:rsid w:val="00924D71"/>
    <w:rsid w:val="009256FB"/>
    <w:rsid w:val="00925E03"/>
    <w:rsid w:val="0092606E"/>
    <w:rsid w:val="0092648B"/>
    <w:rsid w:val="009267CF"/>
    <w:rsid w:val="0092687C"/>
    <w:rsid w:val="00926EDF"/>
    <w:rsid w:val="0092753E"/>
    <w:rsid w:val="00927F36"/>
    <w:rsid w:val="00930E41"/>
    <w:rsid w:val="00930EFB"/>
    <w:rsid w:val="00931507"/>
    <w:rsid w:val="00931C05"/>
    <w:rsid w:val="00931DCB"/>
    <w:rsid w:val="00933027"/>
    <w:rsid w:val="009347A1"/>
    <w:rsid w:val="00934A87"/>
    <w:rsid w:val="00934C36"/>
    <w:rsid w:val="00934C82"/>
    <w:rsid w:val="00935181"/>
    <w:rsid w:val="009354F0"/>
    <w:rsid w:val="00935F0E"/>
    <w:rsid w:val="00935FFB"/>
    <w:rsid w:val="009362E7"/>
    <w:rsid w:val="00936775"/>
    <w:rsid w:val="00936D33"/>
    <w:rsid w:val="00937482"/>
    <w:rsid w:val="00937681"/>
    <w:rsid w:val="009376F1"/>
    <w:rsid w:val="009405DA"/>
    <w:rsid w:val="00941FC5"/>
    <w:rsid w:val="009423D0"/>
    <w:rsid w:val="00942A1A"/>
    <w:rsid w:val="00942AC5"/>
    <w:rsid w:val="00942CAD"/>
    <w:rsid w:val="0094370A"/>
    <w:rsid w:val="00943BBB"/>
    <w:rsid w:val="0094433E"/>
    <w:rsid w:val="00944526"/>
    <w:rsid w:val="009446B6"/>
    <w:rsid w:val="009447C4"/>
    <w:rsid w:val="00944F4C"/>
    <w:rsid w:val="00945675"/>
    <w:rsid w:val="00945BC6"/>
    <w:rsid w:val="00946466"/>
    <w:rsid w:val="00946DEA"/>
    <w:rsid w:val="00947217"/>
    <w:rsid w:val="00947F99"/>
    <w:rsid w:val="00947FEB"/>
    <w:rsid w:val="00950115"/>
    <w:rsid w:val="00950193"/>
    <w:rsid w:val="00950735"/>
    <w:rsid w:val="00950C3B"/>
    <w:rsid w:val="00951133"/>
    <w:rsid w:val="0095192C"/>
    <w:rsid w:val="00952364"/>
    <w:rsid w:val="00953BB3"/>
    <w:rsid w:val="009540C8"/>
    <w:rsid w:val="00954E56"/>
    <w:rsid w:val="00954E8C"/>
    <w:rsid w:val="00954E9D"/>
    <w:rsid w:val="009554F8"/>
    <w:rsid w:val="00956070"/>
    <w:rsid w:val="0095667E"/>
    <w:rsid w:val="00956B73"/>
    <w:rsid w:val="009574C9"/>
    <w:rsid w:val="00957B18"/>
    <w:rsid w:val="00957BE7"/>
    <w:rsid w:val="009601EC"/>
    <w:rsid w:val="0096072F"/>
    <w:rsid w:val="0096097C"/>
    <w:rsid w:val="00960AC8"/>
    <w:rsid w:val="00960CDA"/>
    <w:rsid w:val="00960E3A"/>
    <w:rsid w:val="00960E5C"/>
    <w:rsid w:val="00960F2A"/>
    <w:rsid w:val="009614AC"/>
    <w:rsid w:val="009615A8"/>
    <w:rsid w:val="0096169F"/>
    <w:rsid w:val="009626A0"/>
    <w:rsid w:val="00963DAE"/>
    <w:rsid w:val="009647CE"/>
    <w:rsid w:val="00965835"/>
    <w:rsid w:val="0096590C"/>
    <w:rsid w:val="00967050"/>
    <w:rsid w:val="009671FF"/>
    <w:rsid w:val="00967679"/>
    <w:rsid w:val="009677FC"/>
    <w:rsid w:val="009701C7"/>
    <w:rsid w:val="00970DDD"/>
    <w:rsid w:val="0097141D"/>
    <w:rsid w:val="009716A4"/>
    <w:rsid w:val="009723C1"/>
    <w:rsid w:val="009731B6"/>
    <w:rsid w:val="00973D28"/>
    <w:rsid w:val="00973E02"/>
    <w:rsid w:val="0097497A"/>
    <w:rsid w:val="00974BC5"/>
    <w:rsid w:val="00976174"/>
    <w:rsid w:val="009762A3"/>
    <w:rsid w:val="00977420"/>
    <w:rsid w:val="00977646"/>
    <w:rsid w:val="0098011E"/>
    <w:rsid w:val="0098114B"/>
    <w:rsid w:val="00982710"/>
    <w:rsid w:val="0098274F"/>
    <w:rsid w:val="009828C4"/>
    <w:rsid w:val="00982F0E"/>
    <w:rsid w:val="00984709"/>
    <w:rsid w:val="009853FA"/>
    <w:rsid w:val="009855BF"/>
    <w:rsid w:val="0098592C"/>
    <w:rsid w:val="00985AF2"/>
    <w:rsid w:val="0098689E"/>
    <w:rsid w:val="00987491"/>
    <w:rsid w:val="009906EB"/>
    <w:rsid w:val="00990CDA"/>
    <w:rsid w:val="00991B20"/>
    <w:rsid w:val="0099205B"/>
    <w:rsid w:val="00992212"/>
    <w:rsid w:val="0099226D"/>
    <w:rsid w:val="009922F5"/>
    <w:rsid w:val="0099270A"/>
    <w:rsid w:val="00992832"/>
    <w:rsid w:val="00992876"/>
    <w:rsid w:val="0099326A"/>
    <w:rsid w:val="00993E6E"/>
    <w:rsid w:val="00994FE4"/>
    <w:rsid w:val="00995BFB"/>
    <w:rsid w:val="009966D9"/>
    <w:rsid w:val="00997A24"/>
    <w:rsid w:val="00997D6D"/>
    <w:rsid w:val="009A02DB"/>
    <w:rsid w:val="009A072B"/>
    <w:rsid w:val="009A08CC"/>
    <w:rsid w:val="009A097E"/>
    <w:rsid w:val="009A15A3"/>
    <w:rsid w:val="009A16E1"/>
    <w:rsid w:val="009A279F"/>
    <w:rsid w:val="009A358A"/>
    <w:rsid w:val="009A4312"/>
    <w:rsid w:val="009A4B2B"/>
    <w:rsid w:val="009A4F36"/>
    <w:rsid w:val="009A6760"/>
    <w:rsid w:val="009A690C"/>
    <w:rsid w:val="009A6D96"/>
    <w:rsid w:val="009A757E"/>
    <w:rsid w:val="009A7897"/>
    <w:rsid w:val="009A78A8"/>
    <w:rsid w:val="009A7944"/>
    <w:rsid w:val="009B03E1"/>
    <w:rsid w:val="009B07B0"/>
    <w:rsid w:val="009B1E91"/>
    <w:rsid w:val="009B1F1C"/>
    <w:rsid w:val="009B23E3"/>
    <w:rsid w:val="009B2934"/>
    <w:rsid w:val="009B3877"/>
    <w:rsid w:val="009B3A8A"/>
    <w:rsid w:val="009B4443"/>
    <w:rsid w:val="009B447B"/>
    <w:rsid w:val="009B4EF8"/>
    <w:rsid w:val="009B5580"/>
    <w:rsid w:val="009B6078"/>
    <w:rsid w:val="009B6894"/>
    <w:rsid w:val="009B69F6"/>
    <w:rsid w:val="009B6FB4"/>
    <w:rsid w:val="009B767A"/>
    <w:rsid w:val="009B7B7E"/>
    <w:rsid w:val="009C0881"/>
    <w:rsid w:val="009C0B81"/>
    <w:rsid w:val="009C0FE0"/>
    <w:rsid w:val="009C1198"/>
    <w:rsid w:val="009C13BC"/>
    <w:rsid w:val="009C1561"/>
    <w:rsid w:val="009C1DBD"/>
    <w:rsid w:val="009C2007"/>
    <w:rsid w:val="009C218E"/>
    <w:rsid w:val="009C23C6"/>
    <w:rsid w:val="009C2DAB"/>
    <w:rsid w:val="009C2DE9"/>
    <w:rsid w:val="009C3256"/>
    <w:rsid w:val="009C39D6"/>
    <w:rsid w:val="009C3BEF"/>
    <w:rsid w:val="009C407B"/>
    <w:rsid w:val="009C42BB"/>
    <w:rsid w:val="009C42F1"/>
    <w:rsid w:val="009C485A"/>
    <w:rsid w:val="009C4951"/>
    <w:rsid w:val="009C4DA7"/>
    <w:rsid w:val="009C5D1A"/>
    <w:rsid w:val="009C5E2F"/>
    <w:rsid w:val="009C6087"/>
    <w:rsid w:val="009C6820"/>
    <w:rsid w:val="009C6B1F"/>
    <w:rsid w:val="009C70C2"/>
    <w:rsid w:val="009C72BF"/>
    <w:rsid w:val="009C72EC"/>
    <w:rsid w:val="009C779C"/>
    <w:rsid w:val="009C7E70"/>
    <w:rsid w:val="009D0CD6"/>
    <w:rsid w:val="009D241A"/>
    <w:rsid w:val="009D2914"/>
    <w:rsid w:val="009D2CB7"/>
    <w:rsid w:val="009D2E06"/>
    <w:rsid w:val="009D306A"/>
    <w:rsid w:val="009D309A"/>
    <w:rsid w:val="009D3D28"/>
    <w:rsid w:val="009D4BA4"/>
    <w:rsid w:val="009D4E39"/>
    <w:rsid w:val="009D561B"/>
    <w:rsid w:val="009D5652"/>
    <w:rsid w:val="009D57E0"/>
    <w:rsid w:val="009D5A86"/>
    <w:rsid w:val="009D5D0A"/>
    <w:rsid w:val="009D6152"/>
    <w:rsid w:val="009D63F0"/>
    <w:rsid w:val="009D79EF"/>
    <w:rsid w:val="009D7F57"/>
    <w:rsid w:val="009E00F5"/>
    <w:rsid w:val="009E012A"/>
    <w:rsid w:val="009E09FF"/>
    <w:rsid w:val="009E0BF9"/>
    <w:rsid w:val="009E1B40"/>
    <w:rsid w:val="009E24A5"/>
    <w:rsid w:val="009E3212"/>
    <w:rsid w:val="009E391F"/>
    <w:rsid w:val="009E40A0"/>
    <w:rsid w:val="009E4C3F"/>
    <w:rsid w:val="009E537C"/>
    <w:rsid w:val="009E54CB"/>
    <w:rsid w:val="009E5A9E"/>
    <w:rsid w:val="009E5E8A"/>
    <w:rsid w:val="009E6400"/>
    <w:rsid w:val="009E6A6A"/>
    <w:rsid w:val="009E7F44"/>
    <w:rsid w:val="009F01CE"/>
    <w:rsid w:val="009F07F7"/>
    <w:rsid w:val="009F0E2F"/>
    <w:rsid w:val="009F118B"/>
    <w:rsid w:val="009F17DC"/>
    <w:rsid w:val="009F1A3C"/>
    <w:rsid w:val="009F1B00"/>
    <w:rsid w:val="009F2324"/>
    <w:rsid w:val="009F24E8"/>
    <w:rsid w:val="009F2AB2"/>
    <w:rsid w:val="009F2C1A"/>
    <w:rsid w:val="009F2F90"/>
    <w:rsid w:val="009F3815"/>
    <w:rsid w:val="009F4372"/>
    <w:rsid w:val="009F44AB"/>
    <w:rsid w:val="009F493C"/>
    <w:rsid w:val="009F4BE5"/>
    <w:rsid w:val="009F53BA"/>
    <w:rsid w:val="009F5F3B"/>
    <w:rsid w:val="009F66AB"/>
    <w:rsid w:val="009F7398"/>
    <w:rsid w:val="009F796D"/>
    <w:rsid w:val="00A01AB2"/>
    <w:rsid w:val="00A01B02"/>
    <w:rsid w:val="00A01D40"/>
    <w:rsid w:val="00A02095"/>
    <w:rsid w:val="00A02D04"/>
    <w:rsid w:val="00A02E56"/>
    <w:rsid w:val="00A03F82"/>
    <w:rsid w:val="00A0557C"/>
    <w:rsid w:val="00A05825"/>
    <w:rsid w:val="00A06D9D"/>
    <w:rsid w:val="00A07B78"/>
    <w:rsid w:val="00A07EB0"/>
    <w:rsid w:val="00A10FC0"/>
    <w:rsid w:val="00A11497"/>
    <w:rsid w:val="00A12546"/>
    <w:rsid w:val="00A12D57"/>
    <w:rsid w:val="00A14970"/>
    <w:rsid w:val="00A1543B"/>
    <w:rsid w:val="00A15937"/>
    <w:rsid w:val="00A16C7C"/>
    <w:rsid w:val="00A17405"/>
    <w:rsid w:val="00A17D9A"/>
    <w:rsid w:val="00A21ADF"/>
    <w:rsid w:val="00A2285C"/>
    <w:rsid w:val="00A23373"/>
    <w:rsid w:val="00A23440"/>
    <w:rsid w:val="00A23E60"/>
    <w:rsid w:val="00A2444D"/>
    <w:rsid w:val="00A24707"/>
    <w:rsid w:val="00A2498A"/>
    <w:rsid w:val="00A24A4E"/>
    <w:rsid w:val="00A24F3A"/>
    <w:rsid w:val="00A24FFA"/>
    <w:rsid w:val="00A2522D"/>
    <w:rsid w:val="00A254F4"/>
    <w:rsid w:val="00A2574E"/>
    <w:rsid w:val="00A25D39"/>
    <w:rsid w:val="00A25DD4"/>
    <w:rsid w:val="00A26BC6"/>
    <w:rsid w:val="00A270C7"/>
    <w:rsid w:val="00A307BC"/>
    <w:rsid w:val="00A30815"/>
    <w:rsid w:val="00A30F9E"/>
    <w:rsid w:val="00A31C2F"/>
    <w:rsid w:val="00A33124"/>
    <w:rsid w:val="00A3365B"/>
    <w:rsid w:val="00A34575"/>
    <w:rsid w:val="00A34BA6"/>
    <w:rsid w:val="00A355FE"/>
    <w:rsid w:val="00A36254"/>
    <w:rsid w:val="00A36885"/>
    <w:rsid w:val="00A36D4C"/>
    <w:rsid w:val="00A37088"/>
    <w:rsid w:val="00A402AD"/>
    <w:rsid w:val="00A403B7"/>
    <w:rsid w:val="00A40705"/>
    <w:rsid w:val="00A40A9F"/>
    <w:rsid w:val="00A40EB9"/>
    <w:rsid w:val="00A4108F"/>
    <w:rsid w:val="00A41353"/>
    <w:rsid w:val="00A42728"/>
    <w:rsid w:val="00A42D66"/>
    <w:rsid w:val="00A43974"/>
    <w:rsid w:val="00A43FA5"/>
    <w:rsid w:val="00A44AB6"/>
    <w:rsid w:val="00A45D75"/>
    <w:rsid w:val="00A45FCD"/>
    <w:rsid w:val="00A46161"/>
    <w:rsid w:val="00A4650A"/>
    <w:rsid w:val="00A46B96"/>
    <w:rsid w:val="00A47EC9"/>
    <w:rsid w:val="00A5029A"/>
    <w:rsid w:val="00A50BEB"/>
    <w:rsid w:val="00A522CD"/>
    <w:rsid w:val="00A5234A"/>
    <w:rsid w:val="00A52A6D"/>
    <w:rsid w:val="00A52F00"/>
    <w:rsid w:val="00A5305A"/>
    <w:rsid w:val="00A53BBC"/>
    <w:rsid w:val="00A53EEF"/>
    <w:rsid w:val="00A54C0E"/>
    <w:rsid w:val="00A54D1A"/>
    <w:rsid w:val="00A54EE8"/>
    <w:rsid w:val="00A5508D"/>
    <w:rsid w:val="00A553D7"/>
    <w:rsid w:val="00A55F3F"/>
    <w:rsid w:val="00A56976"/>
    <w:rsid w:val="00A56B66"/>
    <w:rsid w:val="00A56DF8"/>
    <w:rsid w:val="00A572BB"/>
    <w:rsid w:val="00A5751A"/>
    <w:rsid w:val="00A57DE8"/>
    <w:rsid w:val="00A606CB"/>
    <w:rsid w:val="00A61755"/>
    <w:rsid w:val="00A61C2B"/>
    <w:rsid w:val="00A62F6E"/>
    <w:rsid w:val="00A6302F"/>
    <w:rsid w:val="00A636CA"/>
    <w:rsid w:val="00A637F0"/>
    <w:rsid w:val="00A64524"/>
    <w:rsid w:val="00A65532"/>
    <w:rsid w:val="00A65B8E"/>
    <w:rsid w:val="00A65BCD"/>
    <w:rsid w:val="00A66531"/>
    <w:rsid w:val="00A66793"/>
    <w:rsid w:val="00A6682B"/>
    <w:rsid w:val="00A66E7E"/>
    <w:rsid w:val="00A704D0"/>
    <w:rsid w:val="00A70688"/>
    <w:rsid w:val="00A70DE0"/>
    <w:rsid w:val="00A71062"/>
    <w:rsid w:val="00A71885"/>
    <w:rsid w:val="00A71FF7"/>
    <w:rsid w:val="00A7314A"/>
    <w:rsid w:val="00A7364C"/>
    <w:rsid w:val="00A73F7D"/>
    <w:rsid w:val="00A74C19"/>
    <w:rsid w:val="00A7651F"/>
    <w:rsid w:val="00A7656D"/>
    <w:rsid w:val="00A766D1"/>
    <w:rsid w:val="00A76A77"/>
    <w:rsid w:val="00A80438"/>
    <w:rsid w:val="00A80D87"/>
    <w:rsid w:val="00A81A59"/>
    <w:rsid w:val="00A829E2"/>
    <w:rsid w:val="00A8364F"/>
    <w:rsid w:val="00A8371B"/>
    <w:rsid w:val="00A83CA3"/>
    <w:rsid w:val="00A842CD"/>
    <w:rsid w:val="00A845C3"/>
    <w:rsid w:val="00A84CF4"/>
    <w:rsid w:val="00A84F25"/>
    <w:rsid w:val="00A866BE"/>
    <w:rsid w:val="00A86A21"/>
    <w:rsid w:val="00A9033D"/>
    <w:rsid w:val="00A90353"/>
    <w:rsid w:val="00A917C7"/>
    <w:rsid w:val="00A91B1B"/>
    <w:rsid w:val="00A9301C"/>
    <w:rsid w:val="00A93167"/>
    <w:rsid w:val="00A931FD"/>
    <w:rsid w:val="00A93673"/>
    <w:rsid w:val="00A9381C"/>
    <w:rsid w:val="00A9479F"/>
    <w:rsid w:val="00A97C2C"/>
    <w:rsid w:val="00A97E88"/>
    <w:rsid w:val="00AA042C"/>
    <w:rsid w:val="00AA09AA"/>
    <w:rsid w:val="00AA11A3"/>
    <w:rsid w:val="00AA2109"/>
    <w:rsid w:val="00AA2681"/>
    <w:rsid w:val="00AA26B2"/>
    <w:rsid w:val="00AA2777"/>
    <w:rsid w:val="00AA283D"/>
    <w:rsid w:val="00AA29D7"/>
    <w:rsid w:val="00AA2ECB"/>
    <w:rsid w:val="00AA324E"/>
    <w:rsid w:val="00AA38AE"/>
    <w:rsid w:val="00AA3BDF"/>
    <w:rsid w:val="00AA4123"/>
    <w:rsid w:val="00AA4320"/>
    <w:rsid w:val="00AA4753"/>
    <w:rsid w:val="00AA4A19"/>
    <w:rsid w:val="00AA4AA3"/>
    <w:rsid w:val="00AA5151"/>
    <w:rsid w:val="00AA5514"/>
    <w:rsid w:val="00AA62D3"/>
    <w:rsid w:val="00AA6378"/>
    <w:rsid w:val="00AA63F7"/>
    <w:rsid w:val="00AA6462"/>
    <w:rsid w:val="00AB0AEA"/>
    <w:rsid w:val="00AB218F"/>
    <w:rsid w:val="00AB240F"/>
    <w:rsid w:val="00AB27F2"/>
    <w:rsid w:val="00AB32A8"/>
    <w:rsid w:val="00AB36AC"/>
    <w:rsid w:val="00AB36CF"/>
    <w:rsid w:val="00AB4D3C"/>
    <w:rsid w:val="00AB51FD"/>
    <w:rsid w:val="00AB534D"/>
    <w:rsid w:val="00AB57DF"/>
    <w:rsid w:val="00AB58BE"/>
    <w:rsid w:val="00AB67C9"/>
    <w:rsid w:val="00AB7451"/>
    <w:rsid w:val="00AB7EC1"/>
    <w:rsid w:val="00AC0167"/>
    <w:rsid w:val="00AC03EB"/>
    <w:rsid w:val="00AC07D5"/>
    <w:rsid w:val="00AC086B"/>
    <w:rsid w:val="00AC100D"/>
    <w:rsid w:val="00AC137C"/>
    <w:rsid w:val="00AC24A1"/>
    <w:rsid w:val="00AC35F5"/>
    <w:rsid w:val="00AC375E"/>
    <w:rsid w:val="00AC3873"/>
    <w:rsid w:val="00AC3CDC"/>
    <w:rsid w:val="00AC40A3"/>
    <w:rsid w:val="00AC4277"/>
    <w:rsid w:val="00AC471B"/>
    <w:rsid w:val="00AC4722"/>
    <w:rsid w:val="00AC49E4"/>
    <w:rsid w:val="00AC5386"/>
    <w:rsid w:val="00AC5BE4"/>
    <w:rsid w:val="00AC63BE"/>
    <w:rsid w:val="00AC6C51"/>
    <w:rsid w:val="00AC6CF5"/>
    <w:rsid w:val="00AC6F5D"/>
    <w:rsid w:val="00AC77FA"/>
    <w:rsid w:val="00AC7FF1"/>
    <w:rsid w:val="00AD00B4"/>
    <w:rsid w:val="00AD03A1"/>
    <w:rsid w:val="00AD04C5"/>
    <w:rsid w:val="00AD0AC8"/>
    <w:rsid w:val="00AD1184"/>
    <w:rsid w:val="00AD1AC0"/>
    <w:rsid w:val="00AD2AF6"/>
    <w:rsid w:val="00AD2F4C"/>
    <w:rsid w:val="00AD36BD"/>
    <w:rsid w:val="00AD3E7B"/>
    <w:rsid w:val="00AD469C"/>
    <w:rsid w:val="00AD49CA"/>
    <w:rsid w:val="00AD5210"/>
    <w:rsid w:val="00AD5C9B"/>
    <w:rsid w:val="00AD6422"/>
    <w:rsid w:val="00AD6783"/>
    <w:rsid w:val="00AD67FF"/>
    <w:rsid w:val="00AD7301"/>
    <w:rsid w:val="00AD7304"/>
    <w:rsid w:val="00AD757D"/>
    <w:rsid w:val="00AE155E"/>
    <w:rsid w:val="00AE2843"/>
    <w:rsid w:val="00AE2ADB"/>
    <w:rsid w:val="00AE3E67"/>
    <w:rsid w:val="00AE3E88"/>
    <w:rsid w:val="00AE4638"/>
    <w:rsid w:val="00AE4C08"/>
    <w:rsid w:val="00AE4F15"/>
    <w:rsid w:val="00AE50CE"/>
    <w:rsid w:val="00AE54FD"/>
    <w:rsid w:val="00AE59EE"/>
    <w:rsid w:val="00AF0023"/>
    <w:rsid w:val="00AF0211"/>
    <w:rsid w:val="00AF1F83"/>
    <w:rsid w:val="00AF2304"/>
    <w:rsid w:val="00AF2F8D"/>
    <w:rsid w:val="00AF304F"/>
    <w:rsid w:val="00AF330C"/>
    <w:rsid w:val="00AF35AB"/>
    <w:rsid w:val="00AF506E"/>
    <w:rsid w:val="00AF5ADC"/>
    <w:rsid w:val="00AF5D1D"/>
    <w:rsid w:val="00AF62E3"/>
    <w:rsid w:val="00AF65E0"/>
    <w:rsid w:val="00AF66F0"/>
    <w:rsid w:val="00AF67B1"/>
    <w:rsid w:val="00AF6BF2"/>
    <w:rsid w:val="00AF738A"/>
    <w:rsid w:val="00AF7460"/>
    <w:rsid w:val="00AF769D"/>
    <w:rsid w:val="00AF7F53"/>
    <w:rsid w:val="00B000F5"/>
    <w:rsid w:val="00B002BA"/>
    <w:rsid w:val="00B00F4A"/>
    <w:rsid w:val="00B0225F"/>
    <w:rsid w:val="00B0254F"/>
    <w:rsid w:val="00B02EDD"/>
    <w:rsid w:val="00B02F2F"/>
    <w:rsid w:val="00B03180"/>
    <w:rsid w:val="00B04308"/>
    <w:rsid w:val="00B0457F"/>
    <w:rsid w:val="00B04C0B"/>
    <w:rsid w:val="00B04EB3"/>
    <w:rsid w:val="00B04F43"/>
    <w:rsid w:val="00B062DE"/>
    <w:rsid w:val="00B07932"/>
    <w:rsid w:val="00B07DB8"/>
    <w:rsid w:val="00B10270"/>
    <w:rsid w:val="00B109E2"/>
    <w:rsid w:val="00B10A10"/>
    <w:rsid w:val="00B10FC0"/>
    <w:rsid w:val="00B1152F"/>
    <w:rsid w:val="00B11E4B"/>
    <w:rsid w:val="00B136F0"/>
    <w:rsid w:val="00B1594A"/>
    <w:rsid w:val="00B15A66"/>
    <w:rsid w:val="00B15B5D"/>
    <w:rsid w:val="00B15D8C"/>
    <w:rsid w:val="00B1610F"/>
    <w:rsid w:val="00B1652B"/>
    <w:rsid w:val="00B17B29"/>
    <w:rsid w:val="00B17EE6"/>
    <w:rsid w:val="00B20414"/>
    <w:rsid w:val="00B206AA"/>
    <w:rsid w:val="00B20FF8"/>
    <w:rsid w:val="00B215D3"/>
    <w:rsid w:val="00B22036"/>
    <w:rsid w:val="00B222E4"/>
    <w:rsid w:val="00B226B7"/>
    <w:rsid w:val="00B22C8B"/>
    <w:rsid w:val="00B2361A"/>
    <w:rsid w:val="00B23B13"/>
    <w:rsid w:val="00B23EC4"/>
    <w:rsid w:val="00B24057"/>
    <w:rsid w:val="00B247E1"/>
    <w:rsid w:val="00B25714"/>
    <w:rsid w:val="00B25C6E"/>
    <w:rsid w:val="00B261C7"/>
    <w:rsid w:val="00B261EF"/>
    <w:rsid w:val="00B26337"/>
    <w:rsid w:val="00B2669C"/>
    <w:rsid w:val="00B27482"/>
    <w:rsid w:val="00B27A07"/>
    <w:rsid w:val="00B27CEA"/>
    <w:rsid w:val="00B3055A"/>
    <w:rsid w:val="00B311DF"/>
    <w:rsid w:val="00B32872"/>
    <w:rsid w:val="00B32E16"/>
    <w:rsid w:val="00B33B23"/>
    <w:rsid w:val="00B3400E"/>
    <w:rsid w:val="00B344B9"/>
    <w:rsid w:val="00B34C0F"/>
    <w:rsid w:val="00B35477"/>
    <w:rsid w:val="00B35C19"/>
    <w:rsid w:val="00B364DF"/>
    <w:rsid w:val="00B36DD5"/>
    <w:rsid w:val="00B37405"/>
    <w:rsid w:val="00B375C1"/>
    <w:rsid w:val="00B379F8"/>
    <w:rsid w:val="00B41A1E"/>
    <w:rsid w:val="00B42460"/>
    <w:rsid w:val="00B43054"/>
    <w:rsid w:val="00B43926"/>
    <w:rsid w:val="00B43A10"/>
    <w:rsid w:val="00B43AA5"/>
    <w:rsid w:val="00B43BA7"/>
    <w:rsid w:val="00B441E7"/>
    <w:rsid w:val="00B442B6"/>
    <w:rsid w:val="00B4436C"/>
    <w:rsid w:val="00B444B7"/>
    <w:rsid w:val="00B44B07"/>
    <w:rsid w:val="00B452C6"/>
    <w:rsid w:val="00B454F5"/>
    <w:rsid w:val="00B457B1"/>
    <w:rsid w:val="00B45DE1"/>
    <w:rsid w:val="00B4680F"/>
    <w:rsid w:val="00B46BFF"/>
    <w:rsid w:val="00B46E5C"/>
    <w:rsid w:val="00B470D6"/>
    <w:rsid w:val="00B475DE"/>
    <w:rsid w:val="00B51418"/>
    <w:rsid w:val="00B51DBA"/>
    <w:rsid w:val="00B5201B"/>
    <w:rsid w:val="00B52C9C"/>
    <w:rsid w:val="00B5344E"/>
    <w:rsid w:val="00B53548"/>
    <w:rsid w:val="00B53958"/>
    <w:rsid w:val="00B53E00"/>
    <w:rsid w:val="00B53F09"/>
    <w:rsid w:val="00B5425A"/>
    <w:rsid w:val="00B542E0"/>
    <w:rsid w:val="00B54525"/>
    <w:rsid w:val="00B55D43"/>
    <w:rsid w:val="00B55F11"/>
    <w:rsid w:val="00B56C3E"/>
    <w:rsid w:val="00B570D9"/>
    <w:rsid w:val="00B5718C"/>
    <w:rsid w:val="00B575AF"/>
    <w:rsid w:val="00B60E1B"/>
    <w:rsid w:val="00B61CDE"/>
    <w:rsid w:val="00B61F76"/>
    <w:rsid w:val="00B647FE"/>
    <w:rsid w:val="00B64846"/>
    <w:rsid w:val="00B64E18"/>
    <w:rsid w:val="00B66910"/>
    <w:rsid w:val="00B6757F"/>
    <w:rsid w:val="00B678B5"/>
    <w:rsid w:val="00B67BA8"/>
    <w:rsid w:val="00B706AA"/>
    <w:rsid w:val="00B716D5"/>
    <w:rsid w:val="00B71971"/>
    <w:rsid w:val="00B720A6"/>
    <w:rsid w:val="00B72DEB"/>
    <w:rsid w:val="00B73667"/>
    <w:rsid w:val="00B73902"/>
    <w:rsid w:val="00B73945"/>
    <w:rsid w:val="00B740C1"/>
    <w:rsid w:val="00B74469"/>
    <w:rsid w:val="00B74986"/>
    <w:rsid w:val="00B74C72"/>
    <w:rsid w:val="00B74FDB"/>
    <w:rsid w:val="00B769CB"/>
    <w:rsid w:val="00B76CAD"/>
    <w:rsid w:val="00B77A0A"/>
    <w:rsid w:val="00B80B21"/>
    <w:rsid w:val="00B816A3"/>
    <w:rsid w:val="00B816E5"/>
    <w:rsid w:val="00B819B3"/>
    <w:rsid w:val="00B81BC6"/>
    <w:rsid w:val="00B8205F"/>
    <w:rsid w:val="00B821F6"/>
    <w:rsid w:val="00B82C8E"/>
    <w:rsid w:val="00B83C45"/>
    <w:rsid w:val="00B83F07"/>
    <w:rsid w:val="00B843DC"/>
    <w:rsid w:val="00B84791"/>
    <w:rsid w:val="00B84A25"/>
    <w:rsid w:val="00B84B49"/>
    <w:rsid w:val="00B8516A"/>
    <w:rsid w:val="00B85389"/>
    <w:rsid w:val="00B85459"/>
    <w:rsid w:val="00B85666"/>
    <w:rsid w:val="00B85B3F"/>
    <w:rsid w:val="00B86624"/>
    <w:rsid w:val="00B86C6F"/>
    <w:rsid w:val="00B86FF7"/>
    <w:rsid w:val="00B875DF"/>
    <w:rsid w:val="00B87C32"/>
    <w:rsid w:val="00B87CB8"/>
    <w:rsid w:val="00B90439"/>
    <w:rsid w:val="00B90600"/>
    <w:rsid w:val="00B911D4"/>
    <w:rsid w:val="00B92DED"/>
    <w:rsid w:val="00B93D85"/>
    <w:rsid w:val="00B9457F"/>
    <w:rsid w:val="00B94628"/>
    <w:rsid w:val="00B952DB"/>
    <w:rsid w:val="00B95A2C"/>
    <w:rsid w:val="00B96293"/>
    <w:rsid w:val="00B967BF"/>
    <w:rsid w:val="00B96E69"/>
    <w:rsid w:val="00B96F06"/>
    <w:rsid w:val="00B9766C"/>
    <w:rsid w:val="00B977A3"/>
    <w:rsid w:val="00B97ADF"/>
    <w:rsid w:val="00B97C8F"/>
    <w:rsid w:val="00B97E49"/>
    <w:rsid w:val="00BA0119"/>
    <w:rsid w:val="00BA0608"/>
    <w:rsid w:val="00BA0924"/>
    <w:rsid w:val="00BA104C"/>
    <w:rsid w:val="00BA171D"/>
    <w:rsid w:val="00BA19F2"/>
    <w:rsid w:val="00BA225E"/>
    <w:rsid w:val="00BA2272"/>
    <w:rsid w:val="00BA2365"/>
    <w:rsid w:val="00BA2B01"/>
    <w:rsid w:val="00BA2F37"/>
    <w:rsid w:val="00BA37FF"/>
    <w:rsid w:val="00BA4CD8"/>
    <w:rsid w:val="00BA5AC8"/>
    <w:rsid w:val="00BA6684"/>
    <w:rsid w:val="00BA68B2"/>
    <w:rsid w:val="00BA6FCE"/>
    <w:rsid w:val="00BA7082"/>
    <w:rsid w:val="00BA745C"/>
    <w:rsid w:val="00BB0305"/>
    <w:rsid w:val="00BB0B4B"/>
    <w:rsid w:val="00BB121B"/>
    <w:rsid w:val="00BB1856"/>
    <w:rsid w:val="00BB1C6D"/>
    <w:rsid w:val="00BB2424"/>
    <w:rsid w:val="00BB2615"/>
    <w:rsid w:val="00BB2CAE"/>
    <w:rsid w:val="00BB3E6E"/>
    <w:rsid w:val="00BB3EEA"/>
    <w:rsid w:val="00BB3FCE"/>
    <w:rsid w:val="00BB52AF"/>
    <w:rsid w:val="00BB6469"/>
    <w:rsid w:val="00BB7622"/>
    <w:rsid w:val="00BB783C"/>
    <w:rsid w:val="00BC0FCC"/>
    <w:rsid w:val="00BC2B25"/>
    <w:rsid w:val="00BC3903"/>
    <w:rsid w:val="00BC3C8E"/>
    <w:rsid w:val="00BC458D"/>
    <w:rsid w:val="00BC4EE0"/>
    <w:rsid w:val="00BC5A50"/>
    <w:rsid w:val="00BC5C1A"/>
    <w:rsid w:val="00BC5D19"/>
    <w:rsid w:val="00BC5D7F"/>
    <w:rsid w:val="00BC5E6A"/>
    <w:rsid w:val="00BC66E6"/>
    <w:rsid w:val="00BC6BDF"/>
    <w:rsid w:val="00BC75AB"/>
    <w:rsid w:val="00BC7F1B"/>
    <w:rsid w:val="00BD0E89"/>
    <w:rsid w:val="00BD12E0"/>
    <w:rsid w:val="00BD1C4D"/>
    <w:rsid w:val="00BD1CB1"/>
    <w:rsid w:val="00BD2A8E"/>
    <w:rsid w:val="00BD2F95"/>
    <w:rsid w:val="00BD3046"/>
    <w:rsid w:val="00BD32B4"/>
    <w:rsid w:val="00BD3F46"/>
    <w:rsid w:val="00BD4445"/>
    <w:rsid w:val="00BD4588"/>
    <w:rsid w:val="00BD46BF"/>
    <w:rsid w:val="00BD4861"/>
    <w:rsid w:val="00BD5B6D"/>
    <w:rsid w:val="00BD5BFB"/>
    <w:rsid w:val="00BD61DD"/>
    <w:rsid w:val="00BD655F"/>
    <w:rsid w:val="00BD6B04"/>
    <w:rsid w:val="00BD6CC6"/>
    <w:rsid w:val="00BD7A91"/>
    <w:rsid w:val="00BE04FA"/>
    <w:rsid w:val="00BE05E6"/>
    <w:rsid w:val="00BE09CA"/>
    <w:rsid w:val="00BE1DA2"/>
    <w:rsid w:val="00BE1F09"/>
    <w:rsid w:val="00BE2375"/>
    <w:rsid w:val="00BE27EA"/>
    <w:rsid w:val="00BE2AC4"/>
    <w:rsid w:val="00BE3590"/>
    <w:rsid w:val="00BE44EC"/>
    <w:rsid w:val="00BE4676"/>
    <w:rsid w:val="00BE4C1D"/>
    <w:rsid w:val="00BE50B9"/>
    <w:rsid w:val="00BE66F3"/>
    <w:rsid w:val="00BE7C77"/>
    <w:rsid w:val="00BE7D23"/>
    <w:rsid w:val="00BE7ED7"/>
    <w:rsid w:val="00BE7F5B"/>
    <w:rsid w:val="00BF013A"/>
    <w:rsid w:val="00BF0204"/>
    <w:rsid w:val="00BF0463"/>
    <w:rsid w:val="00BF0ADC"/>
    <w:rsid w:val="00BF115F"/>
    <w:rsid w:val="00BF1FED"/>
    <w:rsid w:val="00BF238C"/>
    <w:rsid w:val="00BF633A"/>
    <w:rsid w:val="00BF6372"/>
    <w:rsid w:val="00BF65D1"/>
    <w:rsid w:val="00BF6C6B"/>
    <w:rsid w:val="00BF75EE"/>
    <w:rsid w:val="00C003D3"/>
    <w:rsid w:val="00C009C0"/>
    <w:rsid w:val="00C00F47"/>
    <w:rsid w:val="00C012FF"/>
    <w:rsid w:val="00C01A2B"/>
    <w:rsid w:val="00C02C52"/>
    <w:rsid w:val="00C044E8"/>
    <w:rsid w:val="00C0492F"/>
    <w:rsid w:val="00C05295"/>
    <w:rsid w:val="00C06262"/>
    <w:rsid w:val="00C06F05"/>
    <w:rsid w:val="00C10C72"/>
    <w:rsid w:val="00C1268E"/>
    <w:rsid w:val="00C127EF"/>
    <w:rsid w:val="00C12E27"/>
    <w:rsid w:val="00C131AA"/>
    <w:rsid w:val="00C141EB"/>
    <w:rsid w:val="00C144B5"/>
    <w:rsid w:val="00C149AA"/>
    <w:rsid w:val="00C14B3C"/>
    <w:rsid w:val="00C14BEB"/>
    <w:rsid w:val="00C14C52"/>
    <w:rsid w:val="00C154E3"/>
    <w:rsid w:val="00C155E3"/>
    <w:rsid w:val="00C15A26"/>
    <w:rsid w:val="00C15B33"/>
    <w:rsid w:val="00C15E8A"/>
    <w:rsid w:val="00C164A6"/>
    <w:rsid w:val="00C2115B"/>
    <w:rsid w:val="00C21D19"/>
    <w:rsid w:val="00C21E8A"/>
    <w:rsid w:val="00C2204F"/>
    <w:rsid w:val="00C22A14"/>
    <w:rsid w:val="00C234CA"/>
    <w:rsid w:val="00C238E3"/>
    <w:rsid w:val="00C250F9"/>
    <w:rsid w:val="00C251BE"/>
    <w:rsid w:val="00C252C8"/>
    <w:rsid w:val="00C254A8"/>
    <w:rsid w:val="00C254E4"/>
    <w:rsid w:val="00C25F03"/>
    <w:rsid w:val="00C2608E"/>
    <w:rsid w:val="00C27FA5"/>
    <w:rsid w:val="00C303C5"/>
    <w:rsid w:val="00C30763"/>
    <w:rsid w:val="00C30982"/>
    <w:rsid w:val="00C315C8"/>
    <w:rsid w:val="00C317C2"/>
    <w:rsid w:val="00C31B2A"/>
    <w:rsid w:val="00C32107"/>
    <w:rsid w:val="00C32326"/>
    <w:rsid w:val="00C323A6"/>
    <w:rsid w:val="00C3246A"/>
    <w:rsid w:val="00C33654"/>
    <w:rsid w:val="00C34A0F"/>
    <w:rsid w:val="00C36A1F"/>
    <w:rsid w:val="00C407F5"/>
    <w:rsid w:val="00C412A9"/>
    <w:rsid w:val="00C41326"/>
    <w:rsid w:val="00C4138B"/>
    <w:rsid w:val="00C4199A"/>
    <w:rsid w:val="00C41D52"/>
    <w:rsid w:val="00C4267B"/>
    <w:rsid w:val="00C427B2"/>
    <w:rsid w:val="00C42808"/>
    <w:rsid w:val="00C42F2A"/>
    <w:rsid w:val="00C430D4"/>
    <w:rsid w:val="00C4363B"/>
    <w:rsid w:val="00C45B14"/>
    <w:rsid w:val="00C45E9B"/>
    <w:rsid w:val="00C46865"/>
    <w:rsid w:val="00C4763E"/>
    <w:rsid w:val="00C4778B"/>
    <w:rsid w:val="00C47B14"/>
    <w:rsid w:val="00C50413"/>
    <w:rsid w:val="00C5148C"/>
    <w:rsid w:val="00C51B17"/>
    <w:rsid w:val="00C51F7B"/>
    <w:rsid w:val="00C523F3"/>
    <w:rsid w:val="00C528A7"/>
    <w:rsid w:val="00C52CFF"/>
    <w:rsid w:val="00C52DFA"/>
    <w:rsid w:val="00C52F8F"/>
    <w:rsid w:val="00C531A6"/>
    <w:rsid w:val="00C53802"/>
    <w:rsid w:val="00C53B99"/>
    <w:rsid w:val="00C53C46"/>
    <w:rsid w:val="00C54AA5"/>
    <w:rsid w:val="00C54DF6"/>
    <w:rsid w:val="00C54EE7"/>
    <w:rsid w:val="00C5507C"/>
    <w:rsid w:val="00C55761"/>
    <w:rsid w:val="00C5741D"/>
    <w:rsid w:val="00C60046"/>
    <w:rsid w:val="00C60CE2"/>
    <w:rsid w:val="00C614D8"/>
    <w:rsid w:val="00C6157F"/>
    <w:rsid w:val="00C61722"/>
    <w:rsid w:val="00C6290E"/>
    <w:rsid w:val="00C629E9"/>
    <w:rsid w:val="00C63000"/>
    <w:rsid w:val="00C6349A"/>
    <w:rsid w:val="00C6457C"/>
    <w:rsid w:val="00C64D7F"/>
    <w:rsid w:val="00C64EF0"/>
    <w:rsid w:val="00C64F1E"/>
    <w:rsid w:val="00C6609A"/>
    <w:rsid w:val="00C6681B"/>
    <w:rsid w:val="00C66A57"/>
    <w:rsid w:val="00C66CAD"/>
    <w:rsid w:val="00C703FE"/>
    <w:rsid w:val="00C7084E"/>
    <w:rsid w:val="00C70F67"/>
    <w:rsid w:val="00C72CE2"/>
    <w:rsid w:val="00C737C2"/>
    <w:rsid w:val="00C7415A"/>
    <w:rsid w:val="00C746A1"/>
    <w:rsid w:val="00C74BEF"/>
    <w:rsid w:val="00C76DEB"/>
    <w:rsid w:val="00C76DEE"/>
    <w:rsid w:val="00C77B83"/>
    <w:rsid w:val="00C8022D"/>
    <w:rsid w:val="00C80BA8"/>
    <w:rsid w:val="00C817F6"/>
    <w:rsid w:val="00C81AFE"/>
    <w:rsid w:val="00C82F2F"/>
    <w:rsid w:val="00C83888"/>
    <w:rsid w:val="00C83B6D"/>
    <w:rsid w:val="00C842C6"/>
    <w:rsid w:val="00C84319"/>
    <w:rsid w:val="00C8507E"/>
    <w:rsid w:val="00C8552F"/>
    <w:rsid w:val="00C85AD3"/>
    <w:rsid w:val="00C87069"/>
    <w:rsid w:val="00C8716F"/>
    <w:rsid w:val="00C87494"/>
    <w:rsid w:val="00C87B68"/>
    <w:rsid w:val="00C87E16"/>
    <w:rsid w:val="00C901C2"/>
    <w:rsid w:val="00C90D05"/>
    <w:rsid w:val="00C9135C"/>
    <w:rsid w:val="00C913D1"/>
    <w:rsid w:val="00C9189B"/>
    <w:rsid w:val="00C91C2B"/>
    <w:rsid w:val="00C9247E"/>
    <w:rsid w:val="00C92C04"/>
    <w:rsid w:val="00C93136"/>
    <w:rsid w:val="00C93233"/>
    <w:rsid w:val="00C9338A"/>
    <w:rsid w:val="00C94415"/>
    <w:rsid w:val="00C950F1"/>
    <w:rsid w:val="00C95711"/>
    <w:rsid w:val="00C960C9"/>
    <w:rsid w:val="00C96403"/>
    <w:rsid w:val="00C9668B"/>
    <w:rsid w:val="00C96AC7"/>
    <w:rsid w:val="00C96B3F"/>
    <w:rsid w:val="00C97BC7"/>
    <w:rsid w:val="00CA2CFC"/>
    <w:rsid w:val="00CA2E80"/>
    <w:rsid w:val="00CA2F73"/>
    <w:rsid w:val="00CA51F2"/>
    <w:rsid w:val="00CA5403"/>
    <w:rsid w:val="00CA69F9"/>
    <w:rsid w:val="00CA7603"/>
    <w:rsid w:val="00CA7AE7"/>
    <w:rsid w:val="00CB15B9"/>
    <w:rsid w:val="00CB1FE5"/>
    <w:rsid w:val="00CB20F1"/>
    <w:rsid w:val="00CB3359"/>
    <w:rsid w:val="00CB3A66"/>
    <w:rsid w:val="00CB44AC"/>
    <w:rsid w:val="00CB4512"/>
    <w:rsid w:val="00CB6ADD"/>
    <w:rsid w:val="00CB733A"/>
    <w:rsid w:val="00CB78FF"/>
    <w:rsid w:val="00CB7958"/>
    <w:rsid w:val="00CB799C"/>
    <w:rsid w:val="00CB7B31"/>
    <w:rsid w:val="00CC1767"/>
    <w:rsid w:val="00CC1AE2"/>
    <w:rsid w:val="00CC1E26"/>
    <w:rsid w:val="00CC349D"/>
    <w:rsid w:val="00CC35E3"/>
    <w:rsid w:val="00CC3654"/>
    <w:rsid w:val="00CC4775"/>
    <w:rsid w:val="00CC4880"/>
    <w:rsid w:val="00CC4AC2"/>
    <w:rsid w:val="00CC521F"/>
    <w:rsid w:val="00CC55F4"/>
    <w:rsid w:val="00CC5828"/>
    <w:rsid w:val="00CC588A"/>
    <w:rsid w:val="00CC61BA"/>
    <w:rsid w:val="00CC6211"/>
    <w:rsid w:val="00CC74E5"/>
    <w:rsid w:val="00CC7B3D"/>
    <w:rsid w:val="00CD008B"/>
    <w:rsid w:val="00CD01E8"/>
    <w:rsid w:val="00CD0CBB"/>
    <w:rsid w:val="00CD11B5"/>
    <w:rsid w:val="00CD1596"/>
    <w:rsid w:val="00CD1678"/>
    <w:rsid w:val="00CD211C"/>
    <w:rsid w:val="00CD2169"/>
    <w:rsid w:val="00CD2352"/>
    <w:rsid w:val="00CD2AA3"/>
    <w:rsid w:val="00CD3283"/>
    <w:rsid w:val="00CD3420"/>
    <w:rsid w:val="00CD3773"/>
    <w:rsid w:val="00CD3816"/>
    <w:rsid w:val="00CD4096"/>
    <w:rsid w:val="00CD4392"/>
    <w:rsid w:val="00CD471D"/>
    <w:rsid w:val="00CD4C23"/>
    <w:rsid w:val="00CD4F81"/>
    <w:rsid w:val="00CD5448"/>
    <w:rsid w:val="00CD56DB"/>
    <w:rsid w:val="00CD57AD"/>
    <w:rsid w:val="00CD582F"/>
    <w:rsid w:val="00CD5888"/>
    <w:rsid w:val="00CD629E"/>
    <w:rsid w:val="00CD64CF"/>
    <w:rsid w:val="00CD718A"/>
    <w:rsid w:val="00CD7314"/>
    <w:rsid w:val="00CD7C32"/>
    <w:rsid w:val="00CE152C"/>
    <w:rsid w:val="00CE191F"/>
    <w:rsid w:val="00CE1FC8"/>
    <w:rsid w:val="00CE28E4"/>
    <w:rsid w:val="00CE2A3C"/>
    <w:rsid w:val="00CE3088"/>
    <w:rsid w:val="00CE31A0"/>
    <w:rsid w:val="00CE329B"/>
    <w:rsid w:val="00CE3BB4"/>
    <w:rsid w:val="00CE40F8"/>
    <w:rsid w:val="00CE455C"/>
    <w:rsid w:val="00CE4E35"/>
    <w:rsid w:val="00CE4EB9"/>
    <w:rsid w:val="00CE50A4"/>
    <w:rsid w:val="00CE5307"/>
    <w:rsid w:val="00CE569E"/>
    <w:rsid w:val="00CE5725"/>
    <w:rsid w:val="00CE5793"/>
    <w:rsid w:val="00CE5BF2"/>
    <w:rsid w:val="00CE691C"/>
    <w:rsid w:val="00CE70C9"/>
    <w:rsid w:val="00CE70E3"/>
    <w:rsid w:val="00CE75C1"/>
    <w:rsid w:val="00CF13B6"/>
    <w:rsid w:val="00CF1A1D"/>
    <w:rsid w:val="00CF1B70"/>
    <w:rsid w:val="00CF21B4"/>
    <w:rsid w:val="00CF2F21"/>
    <w:rsid w:val="00CF3571"/>
    <w:rsid w:val="00CF36A2"/>
    <w:rsid w:val="00CF380C"/>
    <w:rsid w:val="00CF3CEE"/>
    <w:rsid w:val="00CF4231"/>
    <w:rsid w:val="00CF5134"/>
    <w:rsid w:val="00CF5939"/>
    <w:rsid w:val="00CF5CA4"/>
    <w:rsid w:val="00CF62BE"/>
    <w:rsid w:val="00CF64C3"/>
    <w:rsid w:val="00CF6545"/>
    <w:rsid w:val="00CF6E48"/>
    <w:rsid w:val="00CF75B0"/>
    <w:rsid w:val="00D0045F"/>
    <w:rsid w:val="00D00A1F"/>
    <w:rsid w:val="00D00EDC"/>
    <w:rsid w:val="00D01D29"/>
    <w:rsid w:val="00D024EC"/>
    <w:rsid w:val="00D02B9B"/>
    <w:rsid w:val="00D0390A"/>
    <w:rsid w:val="00D03CBD"/>
    <w:rsid w:val="00D03D4F"/>
    <w:rsid w:val="00D03D57"/>
    <w:rsid w:val="00D046AF"/>
    <w:rsid w:val="00D04EDD"/>
    <w:rsid w:val="00D05066"/>
    <w:rsid w:val="00D051E1"/>
    <w:rsid w:val="00D052F1"/>
    <w:rsid w:val="00D06294"/>
    <w:rsid w:val="00D064C9"/>
    <w:rsid w:val="00D069AD"/>
    <w:rsid w:val="00D06EA0"/>
    <w:rsid w:val="00D07006"/>
    <w:rsid w:val="00D07031"/>
    <w:rsid w:val="00D0721E"/>
    <w:rsid w:val="00D10F13"/>
    <w:rsid w:val="00D114B9"/>
    <w:rsid w:val="00D1186F"/>
    <w:rsid w:val="00D12BE4"/>
    <w:rsid w:val="00D130DE"/>
    <w:rsid w:val="00D13423"/>
    <w:rsid w:val="00D143E7"/>
    <w:rsid w:val="00D15970"/>
    <w:rsid w:val="00D15FA2"/>
    <w:rsid w:val="00D16503"/>
    <w:rsid w:val="00D165D6"/>
    <w:rsid w:val="00D174E4"/>
    <w:rsid w:val="00D17FB0"/>
    <w:rsid w:val="00D20827"/>
    <w:rsid w:val="00D20861"/>
    <w:rsid w:val="00D21126"/>
    <w:rsid w:val="00D2116E"/>
    <w:rsid w:val="00D22311"/>
    <w:rsid w:val="00D22773"/>
    <w:rsid w:val="00D228A2"/>
    <w:rsid w:val="00D22DE7"/>
    <w:rsid w:val="00D236F1"/>
    <w:rsid w:val="00D2441D"/>
    <w:rsid w:val="00D24B6A"/>
    <w:rsid w:val="00D25C3C"/>
    <w:rsid w:val="00D25CED"/>
    <w:rsid w:val="00D25D91"/>
    <w:rsid w:val="00D25E75"/>
    <w:rsid w:val="00D25FAC"/>
    <w:rsid w:val="00D262DC"/>
    <w:rsid w:val="00D273A9"/>
    <w:rsid w:val="00D27863"/>
    <w:rsid w:val="00D31164"/>
    <w:rsid w:val="00D31C6B"/>
    <w:rsid w:val="00D32B6F"/>
    <w:rsid w:val="00D32C1C"/>
    <w:rsid w:val="00D3331E"/>
    <w:rsid w:val="00D33907"/>
    <w:rsid w:val="00D344B4"/>
    <w:rsid w:val="00D349C1"/>
    <w:rsid w:val="00D34AA8"/>
    <w:rsid w:val="00D3567D"/>
    <w:rsid w:val="00D35C0F"/>
    <w:rsid w:val="00D368ED"/>
    <w:rsid w:val="00D36D02"/>
    <w:rsid w:val="00D37AE0"/>
    <w:rsid w:val="00D40DA2"/>
    <w:rsid w:val="00D40F6C"/>
    <w:rsid w:val="00D41D8F"/>
    <w:rsid w:val="00D41E04"/>
    <w:rsid w:val="00D431BC"/>
    <w:rsid w:val="00D432BC"/>
    <w:rsid w:val="00D441AD"/>
    <w:rsid w:val="00D442CC"/>
    <w:rsid w:val="00D446D3"/>
    <w:rsid w:val="00D4476D"/>
    <w:rsid w:val="00D449C0"/>
    <w:rsid w:val="00D45CE7"/>
    <w:rsid w:val="00D46A10"/>
    <w:rsid w:val="00D46D83"/>
    <w:rsid w:val="00D47011"/>
    <w:rsid w:val="00D47490"/>
    <w:rsid w:val="00D4757C"/>
    <w:rsid w:val="00D476B5"/>
    <w:rsid w:val="00D5240A"/>
    <w:rsid w:val="00D5338C"/>
    <w:rsid w:val="00D5371D"/>
    <w:rsid w:val="00D5481C"/>
    <w:rsid w:val="00D54C6E"/>
    <w:rsid w:val="00D54DA8"/>
    <w:rsid w:val="00D553A2"/>
    <w:rsid w:val="00D557DD"/>
    <w:rsid w:val="00D55921"/>
    <w:rsid w:val="00D561E2"/>
    <w:rsid w:val="00D57C1D"/>
    <w:rsid w:val="00D61510"/>
    <w:rsid w:val="00D61CB0"/>
    <w:rsid w:val="00D62C58"/>
    <w:rsid w:val="00D6310C"/>
    <w:rsid w:val="00D63F6C"/>
    <w:rsid w:val="00D63F86"/>
    <w:rsid w:val="00D64C18"/>
    <w:rsid w:val="00D65339"/>
    <w:rsid w:val="00D657C1"/>
    <w:rsid w:val="00D65DF0"/>
    <w:rsid w:val="00D661F8"/>
    <w:rsid w:val="00D66A06"/>
    <w:rsid w:val="00D66A4C"/>
    <w:rsid w:val="00D67290"/>
    <w:rsid w:val="00D67706"/>
    <w:rsid w:val="00D67C18"/>
    <w:rsid w:val="00D70512"/>
    <w:rsid w:val="00D70B5F"/>
    <w:rsid w:val="00D715E4"/>
    <w:rsid w:val="00D71643"/>
    <w:rsid w:val="00D71E62"/>
    <w:rsid w:val="00D726E2"/>
    <w:rsid w:val="00D72F75"/>
    <w:rsid w:val="00D733B5"/>
    <w:rsid w:val="00D737E5"/>
    <w:rsid w:val="00D73A33"/>
    <w:rsid w:val="00D73A3E"/>
    <w:rsid w:val="00D74005"/>
    <w:rsid w:val="00D74654"/>
    <w:rsid w:val="00D7471D"/>
    <w:rsid w:val="00D7486C"/>
    <w:rsid w:val="00D74B8D"/>
    <w:rsid w:val="00D74C1E"/>
    <w:rsid w:val="00D74C83"/>
    <w:rsid w:val="00D74F12"/>
    <w:rsid w:val="00D75862"/>
    <w:rsid w:val="00D75D9F"/>
    <w:rsid w:val="00D764BD"/>
    <w:rsid w:val="00D77EC7"/>
    <w:rsid w:val="00D805C5"/>
    <w:rsid w:val="00D80A95"/>
    <w:rsid w:val="00D80D1D"/>
    <w:rsid w:val="00D81CB0"/>
    <w:rsid w:val="00D81EBF"/>
    <w:rsid w:val="00D820C0"/>
    <w:rsid w:val="00D84582"/>
    <w:rsid w:val="00D848AF"/>
    <w:rsid w:val="00D84A7D"/>
    <w:rsid w:val="00D858D4"/>
    <w:rsid w:val="00D86483"/>
    <w:rsid w:val="00D864AD"/>
    <w:rsid w:val="00D867FF"/>
    <w:rsid w:val="00D86DB5"/>
    <w:rsid w:val="00D86DF8"/>
    <w:rsid w:val="00D87A8F"/>
    <w:rsid w:val="00D90559"/>
    <w:rsid w:val="00D905AA"/>
    <w:rsid w:val="00D90804"/>
    <w:rsid w:val="00D90ACF"/>
    <w:rsid w:val="00D90F93"/>
    <w:rsid w:val="00D91474"/>
    <w:rsid w:val="00D923EA"/>
    <w:rsid w:val="00D924F0"/>
    <w:rsid w:val="00D92574"/>
    <w:rsid w:val="00D925BD"/>
    <w:rsid w:val="00D92CC2"/>
    <w:rsid w:val="00D9307B"/>
    <w:rsid w:val="00D93467"/>
    <w:rsid w:val="00D93AB3"/>
    <w:rsid w:val="00D93BF6"/>
    <w:rsid w:val="00D94E36"/>
    <w:rsid w:val="00D960AB"/>
    <w:rsid w:val="00D97FF3"/>
    <w:rsid w:val="00DA066E"/>
    <w:rsid w:val="00DA10F9"/>
    <w:rsid w:val="00DA1161"/>
    <w:rsid w:val="00DA12D6"/>
    <w:rsid w:val="00DA12F9"/>
    <w:rsid w:val="00DA1822"/>
    <w:rsid w:val="00DA23FD"/>
    <w:rsid w:val="00DA2CB1"/>
    <w:rsid w:val="00DA3241"/>
    <w:rsid w:val="00DA3E15"/>
    <w:rsid w:val="00DA5167"/>
    <w:rsid w:val="00DA524B"/>
    <w:rsid w:val="00DA79F6"/>
    <w:rsid w:val="00DB07AB"/>
    <w:rsid w:val="00DB0DCD"/>
    <w:rsid w:val="00DB1220"/>
    <w:rsid w:val="00DB1911"/>
    <w:rsid w:val="00DB1DE6"/>
    <w:rsid w:val="00DB2608"/>
    <w:rsid w:val="00DB2B09"/>
    <w:rsid w:val="00DB308E"/>
    <w:rsid w:val="00DB3255"/>
    <w:rsid w:val="00DB3AFD"/>
    <w:rsid w:val="00DB4352"/>
    <w:rsid w:val="00DB4407"/>
    <w:rsid w:val="00DB4830"/>
    <w:rsid w:val="00DB4AAF"/>
    <w:rsid w:val="00DB5226"/>
    <w:rsid w:val="00DB5997"/>
    <w:rsid w:val="00DB5D80"/>
    <w:rsid w:val="00DB6205"/>
    <w:rsid w:val="00DB64C8"/>
    <w:rsid w:val="00DB65B8"/>
    <w:rsid w:val="00DB66F6"/>
    <w:rsid w:val="00DB70BE"/>
    <w:rsid w:val="00DB7176"/>
    <w:rsid w:val="00DC0632"/>
    <w:rsid w:val="00DC0830"/>
    <w:rsid w:val="00DC0DA0"/>
    <w:rsid w:val="00DC0EB1"/>
    <w:rsid w:val="00DC2C62"/>
    <w:rsid w:val="00DC321B"/>
    <w:rsid w:val="00DC34BC"/>
    <w:rsid w:val="00DC3506"/>
    <w:rsid w:val="00DC39A6"/>
    <w:rsid w:val="00DC45C7"/>
    <w:rsid w:val="00DC4B96"/>
    <w:rsid w:val="00DC50C0"/>
    <w:rsid w:val="00DC5A84"/>
    <w:rsid w:val="00DC5BFF"/>
    <w:rsid w:val="00DC5DA4"/>
    <w:rsid w:val="00DC6043"/>
    <w:rsid w:val="00DC641A"/>
    <w:rsid w:val="00DC651E"/>
    <w:rsid w:val="00DC6815"/>
    <w:rsid w:val="00DC6EFB"/>
    <w:rsid w:val="00DC7296"/>
    <w:rsid w:val="00DC739E"/>
    <w:rsid w:val="00DD04A9"/>
    <w:rsid w:val="00DD05BF"/>
    <w:rsid w:val="00DD06B0"/>
    <w:rsid w:val="00DD09F6"/>
    <w:rsid w:val="00DD0ADD"/>
    <w:rsid w:val="00DD0E1F"/>
    <w:rsid w:val="00DD1349"/>
    <w:rsid w:val="00DD1C1A"/>
    <w:rsid w:val="00DD2D79"/>
    <w:rsid w:val="00DD31A8"/>
    <w:rsid w:val="00DD36AC"/>
    <w:rsid w:val="00DD4C04"/>
    <w:rsid w:val="00DD504D"/>
    <w:rsid w:val="00DD53ED"/>
    <w:rsid w:val="00DD5714"/>
    <w:rsid w:val="00DD5FC8"/>
    <w:rsid w:val="00DD6D65"/>
    <w:rsid w:val="00DE12A1"/>
    <w:rsid w:val="00DE15FC"/>
    <w:rsid w:val="00DE188F"/>
    <w:rsid w:val="00DE20B9"/>
    <w:rsid w:val="00DE23DC"/>
    <w:rsid w:val="00DE2A5B"/>
    <w:rsid w:val="00DE397F"/>
    <w:rsid w:val="00DE3AA8"/>
    <w:rsid w:val="00DE3D43"/>
    <w:rsid w:val="00DE52C7"/>
    <w:rsid w:val="00DE5CE0"/>
    <w:rsid w:val="00DE6DA5"/>
    <w:rsid w:val="00DE6EBA"/>
    <w:rsid w:val="00DE722E"/>
    <w:rsid w:val="00DE72C5"/>
    <w:rsid w:val="00DE7631"/>
    <w:rsid w:val="00DF04A0"/>
    <w:rsid w:val="00DF054C"/>
    <w:rsid w:val="00DF2527"/>
    <w:rsid w:val="00DF2FE0"/>
    <w:rsid w:val="00DF3277"/>
    <w:rsid w:val="00DF3BE9"/>
    <w:rsid w:val="00DF405E"/>
    <w:rsid w:val="00DF5884"/>
    <w:rsid w:val="00DF5B83"/>
    <w:rsid w:val="00DF5C79"/>
    <w:rsid w:val="00DF60C7"/>
    <w:rsid w:val="00DF61B3"/>
    <w:rsid w:val="00DF6B59"/>
    <w:rsid w:val="00DF72EA"/>
    <w:rsid w:val="00DF773E"/>
    <w:rsid w:val="00DF78F7"/>
    <w:rsid w:val="00E00600"/>
    <w:rsid w:val="00E00EDE"/>
    <w:rsid w:val="00E01755"/>
    <w:rsid w:val="00E01D67"/>
    <w:rsid w:val="00E02F5B"/>
    <w:rsid w:val="00E03897"/>
    <w:rsid w:val="00E038A6"/>
    <w:rsid w:val="00E04213"/>
    <w:rsid w:val="00E04433"/>
    <w:rsid w:val="00E049EF"/>
    <w:rsid w:val="00E069C4"/>
    <w:rsid w:val="00E0748C"/>
    <w:rsid w:val="00E07722"/>
    <w:rsid w:val="00E07B77"/>
    <w:rsid w:val="00E07CF4"/>
    <w:rsid w:val="00E106A8"/>
    <w:rsid w:val="00E109A7"/>
    <w:rsid w:val="00E1112C"/>
    <w:rsid w:val="00E122E7"/>
    <w:rsid w:val="00E1277B"/>
    <w:rsid w:val="00E13537"/>
    <w:rsid w:val="00E14793"/>
    <w:rsid w:val="00E157B8"/>
    <w:rsid w:val="00E15A5C"/>
    <w:rsid w:val="00E15FB2"/>
    <w:rsid w:val="00E16936"/>
    <w:rsid w:val="00E1713C"/>
    <w:rsid w:val="00E17923"/>
    <w:rsid w:val="00E179FD"/>
    <w:rsid w:val="00E2003B"/>
    <w:rsid w:val="00E20293"/>
    <w:rsid w:val="00E2093D"/>
    <w:rsid w:val="00E211B0"/>
    <w:rsid w:val="00E21B80"/>
    <w:rsid w:val="00E22094"/>
    <w:rsid w:val="00E22C87"/>
    <w:rsid w:val="00E22D6F"/>
    <w:rsid w:val="00E24220"/>
    <w:rsid w:val="00E258F7"/>
    <w:rsid w:val="00E25A46"/>
    <w:rsid w:val="00E25DCF"/>
    <w:rsid w:val="00E25F48"/>
    <w:rsid w:val="00E263AC"/>
    <w:rsid w:val="00E263AF"/>
    <w:rsid w:val="00E266D6"/>
    <w:rsid w:val="00E26837"/>
    <w:rsid w:val="00E27497"/>
    <w:rsid w:val="00E27E21"/>
    <w:rsid w:val="00E3118A"/>
    <w:rsid w:val="00E313CE"/>
    <w:rsid w:val="00E32762"/>
    <w:rsid w:val="00E32A42"/>
    <w:rsid w:val="00E33199"/>
    <w:rsid w:val="00E331EC"/>
    <w:rsid w:val="00E33B23"/>
    <w:rsid w:val="00E34053"/>
    <w:rsid w:val="00E3432B"/>
    <w:rsid w:val="00E356B1"/>
    <w:rsid w:val="00E35721"/>
    <w:rsid w:val="00E361FE"/>
    <w:rsid w:val="00E366B5"/>
    <w:rsid w:val="00E377A2"/>
    <w:rsid w:val="00E377E7"/>
    <w:rsid w:val="00E37860"/>
    <w:rsid w:val="00E4036E"/>
    <w:rsid w:val="00E40E48"/>
    <w:rsid w:val="00E417A2"/>
    <w:rsid w:val="00E41957"/>
    <w:rsid w:val="00E4249C"/>
    <w:rsid w:val="00E42B15"/>
    <w:rsid w:val="00E42B9F"/>
    <w:rsid w:val="00E42BDB"/>
    <w:rsid w:val="00E42D91"/>
    <w:rsid w:val="00E42F8E"/>
    <w:rsid w:val="00E432F8"/>
    <w:rsid w:val="00E43F3A"/>
    <w:rsid w:val="00E43FCD"/>
    <w:rsid w:val="00E447E4"/>
    <w:rsid w:val="00E45023"/>
    <w:rsid w:val="00E451D1"/>
    <w:rsid w:val="00E45641"/>
    <w:rsid w:val="00E461CE"/>
    <w:rsid w:val="00E46469"/>
    <w:rsid w:val="00E46528"/>
    <w:rsid w:val="00E4725E"/>
    <w:rsid w:val="00E47A6D"/>
    <w:rsid w:val="00E47A98"/>
    <w:rsid w:val="00E47DE7"/>
    <w:rsid w:val="00E50F8E"/>
    <w:rsid w:val="00E513E8"/>
    <w:rsid w:val="00E516AA"/>
    <w:rsid w:val="00E51927"/>
    <w:rsid w:val="00E51F4D"/>
    <w:rsid w:val="00E52A2D"/>
    <w:rsid w:val="00E54540"/>
    <w:rsid w:val="00E546C6"/>
    <w:rsid w:val="00E5472D"/>
    <w:rsid w:val="00E54864"/>
    <w:rsid w:val="00E54873"/>
    <w:rsid w:val="00E54BA9"/>
    <w:rsid w:val="00E55C88"/>
    <w:rsid w:val="00E5699E"/>
    <w:rsid w:val="00E56E74"/>
    <w:rsid w:val="00E56EEE"/>
    <w:rsid w:val="00E57627"/>
    <w:rsid w:val="00E57851"/>
    <w:rsid w:val="00E601EC"/>
    <w:rsid w:val="00E60202"/>
    <w:rsid w:val="00E60CB8"/>
    <w:rsid w:val="00E61092"/>
    <w:rsid w:val="00E610C9"/>
    <w:rsid w:val="00E615C7"/>
    <w:rsid w:val="00E6224A"/>
    <w:rsid w:val="00E625CC"/>
    <w:rsid w:val="00E633D6"/>
    <w:rsid w:val="00E63DDA"/>
    <w:rsid w:val="00E64A19"/>
    <w:rsid w:val="00E64E3F"/>
    <w:rsid w:val="00E6503C"/>
    <w:rsid w:val="00E66803"/>
    <w:rsid w:val="00E66FA9"/>
    <w:rsid w:val="00E66FC2"/>
    <w:rsid w:val="00E6709B"/>
    <w:rsid w:val="00E67EF3"/>
    <w:rsid w:val="00E67FCC"/>
    <w:rsid w:val="00E70491"/>
    <w:rsid w:val="00E71ADD"/>
    <w:rsid w:val="00E72818"/>
    <w:rsid w:val="00E7323A"/>
    <w:rsid w:val="00E7399D"/>
    <w:rsid w:val="00E73FCC"/>
    <w:rsid w:val="00E74C4C"/>
    <w:rsid w:val="00E74F40"/>
    <w:rsid w:val="00E7507E"/>
    <w:rsid w:val="00E750B0"/>
    <w:rsid w:val="00E7535A"/>
    <w:rsid w:val="00E754D5"/>
    <w:rsid w:val="00E755D7"/>
    <w:rsid w:val="00E756C4"/>
    <w:rsid w:val="00E762E1"/>
    <w:rsid w:val="00E76325"/>
    <w:rsid w:val="00E7651D"/>
    <w:rsid w:val="00E765F9"/>
    <w:rsid w:val="00E7674E"/>
    <w:rsid w:val="00E76836"/>
    <w:rsid w:val="00E76B6B"/>
    <w:rsid w:val="00E76E11"/>
    <w:rsid w:val="00E77539"/>
    <w:rsid w:val="00E77983"/>
    <w:rsid w:val="00E77BDD"/>
    <w:rsid w:val="00E77D65"/>
    <w:rsid w:val="00E8031D"/>
    <w:rsid w:val="00E80D13"/>
    <w:rsid w:val="00E82294"/>
    <w:rsid w:val="00E82515"/>
    <w:rsid w:val="00E82716"/>
    <w:rsid w:val="00E828D8"/>
    <w:rsid w:val="00E832C0"/>
    <w:rsid w:val="00E83612"/>
    <w:rsid w:val="00E83B5F"/>
    <w:rsid w:val="00E83F1F"/>
    <w:rsid w:val="00E84096"/>
    <w:rsid w:val="00E853C5"/>
    <w:rsid w:val="00E86595"/>
    <w:rsid w:val="00E87029"/>
    <w:rsid w:val="00E87050"/>
    <w:rsid w:val="00E8737E"/>
    <w:rsid w:val="00E87569"/>
    <w:rsid w:val="00E877A5"/>
    <w:rsid w:val="00E87C80"/>
    <w:rsid w:val="00E87FD0"/>
    <w:rsid w:val="00E900D0"/>
    <w:rsid w:val="00E90125"/>
    <w:rsid w:val="00E90B5B"/>
    <w:rsid w:val="00E91C0B"/>
    <w:rsid w:val="00E925B5"/>
    <w:rsid w:val="00E92EE6"/>
    <w:rsid w:val="00E9359C"/>
    <w:rsid w:val="00E9360C"/>
    <w:rsid w:val="00E94C87"/>
    <w:rsid w:val="00E95A5C"/>
    <w:rsid w:val="00E96008"/>
    <w:rsid w:val="00E9631F"/>
    <w:rsid w:val="00E963E4"/>
    <w:rsid w:val="00E96791"/>
    <w:rsid w:val="00E96B15"/>
    <w:rsid w:val="00E96B38"/>
    <w:rsid w:val="00E9746F"/>
    <w:rsid w:val="00E9771A"/>
    <w:rsid w:val="00E97D64"/>
    <w:rsid w:val="00EA11BD"/>
    <w:rsid w:val="00EA16F2"/>
    <w:rsid w:val="00EA17D9"/>
    <w:rsid w:val="00EA19D3"/>
    <w:rsid w:val="00EA19ED"/>
    <w:rsid w:val="00EA1BBA"/>
    <w:rsid w:val="00EA2719"/>
    <w:rsid w:val="00EA2CBA"/>
    <w:rsid w:val="00EA3588"/>
    <w:rsid w:val="00EA3A3C"/>
    <w:rsid w:val="00EA3A89"/>
    <w:rsid w:val="00EA4B17"/>
    <w:rsid w:val="00EA5471"/>
    <w:rsid w:val="00EA54A9"/>
    <w:rsid w:val="00EA5874"/>
    <w:rsid w:val="00EA5D60"/>
    <w:rsid w:val="00EA72D5"/>
    <w:rsid w:val="00EA7F69"/>
    <w:rsid w:val="00EB036B"/>
    <w:rsid w:val="00EB0439"/>
    <w:rsid w:val="00EB04F1"/>
    <w:rsid w:val="00EB1001"/>
    <w:rsid w:val="00EB10B7"/>
    <w:rsid w:val="00EB1443"/>
    <w:rsid w:val="00EB2373"/>
    <w:rsid w:val="00EB2710"/>
    <w:rsid w:val="00EB34C0"/>
    <w:rsid w:val="00EB3636"/>
    <w:rsid w:val="00EB3B11"/>
    <w:rsid w:val="00EB3D07"/>
    <w:rsid w:val="00EB41CF"/>
    <w:rsid w:val="00EB5771"/>
    <w:rsid w:val="00EB5D30"/>
    <w:rsid w:val="00EB6777"/>
    <w:rsid w:val="00EB7AC8"/>
    <w:rsid w:val="00EC03EF"/>
    <w:rsid w:val="00EC040E"/>
    <w:rsid w:val="00EC07A5"/>
    <w:rsid w:val="00EC18B5"/>
    <w:rsid w:val="00EC1BFF"/>
    <w:rsid w:val="00EC1E11"/>
    <w:rsid w:val="00EC1EF0"/>
    <w:rsid w:val="00EC21D5"/>
    <w:rsid w:val="00EC2698"/>
    <w:rsid w:val="00EC3812"/>
    <w:rsid w:val="00EC39C8"/>
    <w:rsid w:val="00EC39D2"/>
    <w:rsid w:val="00EC4AB6"/>
    <w:rsid w:val="00EC4FD5"/>
    <w:rsid w:val="00EC5145"/>
    <w:rsid w:val="00EC5B9A"/>
    <w:rsid w:val="00EC5D41"/>
    <w:rsid w:val="00EC6CAB"/>
    <w:rsid w:val="00EC6D5B"/>
    <w:rsid w:val="00EC6D63"/>
    <w:rsid w:val="00EC7428"/>
    <w:rsid w:val="00EC7B66"/>
    <w:rsid w:val="00EC7E15"/>
    <w:rsid w:val="00ED06F9"/>
    <w:rsid w:val="00ED0C57"/>
    <w:rsid w:val="00ED1B21"/>
    <w:rsid w:val="00ED213A"/>
    <w:rsid w:val="00ED29EE"/>
    <w:rsid w:val="00ED3591"/>
    <w:rsid w:val="00ED3733"/>
    <w:rsid w:val="00ED3F77"/>
    <w:rsid w:val="00ED4040"/>
    <w:rsid w:val="00ED544F"/>
    <w:rsid w:val="00ED638F"/>
    <w:rsid w:val="00ED6997"/>
    <w:rsid w:val="00ED70CF"/>
    <w:rsid w:val="00ED716E"/>
    <w:rsid w:val="00ED75C7"/>
    <w:rsid w:val="00EE08A1"/>
    <w:rsid w:val="00EE258E"/>
    <w:rsid w:val="00EE3465"/>
    <w:rsid w:val="00EE3802"/>
    <w:rsid w:val="00EE3DC7"/>
    <w:rsid w:val="00EE4060"/>
    <w:rsid w:val="00EE4389"/>
    <w:rsid w:val="00EE45F5"/>
    <w:rsid w:val="00EE471F"/>
    <w:rsid w:val="00EE4D0C"/>
    <w:rsid w:val="00EE51AD"/>
    <w:rsid w:val="00EE540B"/>
    <w:rsid w:val="00EE6102"/>
    <w:rsid w:val="00EE74B1"/>
    <w:rsid w:val="00EE7983"/>
    <w:rsid w:val="00EE7B6D"/>
    <w:rsid w:val="00EE7E0A"/>
    <w:rsid w:val="00EF0051"/>
    <w:rsid w:val="00EF07CC"/>
    <w:rsid w:val="00EF1B8A"/>
    <w:rsid w:val="00EF2AE3"/>
    <w:rsid w:val="00EF3121"/>
    <w:rsid w:val="00EF36AD"/>
    <w:rsid w:val="00EF3B1F"/>
    <w:rsid w:val="00EF43F7"/>
    <w:rsid w:val="00EF611A"/>
    <w:rsid w:val="00EF629F"/>
    <w:rsid w:val="00EF6587"/>
    <w:rsid w:val="00EF6618"/>
    <w:rsid w:val="00EF6DC5"/>
    <w:rsid w:val="00F00191"/>
    <w:rsid w:val="00F00473"/>
    <w:rsid w:val="00F0094F"/>
    <w:rsid w:val="00F00E3E"/>
    <w:rsid w:val="00F00F18"/>
    <w:rsid w:val="00F01418"/>
    <w:rsid w:val="00F01494"/>
    <w:rsid w:val="00F014E8"/>
    <w:rsid w:val="00F0157B"/>
    <w:rsid w:val="00F01701"/>
    <w:rsid w:val="00F0171C"/>
    <w:rsid w:val="00F01F95"/>
    <w:rsid w:val="00F02167"/>
    <w:rsid w:val="00F02CD9"/>
    <w:rsid w:val="00F02CE9"/>
    <w:rsid w:val="00F03874"/>
    <w:rsid w:val="00F03CF6"/>
    <w:rsid w:val="00F04D0B"/>
    <w:rsid w:val="00F04E3C"/>
    <w:rsid w:val="00F04ED2"/>
    <w:rsid w:val="00F051DB"/>
    <w:rsid w:val="00F052F6"/>
    <w:rsid w:val="00F05C1B"/>
    <w:rsid w:val="00F069E7"/>
    <w:rsid w:val="00F06DB1"/>
    <w:rsid w:val="00F06F8D"/>
    <w:rsid w:val="00F072DF"/>
    <w:rsid w:val="00F07F9C"/>
    <w:rsid w:val="00F10574"/>
    <w:rsid w:val="00F10C9E"/>
    <w:rsid w:val="00F10CED"/>
    <w:rsid w:val="00F11ACA"/>
    <w:rsid w:val="00F12583"/>
    <w:rsid w:val="00F12F41"/>
    <w:rsid w:val="00F13364"/>
    <w:rsid w:val="00F13469"/>
    <w:rsid w:val="00F1361E"/>
    <w:rsid w:val="00F139C4"/>
    <w:rsid w:val="00F14E7E"/>
    <w:rsid w:val="00F15A51"/>
    <w:rsid w:val="00F164F7"/>
    <w:rsid w:val="00F16720"/>
    <w:rsid w:val="00F16F8E"/>
    <w:rsid w:val="00F17070"/>
    <w:rsid w:val="00F170F9"/>
    <w:rsid w:val="00F174C5"/>
    <w:rsid w:val="00F1770F"/>
    <w:rsid w:val="00F17969"/>
    <w:rsid w:val="00F17D5C"/>
    <w:rsid w:val="00F17D85"/>
    <w:rsid w:val="00F17FF6"/>
    <w:rsid w:val="00F202B7"/>
    <w:rsid w:val="00F20AEE"/>
    <w:rsid w:val="00F20C25"/>
    <w:rsid w:val="00F210EB"/>
    <w:rsid w:val="00F21D8B"/>
    <w:rsid w:val="00F22352"/>
    <w:rsid w:val="00F2386A"/>
    <w:rsid w:val="00F24C44"/>
    <w:rsid w:val="00F250E7"/>
    <w:rsid w:val="00F259EF"/>
    <w:rsid w:val="00F264C6"/>
    <w:rsid w:val="00F26796"/>
    <w:rsid w:val="00F26A57"/>
    <w:rsid w:val="00F27206"/>
    <w:rsid w:val="00F275E3"/>
    <w:rsid w:val="00F277F8"/>
    <w:rsid w:val="00F27BE6"/>
    <w:rsid w:val="00F30249"/>
    <w:rsid w:val="00F303EE"/>
    <w:rsid w:val="00F30FD9"/>
    <w:rsid w:val="00F315C1"/>
    <w:rsid w:val="00F31C8D"/>
    <w:rsid w:val="00F31D1C"/>
    <w:rsid w:val="00F325ED"/>
    <w:rsid w:val="00F32E7A"/>
    <w:rsid w:val="00F33697"/>
    <w:rsid w:val="00F33E2E"/>
    <w:rsid w:val="00F35251"/>
    <w:rsid w:val="00F3539B"/>
    <w:rsid w:val="00F35740"/>
    <w:rsid w:val="00F35AEF"/>
    <w:rsid w:val="00F362AD"/>
    <w:rsid w:val="00F4062C"/>
    <w:rsid w:val="00F40B56"/>
    <w:rsid w:val="00F40F40"/>
    <w:rsid w:val="00F411C5"/>
    <w:rsid w:val="00F41209"/>
    <w:rsid w:val="00F418CA"/>
    <w:rsid w:val="00F42778"/>
    <w:rsid w:val="00F44784"/>
    <w:rsid w:val="00F44BB9"/>
    <w:rsid w:val="00F45F9C"/>
    <w:rsid w:val="00F463EB"/>
    <w:rsid w:val="00F46ADD"/>
    <w:rsid w:val="00F46C4C"/>
    <w:rsid w:val="00F477BB"/>
    <w:rsid w:val="00F47F0F"/>
    <w:rsid w:val="00F5097B"/>
    <w:rsid w:val="00F50B44"/>
    <w:rsid w:val="00F51574"/>
    <w:rsid w:val="00F518BC"/>
    <w:rsid w:val="00F5214C"/>
    <w:rsid w:val="00F5215B"/>
    <w:rsid w:val="00F52DC7"/>
    <w:rsid w:val="00F53ADF"/>
    <w:rsid w:val="00F54563"/>
    <w:rsid w:val="00F54B39"/>
    <w:rsid w:val="00F54BF4"/>
    <w:rsid w:val="00F55CDE"/>
    <w:rsid w:val="00F55D4F"/>
    <w:rsid w:val="00F56A95"/>
    <w:rsid w:val="00F56B1A"/>
    <w:rsid w:val="00F5704F"/>
    <w:rsid w:val="00F577AB"/>
    <w:rsid w:val="00F57B56"/>
    <w:rsid w:val="00F60515"/>
    <w:rsid w:val="00F60A7B"/>
    <w:rsid w:val="00F60E9B"/>
    <w:rsid w:val="00F60FFA"/>
    <w:rsid w:val="00F61497"/>
    <w:rsid w:val="00F623A2"/>
    <w:rsid w:val="00F624AD"/>
    <w:rsid w:val="00F632FD"/>
    <w:rsid w:val="00F634E4"/>
    <w:rsid w:val="00F6351E"/>
    <w:rsid w:val="00F63A96"/>
    <w:rsid w:val="00F63B02"/>
    <w:rsid w:val="00F6458E"/>
    <w:rsid w:val="00F64738"/>
    <w:rsid w:val="00F64DCA"/>
    <w:rsid w:val="00F665A9"/>
    <w:rsid w:val="00F6702A"/>
    <w:rsid w:val="00F678B6"/>
    <w:rsid w:val="00F714E1"/>
    <w:rsid w:val="00F71946"/>
    <w:rsid w:val="00F7194C"/>
    <w:rsid w:val="00F721A9"/>
    <w:rsid w:val="00F7364E"/>
    <w:rsid w:val="00F7470B"/>
    <w:rsid w:val="00F747DD"/>
    <w:rsid w:val="00F7481E"/>
    <w:rsid w:val="00F752BF"/>
    <w:rsid w:val="00F765E4"/>
    <w:rsid w:val="00F766A1"/>
    <w:rsid w:val="00F76881"/>
    <w:rsid w:val="00F76B58"/>
    <w:rsid w:val="00F77049"/>
    <w:rsid w:val="00F770B5"/>
    <w:rsid w:val="00F80816"/>
    <w:rsid w:val="00F8115F"/>
    <w:rsid w:val="00F81375"/>
    <w:rsid w:val="00F81AD6"/>
    <w:rsid w:val="00F824F2"/>
    <w:rsid w:val="00F833F1"/>
    <w:rsid w:val="00F834CE"/>
    <w:rsid w:val="00F836F4"/>
    <w:rsid w:val="00F837B0"/>
    <w:rsid w:val="00F83C29"/>
    <w:rsid w:val="00F83CE2"/>
    <w:rsid w:val="00F83F25"/>
    <w:rsid w:val="00F8417A"/>
    <w:rsid w:val="00F842D8"/>
    <w:rsid w:val="00F8561D"/>
    <w:rsid w:val="00F859DA"/>
    <w:rsid w:val="00F86576"/>
    <w:rsid w:val="00F86662"/>
    <w:rsid w:val="00F86F8C"/>
    <w:rsid w:val="00F87F10"/>
    <w:rsid w:val="00F90C09"/>
    <w:rsid w:val="00F91172"/>
    <w:rsid w:val="00F92272"/>
    <w:rsid w:val="00F92714"/>
    <w:rsid w:val="00F92BD3"/>
    <w:rsid w:val="00F92F99"/>
    <w:rsid w:val="00F9375F"/>
    <w:rsid w:val="00F9552B"/>
    <w:rsid w:val="00F962EC"/>
    <w:rsid w:val="00F96E42"/>
    <w:rsid w:val="00F97D63"/>
    <w:rsid w:val="00F97DAB"/>
    <w:rsid w:val="00FA148D"/>
    <w:rsid w:val="00FA14B3"/>
    <w:rsid w:val="00FA17BA"/>
    <w:rsid w:val="00FA1975"/>
    <w:rsid w:val="00FA1E29"/>
    <w:rsid w:val="00FA2034"/>
    <w:rsid w:val="00FA2570"/>
    <w:rsid w:val="00FA3F9D"/>
    <w:rsid w:val="00FA40F4"/>
    <w:rsid w:val="00FA4746"/>
    <w:rsid w:val="00FA4CFC"/>
    <w:rsid w:val="00FA51E6"/>
    <w:rsid w:val="00FA6D7D"/>
    <w:rsid w:val="00FA6E9E"/>
    <w:rsid w:val="00FA72D9"/>
    <w:rsid w:val="00FA748C"/>
    <w:rsid w:val="00FA7B6E"/>
    <w:rsid w:val="00FB03EF"/>
    <w:rsid w:val="00FB03F4"/>
    <w:rsid w:val="00FB045C"/>
    <w:rsid w:val="00FB1570"/>
    <w:rsid w:val="00FB244E"/>
    <w:rsid w:val="00FB25F9"/>
    <w:rsid w:val="00FB297F"/>
    <w:rsid w:val="00FB2E3E"/>
    <w:rsid w:val="00FB30E9"/>
    <w:rsid w:val="00FB3278"/>
    <w:rsid w:val="00FB3F80"/>
    <w:rsid w:val="00FB4D52"/>
    <w:rsid w:val="00FB4E6C"/>
    <w:rsid w:val="00FB527B"/>
    <w:rsid w:val="00FB637F"/>
    <w:rsid w:val="00FB68C2"/>
    <w:rsid w:val="00FB6FE9"/>
    <w:rsid w:val="00FB74DA"/>
    <w:rsid w:val="00FB798A"/>
    <w:rsid w:val="00FB7B72"/>
    <w:rsid w:val="00FB7FAD"/>
    <w:rsid w:val="00FC0A92"/>
    <w:rsid w:val="00FC0B1E"/>
    <w:rsid w:val="00FC11CA"/>
    <w:rsid w:val="00FC135A"/>
    <w:rsid w:val="00FC1931"/>
    <w:rsid w:val="00FC1AE3"/>
    <w:rsid w:val="00FC1B25"/>
    <w:rsid w:val="00FC1CF9"/>
    <w:rsid w:val="00FC215D"/>
    <w:rsid w:val="00FC25DB"/>
    <w:rsid w:val="00FC2BEF"/>
    <w:rsid w:val="00FC2D10"/>
    <w:rsid w:val="00FC3231"/>
    <w:rsid w:val="00FC3AF0"/>
    <w:rsid w:val="00FC3D54"/>
    <w:rsid w:val="00FC4503"/>
    <w:rsid w:val="00FC598D"/>
    <w:rsid w:val="00FC5DC4"/>
    <w:rsid w:val="00FC6259"/>
    <w:rsid w:val="00FC7727"/>
    <w:rsid w:val="00FD098A"/>
    <w:rsid w:val="00FD0A75"/>
    <w:rsid w:val="00FD0C0F"/>
    <w:rsid w:val="00FD0D34"/>
    <w:rsid w:val="00FD1B62"/>
    <w:rsid w:val="00FD2F9B"/>
    <w:rsid w:val="00FD36E5"/>
    <w:rsid w:val="00FD3C5D"/>
    <w:rsid w:val="00FD4B79"/>
    <w:rsid w:val="00FD59D9"/>
    <w:rsid w:val="00FD5B53"/>
    <w:rsid w:val="00FD607A"/>
    <w:rsid w:val="00FD6137"/>
    <w:rsid w:val="00FD6573"/>
    <w:rsid w:val="00FD6ADF"/>
    <w:rsid w:val="00FD6AEB"/>
    <w:rsid w:val="00FD7DA0"/>
    <w:rsid w:val="00FE0379"/>
    <w:rsid w:val="00FE2054"/>
    <w:rsid w:val="00FE3AE5"/>
    <w:rsid w:val="00FE3E74"/>
    <w:rsid w:val="00FE4EA6"/>
    <w:rsid w:val="00FE5303"/>
    <w:rsid w:val="00FE5381"/>
    <w:rsid w:val="00FE56A3"/>
    <w:rsid w:val="00FE5F4F"/>
    <w:rsid w:val="00FE65B0"/>
    <w:rsid w:val="00FE68CE"/>
    <w:rsid w:val="00FE6DB0"/>
    <w:rsid w:val="00FE6E83"/>
    <w:rsid w:val="00FE7293"/>
    <w:rsid w:val="00FE7452"/>
    <w:rsid w:val="00FE7AC7"/>
    <w:rsid w:val="00FF0917"/>
    <w:rsid w:val="00FF0A4C"/>
    <w:rsid w:val="00FF14DA"/>
    <w:rsid w:val="00FF1CC0"/>
    <w:rsid w:val="00FF2710"/>
    <w:rsid w:val="00FF2715"/>
    <w:rsid w:val="00FF2D4E"/>
    <w:rsid w:val="00FF31E7"/>
    <w:rsid w:val="00FF32E5"/>
    <w:rsid w:val="00FF35E8"/>
    <w:rsid w:val="00FF454D"/>
    <w:rsid w:val="00FF4C9C"/>
    <w:rsid w:val="00FF4EAA"/>
    <w:rsid w:val="00FF4F64"/>
    <w:rsid w:val="00FF51E1"/>
    <w:rsid w:val="00FF5C34"/>
    <w:rsid w:val="00FF6081"/>
    <w:rsid w:val="00FF6571"/>
    <w:rsid w:val="00FF6EAF"/>
    <w:rsid w:val="00FF749E"/>
    <w:rsid w:val="04822D18"/>
    <w:rsid w:val="052322DC"/>
    <w:rsid w:val="069BDA84"/>
    <w:rsid w:val="0A3C7046"/>
    <w:rsid w:val="0BD06155"/>
    <w:rsid w:val="0E0795CF"/>
    <w:rsid w:val="0E86A1CA"/>
    <w:rsid w:val="0FD7A395"/>
    <w:rsid w:val="1017FEF0"/>
    <w:rsid w:val="10347650"/>
    <w:rsid w:val="11388293"/>
    <w:rsid w:val="12DFF68D"/>
    <w:rsid w:val="13E8F7FE"/>
    <w:rsid w:val="145D3424"/>
    <w:rsid w:val="14F44844"/>
    <w:rsid w:val="161885D6"/>
    <w:rsid w:val="195CD8DF"/>
    <w:rsid w:val="19C23BCC"/>
    <w:rsid w:val="1A0D1C70"/>
    <w:rsid w:val="1D785B12"/>
    <w:rsid w:val="20009FC9"/>
    <w:rsid w:val="24769FDF"/>
    <w:rsid w:val="257F5C4F"/>
    <w:rsid w:val="266B8133"/>
    <w:rsid w:val="270855AF"/>
    <w:rsid w:val="271099A8"/>
    <w:rsid w:val="294776B4"/>
    <w:rsid w:val="2A969571"/>
    <w:rsid w:val="2B413E28"/>
    <w:rsid w:val="2D05DE26"/>
    <w:rsid w:val="2DB5F4C5"/>
    <w:rsid w:val="2F0A8B14"/>
    <w:rsid w:val="31E50FB8"/>
    <w:rsid w:val="326B211F"/>
    <w:rsid w:val="357A87B7"/>
    <w:rsid w:val="360CD15F"/>
    <w:rsid w:val="398F7A03"/>
    <w:rsid w:val="3BEBE8B7"/>
    <w:rsid w:val="3DDDB000"/>
    <w:rsid w:val="3E2AF91C"/>
    <w:rsid w:val="3F1AD2A5"/>
    <w:rsid w:val="3FD00535"/>
    <w:rsid w:val="3FE949C3"/>
    <w:rsid w:val="4465DE0A"/>
    <w:rsid w:val="45B281AA"/>
    <w:rsid w:val="46ED83D8"/>
    <w:rsid w:val="4792F6F8"/>
    <w:rsid w:val="47E63461"/>
    <w:rsid w:val="48CEDA0D"/>
    <w:rsid w:val="4CE08680"/>
    <w:rsid w:val="52D7C10E"/>
    <w:rsid w:val="55A92423"/>
    <w:rsid w:val="58A8EC79"/>
    <w:rsid w:val="5951F8AF"/>
    <w:rsid w:val="5A9BC69A"/>
    <w:rsid w:val="5C6DEB5C"/>
    <w:rsid w:val="5EC1BFE2"/>
    <w:rsid w:val="5EE5C11A"/>
    <w:rsid w:val="5EF503B3"/>
    <w:rsid w:val="5F36DE0C"/>
    <w:rsid w:val="603C5EB5"/>
    <w:rsid w:val="61D289A4"/>
    <w:rsid w:val="63667AB3"/>
    <w:rsid w:val="63953105"/>
    <w:rsid w:val="64B38B8D"/>
    <w:rsid w:val="65366BD3"/>
    <w:rsid w:val="66A3E67F"/>
    <w:rsid w:val="683FB6E0"/>
    <w:rsid w:val="6A09DCF6"/>
    <w:rsid w:val="6AB3B95F"/>
    <w:rsid w:val="6BB432CC"/>
    <w:rsid w:val="6CB3EBD5"/>
    <w:rsid w:val="6D417DB8"/>
    <w:rsid w:val="6EA5B31E"/>
    <w:rsid w:val="7040C4C9"/>
    <w:rsid w:val="70C6BEA5"/>
    <w:rsid w:val="741950B7"/>
    <w:rsid w:val="7429B13E"/>
    <w:rsid w:val="745A68D4"/>
    <w:rsid w:val="747DE634"/>
    <w:rsid w:val="7505118B"/>
    <w:rsid w:val="75238C25"/>
    <w:rsid w:val="7900E808"/>
    <w:rsid w:val="7A321424"/>
    <w:rsid w:val="7CCCC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2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887"/>
    <w:rPr>
      <w:rFonts w:asciiTheme="minorHAnsi" w:hAnsiTheme="minorHAnsi"/>
      <w:sz w:val="24"/>
    </w:rPr>
  </w:style>
  <w:style w:type="paragraph" w:styleId="Heading1">
    <w:name w:val="heading 1"/>
    <w:basedOn w:val="Normal"/>
    <w:next w:val="Normal"/>
    <w:link w:val="Heading1Char"/>
    <w:uiPriority w:val="9"/>
    <w:rsid w:val="00ED6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41D3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B0B4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uiPriority w:val="99"/>
    <w:rsid w:val="00021A9E"/>
    <w:rPr>
      <w:color w:val="0000FF"/>
      <w:u w:val="single"/>
    </w:rPr>
  </w:style>
  <w:style w:type="character" w:styleId="FollowedHyperlink">
    <w:name w:val="FollowedHyperlink"/>
    <w:uiPriority w:val="99"/>
    <w:rsid w:val="00021A9E"/>
    <w:rPr>
      <w:color w:val="800080"/>
      <w:u w:val="single"/>
    </w:rPr>
  </w:style>
  <w:style w:type="paragraph" w:styleId="BalloonText">
    <w:name w:val="Balloon Text"/>
    <w:basedOn w:val="Normal"/>
    <w:link w:val="BalloonTextChar"/>
    <w:uiPriority w:val="99"/>
    <w:rsid w:val="00553D64"/>
    <w:rPr>
      <w:rFonts w:ascii="Tahoma" w:hAnsi="Tahoma" w:cs="Tahoma"/>
      <w:sz w:val="16"/>
      <w:szCs w:val="16"/>
    </w:rPr>
  </w:style>
  <w:style w:type="character" w:customStyle="1" w:styleId="BalloonTextChar">
    <w:name w:val="Balloon Text Char"/>
    <w:link w:val="BalloonText"/>
    <w:uiPriority w:val="99"/>
    <w:rsid w:val="00553D64"/>
    <w:rPr>
      <w:rFonts w:ascii="Tahoma" w:hAnsi="Tahoma" w:cs="Tahoma"/>
      <w:sz w:val="16"/>
      <w:szCs w:val="16"/>
    </w:rPr>
  </w:style>
  <w:style w:type="character" w:styleId="CommentReference">
    <w:name w:val="annotation reference"/>
    <w:uiPriority w:val="99"/>
    <w:rsid w:val="006E1FD8"/>
    <w:rPr>
      <w:sz w:val="16"/>
      <w:szCs w:val="16"/>
    </w:rPr>
  </w:style>
  <w:style w:type="paragraph" w:styleId="CommentText">
    <w:name w:val="annotation text"/>
    <w:basedOn w:val="Normal"/>
    <w:link w:val="CommentTextChar"/>
    <w:uiPriority w:val="99"/>
    <w:rsid w:val="006E1FD8"/>
  </w:style>
  <w:style w:type="character" w:customStyle="1" w:styleId="CommentTextChar">
    <w:name w:val="Comment Text Char"/>
    <w:basedOn w:val="DefaultParagraphFont"/>
    <w:link w:val="CommentText"/>
    <w:uiPriority w:val="99"/>
    <w:rsid w:val="006E1FD8"/>
  </w:style>
  <w:style w:type="paragraph" w:styleId="CommentSubject">
    <w:name w:val="annotation subject"/>
    <w:basedOn w:val="CommentText"/>
    <w:next w:val="CommentText"/>
    <w:link w:val="CommentSubjectChar"/>
    <w:uiPriority w:val="99"/>
    <w:rsid w:val="006E1FD8"/>
    <w:rPr>
      <w:b/>
      <w:bCs/>
    </w:rPr>
  </w:style>
  <w:style w:type="character" w:customStyle="1" w:styleId="CommentSubjectChar">
    <w:name w:val="Comment Subject Char"/>
    <w:link w:val="CommentSubject"/>
    <w:uiPriority w:val="99"/>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aliases w:val="Paragraph Bullet,Medium Grid 1 - Accent 21,RMSI bulle Style,List Paragraph1,Bullet  Paragraph,Heading3 Char,Heading3,Issue Action POC,3,POCG Table Text,Dot pt,F5 List Paragraph,List Paragraph Char Char Char,Indicator Text,Numbered Para 1"/>
    <w:basedOn w:val="Normal"/>
    <w:link w:val="ListParagraphChar"/>
    <w:uiPriority w:val="34"/>
    <w:qFormat/>
    <w:rsid w:val="00271DC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uiPriority w:val="9"/>
    <w:rsid w:val="00ED69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6997"/>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rsid w:val="004D6448"/>
    <w:pPr>
      <w:widowControl w:val="0"/>
      <w:ind w:left="720"/>
    </w:pPr>
    <w:rPr>
      <w:rFonts w:ascii="CG Times" w:hAnsi="CG Times"/>
      <w:snapToGrid w:val="0"/>
      <w:sz w:val="22"/>
    </w:rPr>
  </w:style>
  <w:style w:type="character" w:customStyle="1" w:styleId="BodyTextIndentChar">
    <w:name w:val="Body Text Indent Char"/>
    <w:basedOn w:val="DefaultParagraphFont"/>
    <w:link w:val="BodyTextIndent"/>
    <w:rsid w:val="004D6448"/>
    <w:rPr>
      <w:rFonts w:ascii="CG Times" w:hAnsi="CG Times"/>
      <w:snapToGrid w:val="0"/>
      <w:sz w:val="22"/>
    </w:rPr>
  </w:style>
  <w:style w:type="paragraph" w:styleId="Title">
    <w:name w:val="Title"/>
    <w:basedOn w:val="Normal"/>
    <w:link w:val="TitleChar"/>
    <w:rsid w:val="004D6448"/>
    <w:pPr>
      <w:widowControl w:val="0"/>
      <w:jc w:val="center"/>
    </w:pPr>
    <w:rPr>
      <w:rFonts w:ascii="CG Times" w:hAnsi="CG Times"/>
      <w:b/>
      <w:snapToGrid w:val="0"/>
      <w:sz w:val="22"/>
    </w:rPr>
  </w:style>
  <w:style w:type="character" w:customStyle="1" w:styleId="TitleChar">
    <w:name w:val="Title Char"/>
    <w:basedOn w:val="DefaultParagraphFont"/>
    <w:link w:val="Title"/>
    <w:rsid w:val="004D6448"/>
    <w:rPr>
      <w:rFonts w:ascii="CG Times" w:hAnsi="CG Times"/>
      <w:b/>
      <w:snapToGrid w:val="0"/>
      <w:sz w:val="22"/>
    </w:rPr>
  </w:style>
  <w:style w:type="paragraph" w:styleId="BodyTextIndent2">
    <w:name w:val="Body Text Indent 2"/>
    <w:basedOn w:val="Normal"/>
    <w:link w:val="BodyTextIndent2Char"/>
    <w:rsid w:val="004D6448"/>
    <w:pPr>
      <w:widowControl w:val="0"/>
      <w:ind w:left="720" w:hanging="720"/>
    </w:pPr>
    <w:rPr>
      <w:rFonts w:ascii="CG Times" w:hAnsi="CG Times"/>
      <w:snapToGrid w:val="0"/>
      <w:sz w:val="22"/>
    </w:rPr>
  </w:style>
  <w:style w:type="character" w:customStyle="1" w:styleId="BodyTextIndent2Char">
    <w:name w:val="Body Text Indent 2 Char"/>
    <w:basedOn w:val="DefaultParagraphFont"/>
    <w:link w:val="BodyTextIndent2"/>
    <w:rsid w:val="004D6448"/>
    <w:rPr>
      <w:rFonts w:ascii="CG Times" w:hAnsi="CG Times"/>
      <w:snapToGrid w:val="0"/>
      <w:sz w:val="22"/>
    </w:rPr>
  </w:style>
  <w:style w:type="paragraph" w:styleId="BodyTextIndent3">
    <w:name w:val="Body Text Indent 3"/>
    <w:basedOn w:val="Normal"/>
    <w:link w:val="BodyTextIndent3Char"/>
    <w:rsid w:val="004D6448"/>
    <w:pPr>
      <w:widowControl w:val="0"/>
      <w:spacing w:before="100" w:beforeAutospacing="1" w:after="100" w:afterAutospacing="1"/>
      <w:ind w:left="990" w:hanging="270"/>
    </w:pPr>
    <w:rPr>
      <w:rFonts w:ascii="Times New Roman" w:hAnsi="Times New Roman"/>
      <w:snapToGrid w:val="0"/>
      <w:sz w:val="18"/>
    </w:rPr>
  </w:style>
  <w:style w:type="character" w:customStyle="1" w:styleId="BodyTextIndent3Char">
    <w:name w:val="Body Text Indent 3 Char"/>
    <w:basedOn w:val="DefaultParagraphFont"/>
    <w:link w:val="BodyTextIndent3"/>
    <w:rsid w:val="004D6448"/>
    <w:rPr>
      <w:snapToGrid w:val="0"/>
      <w:sz w:val="18"/>
    </w:rPr>
  </w:style>
  <w:style w:type="table" w:styleId="TableGrid">
    <w:name w:val="Table Grid"/>
    <w:basedOn w:val="TableNormal"/>
    <w:uiPriority w:val="59"/>
    <w:rsid w:val="003945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Bullet Char,Medium Grid 1 - Accent 21 Char,RMSI bulle Style Char,List Paragraph1 Char,Bullet  Paragraph Char,Heading3 Char Char,Heading3 Char1,Issue Action POC Char,3 Char,POCG Table Text Char,Dot pt Char"/>
    <w:basedOn w:val="DefaultParagraphFont"/>
    <w:link w:val="ListParagraph"/>
    <w:uiPriority w:val="34"/>
    <w:qFormat/>
    <w:locked/>
    <w:rsid w:val="00271DC8"/>
    <w:rPr>
      <w:rFonts w:asciiTheme="minorHAnsi" w:hAnsiTheme="minorHAnsi"/>
      <w:sz w:val="24"/>
    </w:rPr>
  </w:style>
  <w:style w:type="paragraph" w:customStyle="1" w:styleId="FOATemplateBody">
    <w:name w:val="FOA Template Body"/>
    <w:basedOn w:val="Normal"/>
    <w:qFormat/>
    <w:rsid w:val="00271DC8"/>
    <w:rPr>
      <w:rFonts w:ascii="Calibri" w:eastAsiaTheme="minorHAnsi" w:hAnsi="Calibri" w:cstheme="minorBidi"/>
      <w:szCs w:val="22"/>
    </w:rPr>
  </w:style>
  <w:style w:type="numbering" w:customStyle="1" w:styleId="FOATemplateListStyle1">
    <w:name w:val="FOA Template List Style 1"/>
    <w:uiPriority w:val="99"/>
    <w:rsid w:val="006A24B8"/>
    <w:pPr>
      <w:numPr>
        <w:numId w:val="2"/>
      </w:numPr>
    </w:pPr>
  </w:style>
  <w:style w:type="paragraph" w:customStyle="1" w:styleId="FOAHeading1">
    <w:name w:val="FOA Heading 1"/>
    <w:basedOn w:val="Normal"/>
    <w:autoRedefine/>
    <w:qFormat/>
    <w:rsid w:val="0017729B"/>
    <w:pPr>
      <w:numPr>
        <w:numId w:val="102"/>
      </w:numPr>
      <w:outlineLvl w:val="0"/>
    </w:pPr>
    <w:rPr>
      <w:rFonts w:ascii="Calibri" w:eastAsiaTheme="minorHAnsi" w:hAnsi="Calibri" w:cstheme="minorBidi"/>
      <w:b/>
      <w:color w:val="000000" w:themeColor="text1"/>
      <w:sz w:val="36"/>
      <w:szCs w:val="22"/>
    </w:rPr>
  </w:style>
  <w:style w:type="paragraph" w:customStyle="1" w:styleId="FOAHeading2">
    <w:name w:val="FOA Heading 2"/>
    <w:basedOn w:val="Normal"/>
    <w:autoRedefine/>
    <w:qFormat/>
    <w:rsid w:val="0017595D"/>
    <w:pPr>
      <w:keepNext/>
      <w:numPr>
        <w:ilvl w:val="1"/>
        <w:numId w:val="102"/>
      </w:numPr>
      <w:outlineLvl w:val="1"/>
    </w:pPr>
    <w:rPr>
      <w:rFonts w:ascii="Calibri" w:eastAsiaTheme="minorHAnsi" w:hAnsi="Calibri" w:cstheme="minorBidi"/>
      <w:b/>
      <w:color w:val="000000" w:themeColor="text1"/>
      <w:sz w:val="32"/>
      <w:szCs w:val="32"/>
    </w:rPr>
  </w:style>
  <w:style w:type="paragraph" w:customStyle="1" w:styleId="FOATemplateStyle3">
    <w:name w:val="FOA Template Style 3"/>
    <w:basedOn w:val="Normal"/>
    <w:autoRedefine/>
    <w:rsid w:val="007D349C"/>
    <w:pPr>
      <w:numPr>
        <w:numId w:val="25"/>
      </w:numPr>
      <w:tabs>
        <w:tab w:val="left" w:pos="1800"/>
      </w:tabs>
    </w:pPr>
    <w:rPr>
      <w:rFonts w:ascii="Calibri" w:eastAsiaTheme="minorHAnsi" w:hAnsi="Calibri" w:cstheme="minorBidi"/>
      <w:b/>
      <w:sz w:val="28"/>
      <w:szCs w:val="22"/>
    </w:rPr>
  </w:style>
  <w:style w:type="paragraph" w:customStyle="1" w:styleId="FOAHeading4">
    <w:name w:val="FOA Heading 4"/>
    <w:basedOn w:val="Normal"/>
    <w:qFormat/>
    <w:rsid w:val="006D67C1"/>
    <w:pPr>
      <w:numPr>
        <w:ilvl w:val="3"/>
        <w:numId w:val="102"/>
      </w:numPr>
    </w:pPr>
    <w:rPr>
      <w:rFonts w:ascii="Calibri" w:eastAsiaTheme="minorHAnsi" w:hAnsi="Calibri" w:cstheme="minorBidi"/>
      <w:b/>
      <w:color w:val="000000" w:themeColor="text1"/>
      <w:szCs w:val="22"/>
    </w:rPr>
  </w:style>
  <w:style w:type="paragraph" w:customStyle="1" w:styleId="FOATemplateTable">
    <w:name w:val="FOA Template Table"/>
    <w:basedOn w:val="FOATemplateBody"/>
    <w:rsid w:val="006A24B8"/>
    <w:rPr>
      <w:rFonts w:asciiTheme="minorHAnsi" w:hAnsiTheme="minorHAnsi"/>
      <w:color w:val="000000" w:themeColor="text1"/>
      <w:sz w:val="21"/>
    </w:rPr>
  </w:style>
  <w:style w:type="paragraph" w:styleId="TOC1">
    <w:name w:val="toc 1"/>
    <w:basedOn w:val="Normal"/>
    <w:next w:val="Normal"/>
    <w:autoRedefine/>
    <w:uiPriority w:val="39"/>
    <w:unhideWhenUsed/>
    <w:rsid w:val="00D00A1F"/>
    <w:pPr>
      <w:tabs>
        <w:tab w:val="left" w:pos="475"/>
        <w:tab w:val="right" w:leader="dot" w:pos="9350"/>
      </w:tabs>
      <w:spacing w:before="120" w:after="120"/>
    </w:pPr>
    <w:rPr>
      <w:rFonts w:eastAsiaTheme="minorHAnsi" w:cstheme="minorBidi"/>
      <w:b/>
      <w:bCs/>
      <w:sz w:val="20"/>
    </w:rPr>
  </w:style>
  <w:style w:type="paragraph" w:styleId="TOC2">
    <w:name w:val="toc 2"/>
    <w:basedOn w:val="Normal"/>
    <w:next w:val="Normal"/>
    <w:autoRedefine/>
    <w:uiPriority w:val="39"/>
    <w:unhideWhenUsed/>
    <w:rsid w:val="00D174E4"/>
    <w:pPr>
      <w:tabs>
        <w:tab w:val="left" w:pos="720"/>
        <w:tab w:val="right" w:leader="dot" w:pos="9350"/>
      </w:tabs>
      <w:ind w:left="245"/>
    </w:pPr>
    <w:rPr>
      <w:rFonts w:eastAsiaTheme="minorHAnsi" w:cstheme="minorBidi"/>
      <w:sz w:val="20"/>
    </w:rPr>
  </w:style>
  <w:style w:type="paragraph" w:styleId="TOC3">
    <w:name w:val="toc 3"/>
    <w:basedOn w:val="Normal"/>
    <w:next w:val="Normal"/>
    <w:autoRedefine/>
    <w:uiPriority w:val="39"/>
    <w:unhideWhenUsed/>
    <w:rsid w:val="00F81AD6"/>
    <w:pPr>
      <w:tabs>
        <w:tab w:val="left" w:pos="960"/>
        <w:tab w:val="left" w:pos="1944"/>
        <w:tab w:val="right" w:leader="dot" w:pos="9350"/>
      </w:tabs>
      <w:ind w:left="1944" w:hanging="504"/>
    </w:pPr>
    <w:rPr>
      <w:rFonts w:ascii="TT13Et00" w:eastAsiaTheme="minorHAnsi" w:hAnsi="TT13Et00" w:cstheme="minorBidi"/>
      <w:iCs/>
      <w:noProof/>
      <w:sz w:val="20"/>
    </w:rPr>
  </w:style>
  <w:style w:type="paragraph" w:styleId="TOC4">
    <w:name w:val="toc 4"/>
    <w:basedOn w:val="Normal"/>
    <w:next w:val="Normal"/>
    <w:autoRedefine/>
    <w:uiPriority w:val="39"/>
    <w:unhideWhenUsed/>
    <w:rsid w:val="006A24B8"/>
    <w:pPr>
      <w:ind w:left="720"/>
    </w:pPr>
    <w:rPr>
      <w:rFonts w:eastAsiaTheme="minorHAnsi" w:cstheme="minorBidi"/>
      <w:sz w:val="18"/>
      <w:szCs w:val="18"/>
    </w:rPr>
  </w:style>
  <w:style w:type="paragraph" w:styleId="TOC5">
    <w:name w:val="toc 5"/>
    <w:basedOn w:val="Normal"/>
    <w:next w:val="Normal"/>
    <w:autoRedefine/>
    <w:uiPriority w:val="39"/>
    <w:unhideWhenUsed/>
    <w:rsid w:val="006A24B8"/>
    <w:pPr>
      <w:ind w:left="960"/>
    </w:pPr>
    <w:rPr>
      <w:rFonts w:eastAsiaTheme="minorHAnsi" w:cstheme="minorBidi"/>
      <w:sz w:val="18"/>
      <w:szCs w:val="18"/>
    </w:rPr>
  </w:style>
  <w:style w:type="paragraph" w:styleId="TOC6">
    <w:name w:val="toc 6"/>
    <w:basedOn w:val="Normal"/>
    <w:next w:val="Normal"/>
    <w:autoRedefine/>
    <w:uiPriority w:val="39"/>
    <w:unhideWhenUsed/>
    <w:rsid w:val="006A24B8"/>
    <w:pPr>
      <w:ind w:left="1200"/>
    </w:pPr>
    <w:rPr>
      <w:rFonts w:eastAsiaTheme="minorHAnsi" w:cstheme="minorBidi"/>
      <w:sz w:val="18"/>
      <w:szCs w:val="18"/>
    </w:rPr>
  </w:style>
  <w:style w:type="paragraph" w:styleId="TOC7">
    <w:name w:val="toc 7"/>
    <w:basedOn w:val="Normal"/>
    <w:next w:val="Normal"/>
    <w:autoRedefine/>
    <w:uiPriority w:val="39"/>
    <w:unhideWhenUsed/>
    <w:rsid w:val="006A24B8"/>
    <w:pPr>
      <w:ind w:left="1440"/>
    </w:pPr>
    <w:rPr>
      <w:rFonts w:eastAsiaTheme="minorHAnsi" w:cstheme="minorBidi"/>
      <w:sz w:val="18"/>
      <w:szCs w:val="18"/>
    </w:rPr>
  </w:style>
  <w:style w:type="paragraph" w:styleId="TOC8">
    <w:name w:val="toc 8"/>
    <w:basedOn w:val="Normal"/>
    <w:next w:val="Normal"/>
    <w:autoRedefine/>
    <w:uiPriority w:val="39"/>
    <w:unhideWhenUsed/>
    <w:rsid w:val="006A24B8"/>
    <w:pPr>
      <w:ind w:left="1680"/>
    </w:pPr>
    <w:rPr>
      <w:rFonts w:eastAsiaTheme="minorHAnsi" w:cstheme="minorBidi"/>
      <w:sz w:val="18"/>
      <w:szCs w:val="18"/>
    </w:rPr>
  </w:style>
  <w:style w:type="paragraph" w:styleId="TOC9">
    <w:name w:val="toc 9"/>
    <w:basedOn w:val="Normal"/>
    <w:next w:val="Normal"/>
    <w:autoRedefine/>
    <w:uiPriority w:val="39"/>
    <w:unhideWhenUsed/>
    <w:rsid w:val="006A24B8"/>
    <w:pPr>
      <w:ind w:left="1920"/>
    </w:pPr>
    <w:rPr>
      <w:rFonts w:eastAsiaTheme="minorHAnsi" w:cstheme="minorBidi"/>
      <w:sz w:val="18"/>
      <w:szCs w:val="18"/>
    </w:rPr>
  </w:style>
  <w:style w:type="paragraph" w:customStyle="1" w:styleId="AppendixHeading">
    <w:name w:val="Appendix Heading"/>
    <w:basedOn w:val="Normal"/>
    <w:link w:val="AppendixHeadingChar"/>
    <w:qFormat/>
    <w:rsid w:val="00D5338C"/>
    <w:pPr>
      <w:jc w:val="center"/>
    </w:pPr>
    <w:rPr>
      <w:rFonts w:ascii="Calibri" w:eastAsiaTheme="minorHAnsi" w:hAnsi="Calibri" w:cstheme="minorBidi"/>
      <w:b/>
      <w:smallCaps/>
      <w:sz w:val="36"/>
      <w:szCs w:val="40"/>
    </w:rPr>
  </w:style>
  <w:style w:type="character" w:customStyle="1" w:styleId="AppendixHeadingChar">
    <w:name w:val="Appendix Heading Char"/>
    <w:basedOn w:val="DefaultParagraphFont"/>
    <w:link w:val="AppendixHeading"/>
    <w:rsid w:val="00D5338C"/>
    <w:rPr>
      <w:rFonts w:ascii="Calibri" w:eastAsiaTheme="minorHAnsi" w:hAnsi="Calibri" w:cstheme="minorBidi"/>
      <w:b/>
      <w:smallCaps/>
      <w:sz w:val="36"/>
      <w:szCs w:val="40"/>
    </w:rPr>
  </w:style>
  <w:style w:type="paragraph" w:styleId="Revision">
    <w:name w:val="Revision"/>
    <w:hidden/>
    <w:uiPriority w:val="99"/>
    <w:semiHidden/>
    <w:rsid w:val="006A24B8"/>
    <w:rPr>
      <w:rFonts w:ascii="Calibri" w:eastAsiaTheme="minorHAnsi" w:hAnsi="Calibri" w:cstheme="minorBidi"/>
      <w:sz w:val="24"/>
      <w:szCs w:val="22"/>
    </w:rPr>
  </w:style>
  <w:style w:type="paragraph" w:styleId="PlainText">
    <w:name w:val="Plain Text"/>
    <w:basedOn w:val="Normal"/>
    <w:link w:val="PlainTextChar"/>
    <w:uiPriority w:val="99"/>
    <w:unhideWhenUsed/>
    <w:rsid w:val="006A24B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A24B8"/>
    <w:rPr>
      <w:rFonts w:ascii="Calibri" w:eastAsiaTheme="minorHAnsi" w:hAnsi="Calibri" w:cs="Consolas"/>
      <w:sz w:val="22"/>
      <w:szCs w:val="21"/>
    </w:rPr>
  </w:style>
  <w:style w:type="paragraph" w:styleId="FootnoteText">
    <w:name w:val="footnote text"/>
    <w:aliases w:val="BG Footnote Text"/>
    <w:basedOn w:val="Normal"/>
    <w:link w:val="FootnoteTextChar"/>
    <w:unhideWhenUsed/>
    <w:qFormat/>
    <w:rsid w:val="006A24B8"/>
    <w:rPr>
      <w:rFonts w:eastAsiaTheme="minorHAnsi" w:cstheme="minorBidi"/>
      <w:sz w:val="20"/>
    </w:rPr>
  </w:style>
  <w:style w:type="character" w:customStyle="1" w:styleId="FootnoteTextChar">
    <w:name w:val="Footnote Text Char"/>
    <w:aliases w:val="BG Footnote Text Char"/>
    <w:basedOn w:val="DefaultParagraphFont"/>
    <w:link w:val="FootnoteText"/>
    <w:qFormat/>
    <w:rsid w:val="006A24B8"/>
    <w:rPr>
      <w:rFonts w:asciiTheme="minorHAnsi" w:eastAsiaTheme="minorHAnsi" w:hAnsiTheme="minorHAnsi" w:cstheme="minorBidi"/>
    </w:rPr>
  </w:style>
  <w:style w:type="character" w:styleId="FootnoteReference">
    <w:name w:val="footnote reference"/>
    <w:aliases w:val="o,fr,Style 16,o1,fr1,o2,fr2,o3,fr3,Style 13,Style 12,Style 15,Style 17,Style 9,Style 18,(NECG) Footnote Reference,Style 20,Style 7,Styl,Style 8,Style 19,Style 28,Sty"/>
    <w:basedOn w:val="DefaultParagraphFont"/>
    <w:unhideWhenUsed/>
    <w:rsid w:val="006A24B8"/>
    <w:rPr>
      <w:vertAlign w:val="superscript"/>
    </w:rPr>
  </w:style>
  <w:style w:type="paragraph" w:styleId="EndnoteText">
    <w:name w:val="endnote text"/>
    <w:basedOn w:val="Normal"/>
    <w:link w:val="EndnoteTextChar"/>
    <w:uiPriority w:val="99"/>
    <w:semiHidden/>
    <w:unhideWhenUsed/>
    <w:rsid w:val="006A24B8"/>
    <w:rPr>
      <w:rFonts w:ascii="Calibri" w:eastAsiaTheme="minorHAnsi" w:hAnsi="Calibri" w:cstheme="minorBidi"/>
      <w:sz w:val="20"/>
    </w:rPr>
  </w:style>
  <w:style w:type="character" w:customStyle="1" w:styleId="EndnoteTextChar">
    <w:name w:val="Endnote Text Char"/>
    <w:basedOn w:val="DefaultParagraphFont"/>
    <w:link w:val="EndnoteText"/>
    <w:uiPriority w:val="99"/>
    <w:semiHidden/>
    <w:rsid w:val="006A24B8"/>
    <w:rPr>
      <w:rFonts w:ascii="Calibri" w:eastAsiaTheme="minorHAnsi" w:hAnsi="Calibri" w:cstheme="minorBidi"/>
    </w:rPr>
  </w:style>
  <w:style w:type="character" w:styleId="EndnoteReference">
    <w:name w:val="endnote reference"/>
    <w:basedOn w:val="DefaultParagraphFont"/>
    <w:uiPriority w:val="99"/>
    <w:semiHidden/>
    <w:unhideWhenUsed/>
    <w:rsid w:val="006A24B8"/>
    <w:rPr>
      <w:vertAlign w:val="superscript"/>
    </w:rPr>
  </w:style>
  <w:style w:type="paragraph" w:styleId="BodyText2">
    <w:name w:val="Body Text 2"/>
    <w:basedOn w:val="Normal"/>
    <w:link w:val="BodyText2Char"/>
    <w:semiHidden/>
    <w:unhideWhenUsed/>
    <w:rsid w:val="006A24B8"/>
    <w:pPr>
      <w:spacing w:after="120" w:line="480" w:lineRule="auto"/>
    </w:pPr>
    <w:rPr>
      <w:rFonts w:ascii="Times New Roman" w:hAnsi="Times New Roman"/>
      <w:szCs w:val="24"/>
    </w:rPr>
  </w:style>
  <w:style w:type="character" w:customStyle="1" w:styleId="BodyText2Char">
    <w:name w:val="Body Text 2 Char"/>
    <w:basedOn w:val="DefaultParagraphFont"/>
    <w:link w:val="BodyText2"/>
    <w:semiHidden/>
    <w:rsid w:val="006A24B8"/>
    <w:rPr>
      <w:sz w:val="24"/>
      <w:szCs w:val="24"/>
    </w:rPr>
  </w:style>
  <w:style w:type="paragraph" w:styleId="NormalWeb">
    <w:name w:val="Normal (Web)"/>
    <w:basedOn w:val="Normal"/>
    <w:uiPriority w:val="99"/>
    <w:semiHidden/>
    <w:unhideWhenUsed/>
    <w:rsid w:val="006A24B8"/>
    <w:pPr>
      <w:spacing w:before="100" w:beforeAutospacing="1" w:after="100" w:afterAutospacing="1"/>
      <w:ind w:firstLine="480"/>
    </w:pPr>
    <w:rPr>
      <w:rFonts w:ascii="Times New Roman" w:hAnsi="Times New Roman"/>
      <w:szCs w:val="24"/>
    </w:rPr>
  </w:style>
  <w:style w:type="character" w:customStyle="1" w:styleId="Style3">
    <w:name w:val="Style3"/>
    <w:basedOn w:val="DefaultParagraphFont"/>
    <w:uiPriority w:val="1"/>
    <w:rsid w:val="009C6820"/>
    <w:rPr>
      <w:rFonts w:asciiTheme="minorHAnsi" w:hAnsiTheme="minorHAnsi"/>
      <w:b/>
      <w:sz w:val="36"/>
    </w:rPr>
  </w:style>
  <w:style w:type="character" w:customStyle="1" w:styleId="14Bold">
    <w:name w:val="14 Bold"/>
    <w:basedOn w:val="DefaultParagraphFont"/>
    <w:uiPriority w:val="1"/>
    <w:rsid w:val="0000759E"/>
    <w:rPr>
      <w:rFonts w:asciiTheme="minorHAnsi" w:hAnsiTheme="minorHAnsi"/>
      <w:b/>
      <w:sz w:val="28"/>
    </w:rPr>
  </w:style>
  <w:style w:type="character" w:customStyle="1" w:styleId="105Calibri">
    <w:name w:val="10.5 Calibri"/>
    <w:basedOn w:val="DefaultParagraphFont"/>
    <w:uiPriority w:val="1"/>
    <w:rsid w:val="00D069AD"/>
    <w:rPr>
      <w:rFonts w:asciiTheme="minorHAnsi" w:hAnsiTheme="minorHAnsi"/>
      <w:sz w:val="21"/>
    </w:rPr>
  </w:style>
  <w:style w:type="character" w:customStyle="1" w:styleId="12Bold">
    <w:name w:val="12 Bold"/>
    <w:basedOn w:val="DefaultParagraphFont"/>
    <w:uiPriority w:val="1"/>
    <w:rsid w:val="00A9301C"/>
    <w:rPr>
      <w:rFonts w:asciiTheme="minorHAnsi" w:hAnsiTheme="minorHAnsi"/>
      <w:b/>
      <w:sz w:val="24"/>
    </w:rPr>
  </w:style>
  <w:style w:type="paragraph" w:customStyle="1" w:styleId="Default">
    <w:name w:val="Default"/>
    <w:rsid w:val="00D41E04"/>
    <w:pPr>
      <w:autoSpaceDE w:val="0"/>
      <w:autoSpaceDN w:val="0"/>
      <w:adjustRightInd w:val="0"/>
    </w:pPr>
    <w:rPr>
      <w:color w:val="000000"/>
      <w:sz w:val="24"/>
      <w:szCs w:val="24"/>
    </w:rPr>
  </w:style>
  <w:style w:type="paragraph" w:customStyle="1" w:styleId="FOAHeading3">
    <w:name w:val="FOA Heading 3"/>
    <w:basedOn w:val="ListParagraph"/>
    <w:link w:val="FOAHeading3Char"/>
    <w:qFormat/>
    <w:rsid w:val="00371D04"/>
    <w:pPr>
      <w:keepNext/>
      <w:numPr>
        <w:numId w:val="103"/>
      </w:numPr>
    </w:pPr>
    <w:rPr>
      <w:rFonts w:ascii="Calibri" w:hAnsi="Calibri"/>
      <w:b/>
      <w:sz w:val="28"/>
      <w:szCs w:val="28"/>
    </w:rPr>
  </w:style>
  <w:style w:type="paragraph" w:styleId="TOCHeading">
    <w:name w:val="TOC Heading"/>
    <w:basedOn w:val="Heading1"/>
    <w:next w:val="Normal"/>
    <w:uiPriority w:val="39"/>
    <w:unhideWhenUsed/>
    <w:qFormat/>
    <w:rsid w:val="000F432F"/>
    <w:pPr>
      <w:spacing w:before="240" w:line="259" w:lineRule="auto"/>
      <w:outlineLvl w:val="9"/>
    </w:pPr>
    <w:rPr>
      <w:b w:val="0"/>
      <w:bCs w:val="0"/>
      <w:sz w:val="32"/>
      <w:szCs w:val="32"/>
    </w:rPr>
  </w:style>
  <w:style w:type="character" w:customStyle="1" w:styleId="FOAHeading3Char">
    <w:name w:val="FOA Heading 3 Char"/>
    <w:basedOn w:val="ListParagraphChar"/>
    <w:link w:val="FOAHeading3"/>
    <w:rsid w:val="00371D04"/>
    <w:rPr>
      <w:rFonts w:ascii="Calibri" w:hAnsi="Calibri"/>
      <w:b/>
      <w:sz w:val="28"/>
      <w:szCs w:val="28"/>
    </w:rPr>
  </w:style>
  <w:style w:type="character" w:styleId="Emphasis">
    <w:name w:val="Emphasis"/>
    <w:basedOn w:val="DefaultParagraphFont"/>
    <w:rsid w:val="00417FB4"/>
    <w:rPr>
      <w:i/>
      <w:iCs/>
    </w:rPr>
  </w:style>
  <w:style w:type="paragraph" w:customStyle="1" w:styleId="FOATemplateStyle1">
    <w:name w:val="FOA Template Style 1"/>
    <w:basedOn w:val="Normal"/>
    <w:autoRedefine/>
    <w:rsid w:val="00EE6102"/>
    <w:pPr>
      <w:ind w:left="720" w:hanging="720"/>
    </w:pPr>
    <w:rPr>
      <w:rFonts w:ascii="Calibri" w:eastAsiaTheme="minorHAnsi" w:hAnsi="Calibri" w:cstheme="minorBidi"/>
      <w:b/>
      <w:color w:val="000000" w:themeColor="text1"/>
      <w:sz w:val="36"/>
      <w:szCs w:val="22"/>
    </w:rPr>
  </w:style>
  <w:style w:type="paragraph" w:customStyle="1" w:styleId="FOATemplateStyle2">
    <w:name w:val="FOA Template Style 2"/>
    <w:basedOn w:val="Normal"/>
    <w:autoRedefine/>
    <w:rsid w:val="00EE6102"/>
    <w:pPr>
      <w:ind w:left="1080" w:hanging="360"/>
    </w:pPr>
    <w:rPr>
      <w:rFonts w:ascii="Calibri" w:eastAsiaTheme="minorHAnsi" w:hAnsi="Calibri" w:cstheme="minorBidi"/>
      <w:b/>
      <w:color w:val="000000" w:themeColor="text1"/>
      <w:sz w:val="32"/>
      <w:szCs w:val="22"/>
    </w:rPr>
  </w:style>
  <w:style w:type="paragraph" w:customStyle="1" w:styleId="FOATemplateStyle4">
    <w:name w:val="FOA Template Style 4"/>
    <w:basedOn w:val="Normal"/>
    <w:rsid w:val="00EE6102"/>
    <w:pPr>
      <w:ind w:left="5040" w:hanging="360"/>
    </w:pPr>
    <w:rPr>
      <w:rFonts w:ascii="Calibri" w:eastAsiaTheme="minorHAnsi" w:hAnsi="Calibri" w:cstheme="minorBidi"/>
      <w:i/>
      <w:color w:val="000000" w:themeColor="text1"/>
      <w:szCs w:val="22"/>
    </w:rPr>
  </w:style>
  <w:style w:type="character" w:customStyle="1" w:styleId="Style4">
    <w:name w:val="Style4"/>
    <w:basedOn w:val="DefaultParagraphFont"/>
    <w:uiPriority w:val="1"/>
    <w:rsid w:val="00D07031"/>
    <w:rPr>
      <w:rFonts w:asciiTheme="minorHAnsi" w:hAnsiTheme="minorHAnsi"/>
      <w:b/>
      <w:sz w:val="28"/>
    </w:rPr>
  </w:style>
  <w:style w:type="character" w:customStyle="1" w:styleId="14Calibri">
    <w:name w:val="14 Calibri"/>
    <w:basedOn w:val="DefaultParagraphFont"/>
    <w:uiPriority w:val="1"/>
    <w:qFormat/>
    <w:rsid w:val="00414AFD"/>
    <w:rPr>
      <w:rFonts w:asciiTheme="minorHAnsi" w:hAnsiTheme="minorHAnsi"/>
      <w:sz w:val="28"/>
    </w:rPr>
  </w:style>
  <w:style w:type="character" w:customStyle="1" w:styleId="UnresolvedMention1">
    <w:name w:val="Unresolved Mention1"/>
    <w:basedOn w:val="DefaultParagraphFont"/>
    <w:uiPriority w:val="99"/>
    <w:semiHidden/>
    <w:unhideWhenUsed/>
    <w:rsid w:val="004367ED"/>
    <w:rPr>
      <w:color w:val="605E5C"/>
      <w:shd w:val="clear" w:color="auto" w:fill="E1DFDD"/>
    </w:rPr>
  </w:style>
  <w:style w:type="character" w:styleId="UnresolvedMention">
    <w:name w:val="Unresolved Mention"/>
    <w:basedOn w:val="DefaultParagraphFont"/>
    <w:uiPriority w:val="99"/>
    <w:unhideWhenUsed/>
    <w:rsid w:val="0064365E"/>
    <w:rPr>
      <w:color w:val="605E5C"/>
      <w:shd w:val="clear" w:color="auto" w:fill="E1DFDD"/>
    </w:rPr>
  </w:style>
  <w:style w:type="paragraph" w:customStyle="1" w:styleId="xmsonormal">
    <w:name w:val="x_msonormal"/>
    <w:basedOn w:val="Normal"/>
    <w:rsid w:val="00EC6CAB"/>
    <w:rPr>
      <w:rFonts w:ascii="Calibri" w:eastAsiaTheme="minorHAnsi" w:hAnsi="Calibri"/>
      <w:sz w:val="22"/>
      <w:szCs w:val="22"/>
    </w:rPr>
  </w:style>
  <w:style w:type="paragraph" w:styleId="BodyText">
    <w:name w:val="Body Text"/>
    <w:basedOn w:val="Normal"/>
    <w:link w:val="BodyTextChar"/>
    <w:unhideWhenUsed/>
    <w:rsid w:val="00411682"/>
    <w:pPr>
      <w:spacing w:after="120"/>
    </w:pPr>
  </w:style>
  <w:style w:type="character" w:customStyle="1" w:styleId="BodyTextChar">
    <w:name w:val="Body Text Char"/>
    <w:basedOn w:val="DefaultParagraphFont"/>
    <w:link w:val="BodyText"/>
    <w:rsid w:val="00411682"/>
    <w:rPr>
      <w:rFonts w:asciiTheme="minorHAnsi" w:hAnsiTheme="minorHAnsi"/>
      <w:sz w:val="24"/>
    </w:rPr>
  </w:style>
  <w:style w:type="paragraph" w:styleId="Caption">
    <w:name w:val="caption"/>
    <w:basedOn w:val="Normal"/>
    <w:next w:val="Normal"/>
    <w:unhideWhenUsed/>
    <w:qFormat/>
    <w:rsid w:val="001816B5"/>
    <w:pPr>
      <w:spacing w:after="200"/>
    </w:pPr>
    <w:rPr>
      <w:i/>
      <w:iCs/>
      <w:color w:val="1F497D" w:themeColor="text2"/>
      <w:sz w:val="18"/>
      <w:szCs w:val="18"/>
    </w:rPr>
  </w:style>
  <w:style w:type="table" w:customStyle="1" w:styleId="TableGrid1">
    <w:name w:val="Table Grid1"/>
    <w:basedOn w:val="TableNormal"/>
    <w:next w:val="TableGrid"/>
    <w:uiPriority w:val="39"/>
    <w:rsid w:val="00B575AF"/>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74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525E44"/>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525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0254F"/>
    <w:pPr>
      <w:widowControl w:val="0"/>
      <w:autoSpaceDE w:val="0"/>
      <w:autoSpaceDN w:val="0"/>
      <w:ind w:left="107"/>
    </w:pPr>
    <w:rPr>
      <w:rFonts w:ascii="Calibri" w:eastAsia="Calibri" w:hAnsi="Calibri" w:cs="Calibri"/>
      <w:sz w:val="22"/>
      <w:szCs w:val="22"/>
    </w:rPr>
  </w:style>
  <w:style w:type="character" w:customStyle="1" w:styleId="Heading4Char">
    <w:name w:val="Heading 4 Char"/>
    <w:basedOn w:val="DefaultParagraphFont"/>
    <w:link w:val="Heading4"/>
    <w:semiHidden/>
    <w:rsid w:val="00141D31"/>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semiHidden/>
    <w:rsid w:val="00BB0B4B"/>
    <w:rPr>
      <w:rFonts w:asciiTheme="majorHAnsi" w:eastAsiaTheme="majorEastAsia" w:hAnsiTheme="majorHAnsi" w:cstheme="majorBidi"/>
      <w:color w:val="365F91" w:themeColor="accent1" w:themeShade="BF"/>
      <w:sz w:val="24"/>
    </w:rPr>
  </w:style>
  <w:style w:type="character" w:styleId="Mention">
    <w:name w:val="Mention"/>
    <w:basedOn w:val="DefaultParagraphFont"/>
    <w:uiPriority w:val="99"/>
    <w:unhideWhenUsed/>
    <w:rsid w:val="00020F3F"/>
    <w:rPr>
      <w:color w:val="2B579A"/>
      <w:shd w:val="clear" w:color="auto" w:fill="E1DFDD"/>
    </w:rPr>
  </w:style>
  <w:style w:type="character" w:customStyle="1" w:styleId="normaltextrun">
    <w:name w:val="normaltextrun"/>
    <w:basedOn w:val="DefaultParagraphFont"/>
    <w:rsid w:val="00073676"/>
  </w:style>
  <w:style w:type="character" w:customStyle="1" w:styleId="contextualspellingandgrammarerror">
    <w:name w:val="contextualspellingandgrammarerror"/>
    <w:basedOn w:val="DefaultParagraphFont"/>
    <w:rsid w:val="00073676"/>
  </w:style>
  <w:style w:type="character" w:customStyle="1" w:styleId="advancedproofingissue">
    <w:name w:val="advancedproofingissue"/>
    <w:basedOn w:val="DefaultParagraphFont"/>
    <w:rsid w:val="00073676"/>
  </w:style>
  <w:style w:type="character" w:customStyle="1" w:styleId="findhit">
    <w:name w:val="findhit"/>
    <w:basedOn w:val="DefaultParagraphFont"/>
    <w:rsid w:val="00073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6545">
      <w:bodyDiv w:val="1"/>
      <w:marLeft w:val="0"/>
      <w:marRight w:val="0"/>
      <w:marTop w:val="0"/>
      <w:marBottom w:val="0"/>
      <w:divBdr>
        <w:top w:val="none" w:sz="0" w:space="0" w:color="auto"/>
        <w:left w:val="none" w:sz="0" w:space="0" w:color="auto"/>
        <w:bottom w:val="none" w:sz="0" w:space="0" w:color="auto"/>
        <w:right w:val="none" w:sz="0" w:space="0" w:color="auto"/>
      </w:divBdr>
    </w:div>
    <w:div w:id="376777929">
      <w:bodyDiv w:val="1"/>
      <w:marLeft w:val="0"/>
      <w:marRight w:val="0"/>
      <w:marTop w:val="0"/>
      <w:marBottom w:val="0"/>
      <w:divBdr>
        <w:top w:val="none" w:sz="0" w:space="0" w:color="auto"/>
        <w:left w:val="none" w:sz="0" w:space="0" w:color="auto"/>
        <w:bottom w:val="none" w:sz="0" w:space="0" w:color="auto"/>
        <w:right w:val="none" w:sz="0" w:space="0" w:color="auto"/>
      </w:divBdr>
    </w:div>
    <w:div w:id="443693816">
      <w:bodyDiv w:val="1"/>
      <w:marLeft w:val="0"/>
      <w:marRight w:val="0"/>
      <w:marTop w:val="0"/>
      <w:marBottom w:val="0"/>
      <w:divBdr>
        <w:top w:val="none" w:sz="0" w:space="0" w:color="auto"/>
        <w:left w:val="none" w:sz="0" w:space="0" w:color="auto"/>
        <w:bottom w:val="none" w:sz="0" w:space="0" w:color="auto"/>
        <w:right w:val="none" w:sz="0" w:space="0" w:color="auto"/>
      </w:divBdr>
    </w:div>
    <w:div w:id="551573456">
      <w:bodyDiv w:val="1"/>
      <w:marLeft w:val="0"/>
      <w:marRight w:val="0"/>
      <w:marTop w:val="0"/>
      <w:marBottom w:val="0"/>
      <w:divBdr>
        <w:top w:val="none" w:sz="0" w:space="0" w:color="auto"/>
        <w:left w:val="none" w:sz="0" w:space="0" w:color="auto"/>
        <w:bottom w:val="none" w:sz="0" w:space="0" w:color="auto"/>
        <w:right w:val="none" w:sz="0" w:space="0" w:color="auto"/>
      </w:divBdr>
    </w:div>
    <w:div w:id="897739094">
      <w:bodyDiv w:val="1"/>
      <w:marLeft w:val="0"/>
      <w:marRight w:val="0"/>
      <w:marTop w:val="0"/>
      <w:marBottom w:val="0"/>
      <w:divBdr>
        <w:top w:val="none" w:sz="0" w:space="0" w:color="auto"/>
        <w:left w:val="none" w:sz="0" w:space="0" w:color="auto"/>
        <w:bottom w:val="none" w:sz="0" w:space="0" w:color="auto"/>
        <w:right w:val="none" w:sz="0" w:space="0" w:color="auto"/>
      </w:divBdr>
    </w:div>
    <w:div w:id="1010565766">
      <w:bodyDiv w:val="1"/>
      <w:marLeft w:val="0"/>
      <w:marRight w:val="0"/>
      <w:marTop w:val="0"/>
      <w:marBottom w:val="0"/>
      <w:divBdr>
        <w:top w:val="none" w:sz="0" w:space="0" w:color="auto"/>
        <w:left w:val="none" w:sz="0" w:space="0" w:color="auto"/>
        <w:bottom w:val="none" w:sz="0" w:space="0" w:color="auto"/>
        <w:right w:val="none" w:sz="0" w:space="0" w:color="auto"/>
      </w:divBdr>
    </w:div>
    <w:div w:id="1044479155">
      <w:bodyDiv w:val="1"/>
      <w:marLeft w:val="0"/>
      <w:marRight w:val="0"/>
      <w:marTop w:val="0"/>
      <w:marBottom w:val="0"/>
      <w:divBdr>
        <w:top w:val="none" w:sz="0" w:space="0" w:color="auto"/>
        <w:left w:val="none" w:sz="0" w:space="0" w:color="auto"/>
        <w:bottom w:val="none" w:sz="0" w:space="0" w:color="auto"/>
        <w:right w:val="none" w:sz="0" w:space="0" w:color="auto"/>
      </w:divBdr>
      <w:divsChild>
        <w:div w:id="1796480360">
          <w:marLeft w:val="547"/>
          <w:marRight w:val="0"/>
          <w:marTop w:val="86"/>
          <w:marBottom w:val="0"/>
          <w:divBdr>
            <w:top w:val="none" w:sz="0" w:space="0" w:color="auto"/>
            <w:left w:val="none" w:sz="0" w:space="0" w:color="auto"/>
            <w:bottom w:val="none" w:sz="0" w:space="0" w:color="auto"/>
            <w:right w:val="none" w:sz="0" w:space="0" w:color="auto"/>
          </w:divBdr>
        </w:div>
      </w:divsChild>
    </w:div>
    <w:div w:id="1075203265">
      <w:bodyDiv w:val="1"/>
      <w:marLeft w:val="0"/>
      <w:marRight w:val="0"/>
      <w:marTop w:val="0"/>
      <w:marBottom w:val="0"/>
      <w:divBdr>
        <w:top w:val="none" w:sz="0" w:space="0" w:color="auto"/>
        <w:left w:val="none" w:sz="0" w:space="0" w:color="auto"/>
        <w:bottom w:val="none" w:sz="0" w:space="0" w:color="auto"/>
        <w:right w:val="none" w:sz="0" w:space="0" w:color="auto"/>
      </w:divBdr>
    </w:div>
    <w:div w:id="1085999969">
      <w:bodyDiv w:val="1"/>
      <w:marLeft w:val="0"/>
      <w:marRight w:val="0"/>
      <w:marTop w:val="0"/>
      <w:marBottom w:val="0"/>
      <w:divBdr>
        <w:top w:val="none" w:sz="0" w:space="0" w:color="auto"/>
        <w:left w:val="none" w:sz="0" w:space="0" w:color="auto"/>
        <w:bottom w:val="none" w:sz="0" w:space="0" w:color="auto"/>
        <w:right w:val="none" w:sz="0" w:space="0" w:color="auto"/>
      </w:divBdr>
    </w:div>
    <w:div w:id="1103916327">
      <w:bodyDiv w:val="1"/>
      <w:marLeft w:val="0"/>
      <w:marRight w:val="0"/>
      <w:marTop w:val="0"/>
      <w:marBottom w:val="0"/>
      <w:divBdr>
        <w:top w:val="none" w:sz="0" w:space="0" w:color="auto"/>
        <w:left w:val="none" w:sz="0" w:space="0" w:color="auto"/>
        <w:bottom w:val="none" w:sz="0" w:space="0" w:color="auto"/>
        <w:right w:val="none" w:sz="0" w:space="0" w:color="auto"/>
      </w:divBdr>
    </w:div>
    <w:div w:id="1447113016">
      <w:bodyDiv w:val="1"/>
      <w:marLeft w:val="0"/>
      <w:marRight w:val="0"/>
      <w:marTop w:val="0"/>
      <w:marBottom w:val="0"/>
      <w:divBdr>
        <w:top w:val="none" w:sz="0" w:space="0" w:color="auto"/>
        <w:left w:val="none" w:sz="0" w:space="0" w:color="auto"/>
        <w:bottom w:val="none" w:sz="0" w:space="0" w:color="auto"/>
        <w:right w:val="none" w:sz="0" w:space="0" w:color="auto"/>
      </w:divBdr>
    </w:div>
    <w:div w:id="1450784458">
      <w:bodyDiv w:val="1"/>
      <w:marLeft w:val="0"/>
      <w:marRight w:val="0"/>
      <w:marTop w:val="0"/>
      <w:marBottom w:val="0"/>
      <w:divBdr>
        <w:top w:val="none" w:sz="0" w:space="0" w:color="auto"/>
        <w:left w:val="none" w:sz="0" w:space="0" w:color="auto"/>
        <w:bottom w:val="none" w:sz="0" w:space="0" w:color="auto"/>
        <w:right w:val="none" w:sz="0" w:space="0" w:color="auto"/>
      </w:divBdr>
    </w:div>
    <w:div w:id="1490707886">
      <w:bodyDiv w:val="1"/>
      <w:marLeft w:val="0"/>
      <w:marRight w:val="0"/>
      <w:marTop w:val="0"/>
      <w:marBottom w:val="0"/>
      <w:divBdr>
        <w:top w:val="none" w:sz="0" w:space="0" w:color="auto"/>
        <w:left w:val="none" w:sz="0" w:space="0" w:color="auto"/>
        <w:bottom w:val="none" w:sz="0" w:space="0" w:color="auto"/>
        <w:right w:val="none" w:sz="0" w:space="0" w:color="auto"/>
      </w:divBdr>
      <w:divsChild>
        <w:div w:id="1542329538">
          <w:marLeft w:val="0"/>
          <w:marRight w:val="0"/>
          <w:marTop w:val="0"/>
          <w:marBottom w:val="0"/>
          <w:divBdr>
            <w:top w:val="none" w:sz="0" w:space="0" w:color="auto"/>
            <w:left w:val="none" w:sz="0" w:space="0" w:color="auto"/>
            <w:bottom w:val="none" w:sz="0" w:space="0" w:color="auto"/>
            <w:right w:val="none" w:sz="0" w:space="0" w:color="auto"/>
          </w:divBdr>
          <w:divsChild>
            <w:div w:id="519511488">
              <w:marLeft w:val="0"/>
              <w:marRight w:val="0"/>
              <w:marTop w:val="0"/>
              <w:marBottom w:val="0"/>
              <w:divBdr>
                <w:top w:val="none" w:sz="0" w:space="0" w:color="auto"/>
                <w:left w:val="none" w:sz="0" w:space="0" w:color="auto"/>
                <w:bottom w:val="none" w:sz="0" w:space="0" w:color="auto"/>
                <w:right w:val="none" w:sz="0" w:space="0" w:color="auto"/>
              </w:divBdr>
              <w:divsChild>
                <w:div w:id="1051539064">
                  <w:marLeft w:val="0"/>
                  <w:marRight w:val="0"/>
                  <w:marTop w:val="0"/>
                  <w:marBottom w:val="0"/>
                  <w:divBdr>
                    <w:top w:val="none" w:sz="0" w:space="0" w:color="auto"/>
                    <w:left w:val="none" w:sz="0" w:space="0" w:color="auto"/>
                    <w:bottom w:val="none" w:sz="0" w:space="0" w:color="auto"/>
                    <w:right w:val="none" w:sz="0" w:space="0" w:color="auto"/>
                  </w:divBdr>
                  <w:divsChild>
                    <w:div w:id="1516386630">
                      <w:marLeft w:val="0"/>
                      <w:marRight w:val="0"/>
                      <w:marTop w:val="0"/>
                      <w:marBottom w:val="0"/>
                      <w:divBdr>
                        <w:top w:val="none" w:sz="0" w:space="0" w:color="auto"/>
                        <w:left w:val="none" w:sz="0" w:space="0" w:color="auto"/>
                        <w:bottom w:val="none" w:sz="0" w:space="0" w:color="auto"/>
                        <w:right w:val="none" w:sz="0" w:space="0" w:color="auto"/>
                      </w:divBdr>
                      <w:divsChild>
                        <w:div w:id="1568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8970">
              <w:marLeft w:val="0"/>
              <w:marRight w:val="0"/>
              <w:marTop w:val="0"/>
              <w:marBottom w:val="0"/>
              <w:divBdr>
                <w:top w:val="none" w:sz="0" w:space="0" w:color="auto"/>
                <w:left w:val="none" w:sz="0" w:space="0" w:color="auto"/>
                <w:bottom w:val="none" w:sz="0" w:space="0" w:color="auto"/>
                <w:right w:val="none" w:sz="0" w:space="0" w:color="auto"/>
              </w:divBdr>
            </w:div>
            <w:div w:id="886380595">
              <w:marLeft w:val="0"/>
              <w:marRight w:val="0"/>
              <w:marTop w:val="0"/>
              <w:marBottom w:val="0"/>
              <w:divBdr>
                <w:top w:val="none" w:sz="0" w:space="0" w:color="auto"/>
                <w:left w:val="none" w:sz="0" w:space="0" w:color="auto"/>
                <w:bottom w:val="none" w:sz="0" w:space="0" w:color="auto"/>
                <w:right w:val="none" w:sz="0" w:space="0" w:color="auto"/>
              </w:divBdr>
            </w:div>
            <w:div w:id="975795960">
              <w:marLeft w:val="0"/>
              <w:marRight w:val="0"/>
              <w:marTop w:val="0"/>
              <w:marBottom w:val="0"/>
              <w:divBdr>
                <w:top w:val="none" w:sz="0" w:space="0" w:color="auto"/>
                <w:left w:val="none" w:sz="0" w:space="0" w:color="auto"/>
                <w:bottom w:val="none" w:sz="0" w:space="0" w:color="auto"/>
                <w:right w:val="none" w:sz="0" w:space="0" w:color="auto"/>
              </w:divBdr>
              <w:divsChild>
                <w:div w:id="1639913328">
                  <w:marLeft w:val="0"/>
                  <w:marRight w:val="0"/>
                  <w:marTop w:val="0"/>
                  <w:marBottom w:val="0"/>
                  <w:divBdr>
                    <w:top w:val="none" w:sz="0" w:space="0" w:color="auto"/>
                    <w:left w:val="none" w:sz="0" w:space="0" w:color="auto"/>
                    <w:bottom w:val="none" w:sz="0" w:space="0" w:color="auto"/>
                    <w:right w:val="none" w:sz="0" w:space="0" w:color="auto"/>
                  </w:divBdr>
                  <w:divsChild>
                    <w:div w:id="1306012257">
                      <w:marLeft w:val="0"/>
                      <w:marRight w:val="0"/>
                      <w:marTop w:val="0"/>
                      <w:marBottom w:val="0"/>
                      <w:divBdr>
                        <w:top w:val="none" w:sz="0" w:space="0" w:color="auto"/>
                        <w:left w:val="none" w:sz="0" w:space="0" w:color="auto"/>
                        <w:bottom w:val="none" w:sz="0" w:space="0" w:color="auto"/>
                        <w:right w:val="none" w:sz="0" w:space="0" w:color="auto"/>
                      </w:divBdr>
                      <w:divsChild>
                        <w:div w:id="16951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7871">
              <w:marLeft w:val="0"/>
              <w:marRight w:val="0"/>
              <w:marTop w:val="0"/>
              <w:marBottom w:val="0"/>
              <w:divBdr>
                <w:top w:val="none" w:sz="0" w:space="0" w:color="auto"/>
                <w:left w:val="none" w:sz="0" w:space="0" w:color="auto"/>
                <w:bottom w:val="none" w:sz="0" w:space="0" w:color="auto"/>
                <w:right w:val="none" w:sz="0" w:space="0" w:color="auto"/>
              </w:divBdr>
              <w:divsChild>
                <w:div w:id="1676105949">
                  <w:marLeft w:val="0"/>
                  <w:marRight w:val="0"/>
                  <w:marTop w:val="0"/>
                  <w:marBottom w:val="0"/>
                  <w:divBdr>
                    <w:top w:val="none" w:sz="0" w:space="0" w:color="auto"/>
                    <w:left w:val="none" w:sz="0" w:space="0" w:color="auto"/>
                    <w:bottom w:val="none" w:sz="0" w:space="0" w:color="auto"/>
                    <w:right w:val="none" w:sz="0" w:space="0" w:color="auto"/>
                  </w:divBdr>
                  <w:divsChild>
                    <w:div w:id="977076433">
                      <w:marLeft w:val="0"/>
                      <w:marRight w:val="0"/>
                      <w:marTop w:val="0"/>
                      <w:marBottom w:val="0"/>
                      <w:divBdr>
                        <w:top w:val="none" w:sz="0" w:space="0" w:color="auto"/>
                        <w:left w:val="none" w:sz="0" w:space="0" w:color="auto"/>
                        <w:bottom w:val="none" w:sz="0" w:space="0" w:color="auto"/>
                        <w:right w:val="none" w:sz="0" w:space="0" w:color="auto"/>
                      </w:divBdr>
                      <w:divsChild>
                        <w:div w:id="11341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93052">
      <w:bodyDiv w:val="1"/>
      <w:marLeft w:val="0"/>
      <w:marRight w:val="0"/>
      <w:marTop w:val="0"/>
      <w:marBottom w:val="0"/>
      <w:divBdr>
        <w:top w:val="none" w:sz="0" w:space="0" w:color="auto"/>
        <w:left w:val="none" w:sz="0" w:space="0" w:color="auto"/>
        <w:bottom w:val="none" w:sz="0" w:space="0" w:color="auto"/>
        <w:right w:val="none" w:sz="0" w:space="0" w:color="auto"/>
      </w:divBdr>
    </w:div>
    <w:div w:id="1655068464">
      <w:bodyDiv w:val="1"/>
      <w:marLeft w:val="0"/>
      <w:marRight w:val="0"/>
      <w:marTop w:val="0"/>
      <w:marBottom w:val="0"/>
      <w:divBdr>
        <w:top w:val="none" w:sz="0" w:space="0" w:color="auto"/>
        <w:left w:val="none" w:sz="0" w:space="0" w:color="auto"/>
        <w:bottom w:val="none" w:sz="0" w:space="0" w:color="auto"/>
        <w:right w:val="none" w:sz="0" w:space="0" w:color="auto"/>
      </w:divBdr>
    </w:div>
    <w:div w:id="1893955948">
      <w:bodyDiv w:val="1"/>
      <w:marLeft w:val="0"/>
      <w:marRight w:val="0"/>
      <w:marTop w:val="0"/>
      <w:marBottom w:val="0"/>
      <w:divBdr>
        <w:top w:val="none" w:sz="0" w:space="0" w:color="auto"/>
        <w:left w:val="none" w:sz="0" w:space="0" w:color="auto"/>
        <w:bottom w:val="none" w:sz="0" w:space="0" w:color="auto"/>
        <w:right w:val="none" w:sz="0" w:space="0" w:color="auto"/>
      </w:divBdr>
    </w:div>
    <w:div w:id="2004702068">
      <w:bodyDiv w:val="1"/>
      <w:marLeft w:val="0"/>
      <w:marRight w:val="0"/>
      <w:marTop w:val="0"/>
      <w:marBottom w:val="0"/>
      <w:divBdr>
        <w:top w:val="none" w:sz="0" w:space="0" w:color="auto"/>
        <w:left w:val="none" w:sz="0" w:space="0" w:color="auto"/>
        <w:bottom w:val="none" w:sz="0" w:space="0" w:color="auto"/>
        <w:right w:val="none" w:sz="0" w:space="0" w:color="auto"/>
      </w:divBdr>
    </w:div>
    <w:div w:id="2094083411">
      <w:bodyDiv w:val="1"/>
      <w:marLeft w:val="0"/>
      <w:marRight w:val="0"/>
      <w:marTop w:val="0"/>
      <w:marBottom w:val="0"/>
      <w:divBdr>
        <w:top w:val="none" w:sz="0" w:space="0" w:color="auto"/>
        <w:left w:val="none" w:sz="0" w:space="0" w:color="auto"/>
        <w:bottom w:val="none" w:sz="0" w:space="0" w:color="auto"/>
        <w:right w:val="none" w:sz="0" w:space="0" w:color="auto"/>
      </w:divBdr>
    </w:div>
    <w:div w:id="2112584343">
      <w:bodyDiv w:val="1"/>
      <w:marLeft w:val="0"/>
      <w:marRight w:val="0"/>
      <w:marTop w:val="0"/>
      <w:marBottom w:val="0"/>
      <w:divBdr>
        <w:top w:val="none" w:sz="0" w:space="0" w:color="auto"/>
        <w:left w:val="none" w:sz="0" w:space="0" w:color="auto"/>
        <w:bottom w:val="none" w:sz="0" w:space="0" w:color="auto"/>
        <w:right w:val="none" w:sz="0" w:space="0" w:color="auto"/>
      </w:divBdr>
    </w:div>
    <w:div w:id="2130123668">
      <w:bodyDiv w:val="1"/>
      <w:marLeft w:val="0"/>
      <w:marRight w:val="0"/>
      <w:marTop w:val="0"/>
      <w:marBottom w:val="0"/>
      <w:divBdr>
        <w:top w:val="none" w:sz="0" w:space="0" w:color="auto"/>
        <w:left w:val="none" w:sz="0" w:space="0" w:color="auto"/>
        <w:bottom w:val="none" w:sz="0" w:space="0" w:color="auto"/>
        <w:right w:val="none" w:sz="0" w:space="0" w:color="auto"/>
      </w:divBdr>
    </w:div>
    <w:div w:id="21362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13" Type="http://schemas.openxmlformats.org/officeDocument/2006/relationships/hyperlink" Target="https://eere-Exchange.energy.gov" TargetMode="External"/><Relationship Id="rId18" Type="http://schemas.openxmlformats.org/officeDocument/2006/relationships/hyperlink" Target="http://grants.gov/" TargetMode="External"/><Relationship Id="rId26" Type="http://schemas.openxmlformats.org/officeDocument/2006/relationships/hyperlink" Target="https://eere-exchange.energy.gov/Manuals.aspx" TargetMode="External"/><Relationship Id="rId39" Type="http://schemas.openxmlformats.org/officeDocument/2006/relationships/image" Target="media/image5.png"/><Relationship Id="rId21" Type="http://schemas.openxmlformats.org/officeDocument/2006/relationships/hyperlink" Target="https://www.fedconnect.net/FedConnect/Marketing/Documents/FedConnect_Ready_Set_Go.pdf" TargetMode="External"/><Relationship Id="rId34" Type="http://schemas.openxmlformats.org/officeDocument/2006/relationships/footer" Target="footer2.xml"/><Relationship Id="rId42" Type="http://schemas.openxmlformats.org/officeDocument/2006/relationships/image" Target="media/image8.png"/><Relationship Id="rId47" Type="http://schemas.openxmlformats.org/officeDocument/2006/relationships/hyperlink" Target="https://www.ncbi.nlm.nih.gov/sciencv/" TargetMode="External"/><Relationship Id="rId50" Type="http://schemas.openxmlformats.org/officeDocument/2006/relationships/hyperlink" Target="http://energy.gov/management/office-management/operational-management/financial-assistance/financial-assistance-forms" TargetMode="External"/><Relationship Id="rId55" Type="http://schemas.openxmlformats.org/officeDocument/2006/relationships/hyperlink" Target="https://www.ncbi.nlm.nih.gov/sciencv/" TargetMode="External"/><Relationship Id="rId63" Type="http://schemas.openxmlformats.org/officeDocument/2006/relationships/hyperlink" Target="https://energy.gov/management/downloads/merit-review-guide-financial-assistance-and-unsolicited-proposals-current" TargetMode="External"/><Relationship Id="rId68" Type="http://schemas.openxmlformats.org/officeDocument/2006/relationships/hyperlink" Target="http://www.grants.gov" TargetMode="External"/><Relationship Id="rId76" Type="http://schemas.openxmlformats.org/officeDocument/2006/relationships/hyperlink" Target="https://www.energy.gov/gc/standard-intellectual-property-ip-provisions-financial-assistance-awards" TargetMode="External"/><Relationship Id="rId84" Type="http://schemas.openxmlformats.org/officeDocument/2006/relationships/hyperlink" Target="mailto:SI.Grid-FOA.SETO@ee.doe.gov" TargetMode="External"/><Relationship Id="rId89" Type="http://schemas.openxmlformats.org/officeDocument/2006/relationships/header" Target="header4.xml"/><Relationship Id="rId7" Type="http://schemas.openxmlformats.org/officeDocument/2006/relationships/numbering" Target="numbering.xml"/><Relationship Id="rId71" Type="http://schemas.openxmlformats.org/officeDocument/2006/relationships/hyperlink" Target="https://www.energy.gov/nepa/articles/eo-13690-establishing-federal-flood-risk-management-standard-and-process-further" TargetMode="External"/><Relationship Id="rId92" Type="http://schemas.openxmlformats.org/officeDocument/2006/relationships/hyperlink" Target="https://www.energy.gov/management/financial-assistance" TargetMode="External"/><Relationship Id="rId2" Type="http://schemas.openxmlformats.org/officeDocument/2006/relationships/customXml" Target="../customXml/item2.xml"/><Relationship Id="rId16" Type="http://schemas.openxmlformats.org/officeDocument/2006/relationships/hyperlink" Target="https://www.fsd.gov/gsafsd_sp?id=gsafsd_kb_articles&amp;sys_id=650d493e1bab7c105465eaccac4bcbcb" TargetMode="External"/><Relationship Id="rId29" Type="http://schemas.openxmlformats.org/officeDocument/2006/relationships/hyperlink" Target="https://eere-exchange.energy.gov/FAQ.aspx" TargetMode="External"/><Relationship Id="rId11" Type="http://schemas.openxmlformats.org/officeDocument/2006/relationships/footnotes" Target="footnotes.xml"/><Relationship Id="rId24" Type="http://schemas.openxmlformats.org/officeDocument/2006/relationships/hyperlink" Target="https://eere-exchange.energy.gov/" TargetMode="External"/><Relationship Id="rId32" Type="http://schemas.openxmlformats.org/officeDocument/2006/relationships/footer" Target="footer1.xml"/><Relationship Id="rId37" Type="http://schemas.openxmlformats.org/officeDocument/2006/relationships/image" Target="media/image4.png"/><Relationship Id="rId40" Type="http://schemas.openxmlformats.org/officeDocument/2006/relationships/image" Target="media/image6.png"/><Relationship Id="rId45" Type="http://schemas.openxmlformats.org/officeDocument/2006/relationships/hyperlink" Target="mailto:EERE-ExchangeSupport@hq.doe.gov" TargetMode="External"/><Relationship Id="rId53" Type="http://schemas.openxmlformats.org/officeDocument/2006/relationships/hyperlink" Target="https://www.grants.gov/web/grants/forms/sf-424-individual-family.html" TargetMode="External"/><Relationship Id="rId58" Type="http://schemas.openxmlformats.org/officeDocument/2006/relationships/hyperlink" Target="https://www.sam.gov" TargetMode="External"/><Relationship Id="rId66" Type="http://schemas.openxmlformats.org/officeDocument/2006/relationships/hyperlink" Target="https://www.fedconnect.net" TargetMode="External"/><Relationship Id="rId74" Type="http://schemas.openxmlformats.org/officeDocument/2006/relationships/hyperlink" Target="http://energy.gov/gc/standard-intellectual-property-ip-provisions-financial-assistance-awards" TargetMode="External"/><Relationship Id="rId79" Type="http://schemas.openxmlformats.org/officeDocument/2006/relationships/hyperlink" Target="https://www.ecfr.gov/current/title-2/section-200.339" TargetMode="External"/><Relationship Id="rId87" Type="http://schemas.openxmlformats.org/officeDocument/2006/relationships/hyperlink" Target="https://www.energy.gov/gc/determination-exceptional-circumstances-decs" TargetMode="External"/><Relationship Id="rId5" Type="http://schemas.openxmlformats.org/officeDocument/2006/relationships/customXml" Target="../customXml/item5.xml"/><Relationship Id="rId61" Type="http://schemas.openxmlformats.org/officeDocument/2006/relationships/hyperlink" Target="https://www.dol.gov/agencies/whd/government-contracts/protections-for-workers-in-construction" TargetMode="External"/><Relationship Id="rId82" Type="http://schemas.openxmlformats.org/officeDocument/2006/relationships/hyperlink" Target="https://www.govinfo.gov/link/uscode/41/2313" TargetMode="External"/><Relationship Id="rId90" Type="http://schemas.openxmlformats.org/officeDocument/2006/relationships/footer" Target="footer4.xml"/><Relationship Id="rId19" Type="http://schemas.openxmlformats.org/officeDocument/2006/relationships/hyperlink" Target="https://www.grants.gov/web/grants/applicants/registration.html" TargetMode="External"/><Relationship Id="rId14" Type="http://schemas.openxmlformats.org/officeDocument/2006/relationships/hyperlink" Target="https://eere-exchange.energy.gov/" TargetMode="External"/><Relationship Id="rId22" Type="http://schemas.openxmlformats.org/officeDocument/2006/relationships/hyperlink" Target="https://www.fedconnect.net/FedConnect/Marketing/Documents/FedConnect_Ready_Set_Go.pdf" TargetMode="External"/><Relationship Id="rId27" Type="http://schemas.openxmlformats.org/officeDocument/2006/relationships/hyperlink" Target="mailto:EERE-ExchangeSupport@hq.doe.gov" TargetMode="External"/><Relationship Id="rId30" Type="http://schemas.openxmlformats.org/officeDocument/2006/relationships/hyperlink" Target="https://eere-exchange.energy.gov/FAQ.aspx" TargetMode="External"/><Relationship Id="rId35" Type="http://schemas.openxmlformats.org/officeDocument/2006/relationships/header" Target="header3.xml"/><Relationship Id="rId43" Type="http://schemas.openxmlformats.org/officeDocument/2006/relationships/hyperlink" Target="https://cyber.dhs.gov/directives/" TargetMode="External"/><Relationship Id="rId48" Type="http://schemas.openxmlformats.org/officeDocument/2006/relationships/hyperlink" Target="https://nsf.gov/bfa/dias/policy/nsfapprovedformats/biosketch.pdf" TargetMode="External"/><Relationship Id="rId56" Type="http://schemas.openxmlformats.org/officeDocument/2006/relationships/hyperlink" Target="https://www.nsf.gov/bfa/dias/policy/nsfapprovedformats/cps.pdf" TargetMode="External"/><Relationship Id="rId64" Type="http://schemas.openxmlformats.org/officeDocument/2006/relationships/hyperlink" Target="https://eere-exchange.energy.gov/" TargetMode="External"/><Relationship Id="rId69" Type="http://schemas.openxmlformats.org/officeDocument/2006/relationships/hyperlink" Target="http://www.nsf.gov/awards/managing/rtc.jsp" TargetMode="External"/><Relationship Id="rId77" Type="http://schemas.openxmlformats.org/officeDocument/2006/relationships/hyperlink" Target="https://www.energy.gov/ig/ig-hotline" TargetMode="External"/><Relationship Id="rId8" Type="http://schemas.openxmlformats.org/officeDocument/2006/relationships/styles" Target="styles.xml"/><Relationship Id="rId51" Type="http://schemas.openxmlformats.org/officeDocument/2006/relationships/hyperlink" Target="https://eere-Exchange.energy.gov/" TargetMode="External"/><Relationship Id="rId72" Type="http://schemas.openxmlformats.org/officeDocument/2006/relationships/hyperlink" Target="https://fas.org/sgp/othergov/sf312.pdf" TargetMode="External"/><Relationship Id="rId80" Type="http://schemas.openxmlformats.org/officeDocument/2006/relationships/hyperlink" Target="https://www.ecfr.gov/current/title-2/part-180" TargetMode="External"/><Relationship Id="rId85" Type="http://schemas.openxmlformats.org/officeDocument/2006/relationships/hyperlink" Target="https://eere-exchange.energy.gov"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sd.gov/gsafsd_sp?id=gsafsd_kb_articles&amp;sys_id=650d493e1bab7c105465eaccac4bcbcb" TargetMode="External"/><Relationship Id="rId25" Type="http://schemas.openxmlformats.org/officeDocument/2006/relationships/hyperlink" Target="https://eere-exchange.energy.gov/Manuals.aspx" TargetMode="External"/><Relationship Id="rId33" Type="http://schemas.openxmlformats.org/officeDocument/2006/relationships/header" Target="header2.xml"/><Relationship Id="rId38" Type="http://schemas.openxmlformats.org/officeDocument/2006/relationships/hyperlink" Target="https://www.energy.gov/eere/solar/articles/funding-notice-solar-and-wind-grid-services-and-reliability-demonstration" TargetMode="External"/><Relationship Id="rId46" Type="http://schemas.openxmlformats.org/officeDocument/2006/relationships/hyperlink" Target="https://eere-Exchange.energy.gov" TargetMode="External"/><Relationship Id="rId59" Type="http://schemas.openxmlformats.org/officeDocument/2006/relationships/hyperlink" Target="https://www.dol.gov/agencies/whd/government-contracts/construction/seminars/events" TargetMode="External"/><Relationship Id="rId67" Type="http://schemas.openxmlformats.org/officeDocument/2006/relationships/hyperlink" Target="https://www.fedconnect.net/FedConnect/Marketing/Documents/FedConnect_Ready_Set_Go.pdf" TargetMode="External"/><Relationship Id="rId20" Type="http://schemas.openxmlformats.org/officeDocument/2006/relationships/hyperlink" Target="http://www.fedconnect.net/" TargetMode="External"/><Relationship Id="rId41" Type="http://schemas.openxmlformats.org/officeDocument/2006/relationships/image" Target="media/image7.png"/><Relationship Id="rId54" Type="http://schemas.openxmlformats.org/officeDocument/2006/relationships/hyperlink" Target="https://www.dol.gov/agencies/ofccp/construction/mega-program" TargetMode="External"/><Relationship Id="rId62" Type="http://schemas.openxmlformats.org/officeDocument/2006/relationships/hyperlink" Target="https://www.grants.gov/web/grants/forms/sf-424-individual-family.html" TargetMode="External"/><Relationship Id="rId70" Type="http://schemas.openxmlformats.org/officeDocument/2006/relationships/hyperlink" Target="https://www.energy.gov/nepa" TargetMode="External"/><Relationship Id="rId75" Type="http://schemas.openxmlformats.org/officeDocument/2006/relationships/hyperlink" Target="https://www.energy.gov/eere/funding/eere-funding-application-and-management-forms" TargetMode="External"/><Relationship Id="rId83" Type="http://schemas.openxmlformats.org/officeDocument/2006/relationships/hyperlink" Target="https://www.federalregister.gov/citation/85-FR-49539" TargetMode="External"/><Relationship Id="rId88" Type="http://schemas.openxmlformats.org/officeDocument/2006/relationships/hyperlink" Target="https://www.whitehouse.gov/sites/whitehouse.gov/files/omb/memoranda/2007/m07-16.pdf" TargetMode="External"/><Relationship Id="rId91" Type="http://schemas.openxmlformats.org/officeDocument/2006/relationships/hyperlink" Target="https://www.whitehouse.gov/wp-content/uploads/2022/04/M-22-11.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sam.gov/" TargetMode="External"/><Relationship Id="rId23" Type="http://schemas.openxmlformats.org/officeDocument/2006/relationships/hyperlink" Target="https://eere-exchange.energy.gov/" TargetMode="External"/><Relationship Id="rId28" Type="http://schemas.openxmlformats.org/officeDocument/2006/relationships/hyperlink" Target="mailto:SI.Grid-FOA.SETO@ee.doe.gov" TargetMode="External"/><Relationship Id="rId36" Type="http://schemas.openxmlformats.org/officeDocument/2006/relationships/footer" Target="footer3.xml"/><Relationship Id="rId49" Type="http://schemas.openxmlformats.org/officeDocument/2006/relationships/hyperlink" Target="https://eere-Exchange.energy.gov/" TargetMode="External"/><Relationship Id="rId57" Type="http://schemas.openxmlformats.org/officeDocument/2006/relationships/hyperlink" Target="https://eere" TargetMode="External"/><Relationship Id="rId10" Type="http://schemas.openxmlformats.org/officeDocument/2006/relationships/webSettings" Target="webSettings.xml"/><Relationship Id="rId31" Type="http://schemas.openxmlformats.org/officeDocument/2006/relationships/header" Target="header1.xml"/><Relationship Id="rId44" Type="http://schemas.openxmlformats.org/officeDocument/2006/relationships/hyperlink" Target="https://eere-Exchange.energy.gov" TargetMode="External"/><Relationship Id="rId52" Type="http://schemas.openxmlformats.org/officeDocument/2006/relationships/hyperlink" Target="https://www.directives.doe.gov/directives-documents/400-series/0412.1-BOrder-a-chg1-AdmChg" TargetMode="External"/><Relationship Id="rId60" Type="http://schemas.openxmlformats.org/officeDocument/2006/relationships/hyperlink" Target="https://www.dol.gov/agencies/whd/government-contracts/construction" TargetMode="External"/><Relationship Id="rId65" Type="http://schemas.openxmlformats.org/officeDocument/2006/relationships/hyperlink" Target="https://www.sam.gov" TargetMode="External"/><Relationship Id="rId73" Type="http://schemas.openxmlformats.org/officeDocument/2006/relationships/hyperlink" Target="https://fas" TargetMode="External"/><Relationship Id="rId78" Type="http://schemas.openxmlformats.org/officeDocument/2006/relationships/hyperlink" Target="https://www.ecfr.gov/current/title-2/subtitle-A/chapter-II/part-200/subpart-B/section-200.113" TargetMode="External"/><Relationship Id="rId81" Type="http://schemas.openxmlformats.org/officeDocument/2006/relationships/hyperlink" Target="https://www.govinfo.gov/link/uscode/31/3321" TargetMode="External"/><Relationship Id="rId86" Type="http://schemas.openxmlformats.org/officeDocument/2006/relationships/hyperlink" Target="mailto:EERE-ExchangeSupport@hq.doe.gov"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mailto:EERE-ExchangeSupport@hq.doe.gov" TargetMode="External"/><Relationship Id="rId1" Type="http://schemas.openxmlformats.org/officeDocument/2006/relationships/hyperlink" Target="mailto:SI.Grid-FOA.SETO@ee.doe.gov"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file:///C:/Users/ckouch/AppData/Local/Microsoft/Windows/INetCache/Content.Outlook/4TEYU9I1/EERE-ExchangeSupport@hq.doe.gov" TargetMode="External"/><Relationship Id="rId1" Type="http://schemas.openxmlformats.org/officeDocument/2006/relationships/hyperlink" Target="mailto:SI.Grid-FOA.SETO@ee.doe.gov"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EERE-ExchangeSupport@hq.doe.gov" TargetMode="External"/><Relationship Id="rId1" Type="http://schemas.openxmlformats.org/officeDocument/2006/relationships/hyperlink" Target="mailto:SI.Grid-FOA.SETO@ee.doe.gov"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ferc.gov/sites/default/files/2020-05/rm95-8-00w.txt" TargetMode="External"/><Relationship Id="rId18" Type="http://schemas.openxmlformats.org/officeDocument/2006/relationships/hyperlink" Target="https://www.nerc.com/comm/Other/essntlrlbltysrvcstskfrcDL/ERSWG_Sufficiency_Guideline_Report.pdf" TargetMode="External"/><Relationship Id="rId26" Type="http://schemas.openxmlformats.org/officeDocument/2006/relationships/hyperlink" Target="http://www.eirgridgroup.com/how-the-grid-works/renewables/" TargetMode="External"/><Relationship Id="rId39" Type="http://schemas.openxmlformats.org/officeDocument/2006/relationships/hyperlink" Target="https://www.nerc.com/pa/rrm/ea/1200_MW_Fault_Induced_Solar_Photovoltaic_Resource_/1200_MW_Fault_Induced_Solar_Photovoltaic_Resource_Interruption_Final.pdf" TargetMode="External"/><Relationship Id="rId21" Type="http://schemas.openxmlformats.org/officeDocument/2006/relationships/hyperlink" Target="https://www.mdpi.com/2076-3417/10/20/7106" TargetMode="External"/><Relationship Id="rId34" Type="http://schemas.openxmlformats.org/officeDocument/2006/relationships/hyperlink" Target="http://www.caiso.com/Documents/2019AnnualReportonMarketIssuesandPerformance.pdf" TargetMode="External"/><Relationship Id="rId42" Type="http://schemas.openxmlformats.org/officeDocument/2006/relationships/hyperlink" Target="https://www.nerc.com/pa/rrm/ea/Documents/San_Fernando_Disturbance_Report.pdf" TargetMode="External"/><Relationship Id="rId47" Type="http://schemas.openxmlformats.org/officeDocument/2006/relationships/hyperlink" Target="https://resourcecenter.ieee-pes.org/publications/technical-reports/PES_TR_7-18_0068.html" TargetMode="External"/><Relationship Id="rId50" Type="http://schemas.openxmlformats.org/officeDocument/2006/relationships/hyperlink" Target="https://emp.lbl.gov/publications/frequency-control-requirements" TargetMode="External"/><Relationship Id="rId55" Type="http://schemas.openxmlformats.org/officeDocument/2006/relationships/hyperlink" Target="https://www.naspi.org/sites/default/files/2021-10/2021_oct_naspi_wg_keynote_rubesa.pdf" TargetMode="External"/><Relationship Id="rId7" Type="http://schemas.openxmlformats.org/officeDocument/2006/relationships/hyperlink" Target="https://ncses.nsf.gov/pubs/nsf19304/digest/about-this-report" TargetMode="External"/><Relationship Id="rId2" Type="http://schemas.openxmlformats.org/officeDocument/2006/relationships/hyperlink" Target="https://www.energy.gov/articles/doe-fact-sheet-bipartisan-infrastructure-deal-will-deliver-american-workers-families-and-0" TargetMode="External"/><Relationship Id="rId16" Type="http://schemas.openxmlformats.org/officeDocument/2006/relationships/hyperlink" Target="https://www.nrel.gov/docs/fy21osti/77521.pdf" TargetMode="External"/><Relationship Id="rId20" Type="http://schemas.openxmlformats.org/officeDocument/2006/relationships/hyperlink" Target="https://www.epri.com/research/products/000000003002022405" TargetMode="External"/><Relationship Id="rId29" Type="http://schemas.openxmlformats.org/officeDocument/2006/relationships/hyperlink" Target="https://www.spp.org/documents/62057/2019%20annual%20report%2020200428%20web.pdf" TargetMode="External"/><Relationship Id="rId41" Type="http://schemas.openxmlformats.org/officeDocument/2006/relationships/hyperlink" Target="https://standards.ieee.org/project/2800.html" TargetMode="External"/><Relationship Id="rId54" Type="http://schemas.openxmlformats.org/officeDocument/2006/relationships/hyperlink" Target="https://ieeexplore.ieee.org/document/9180079" TargetMode="External"/><Relationship Id="rId1" Type="http://schemas.openxmlformats.org/officeDocument/2006/relationships/hyperlink" Target="https://www.energy.gov/articles/doe-fact-sheet-bipartisan-infrastructure-deal-will-deliver-american-workers-families-and-0" TargetMode="External"/><Relationship Id="rId6" Type="http://schemas.openxmlformats.org/officeDocument/2006/relationships/hyperlink" Target="https://news.umich.edu/new-index-ranks-americas-100-most-disadvantaged-communities/" TargetMode="External"/><Relationship Id="rId11" Type="http://schemas.openxmlformats.org/officeDocument/2006/relationships/hyperlink" Target="https://nescoe.com/resource-center/ancillary-services-primer-sep2017/" TargetMode="External"/><Relationship Id="rId24" Type="http://schemas.openxmlformats.org/officeDocument/2006/relationships/hyperlink" Target="https://emp.lbl.gov/publications/solar-grid-trends-system-impacts" TargetMode="External"/><Relationship Id="rId32" Type="http://schemas.openxmlformats.org/officeDocument/2006/relationships/hyperlink" Target="https://www.nrel.gov/docs/fy17osti/67799.pdf" TargetMode="External"/><Relationship Id="rId37" Type="http://schemas.openxmlformats.org/officeDocument/2006/relationships/hyperlink" Target="https://www.washingtonpost.com/climate-environment/2020/07/30/biden-calls-100-percent-clean-electricity-by-2035-heres-how-far-we-have-go/" TargetMode="External"/><Relationship Id="rId40" Type="http://schemas.openxmlformats.org/officeDocument/2006/relationships/hyperlink" Target="https://standards.ieee.org/standard/1547-2018.html" TargetMode="External"/><Relationship Id="rId45" Type="http://schemas.openxmlformats.org/officeDocument/2006/relationships/hyperlink" Target="https://www.ofgem.gov.uk/sites/default/files/docs/2020/01/9_august_2019_power_outage_report.pdf" TargetMode="External"/><Relationship Id="rId53" Type="http://schemas.openxmlformats.org/officeDocument/2006/relationships/hyperlink" Target="https://ieeexplore.ieee.org/document/9640501" TargetMode="External"/><Relationship Id="rId58" Type="http://schemas.openxmlformats.org/officeDocument/2006/relationships/hyperlink" Target="https://www.energy.gov/diversity/community-benefit-agreement-cba-toolkit" TargetMode="External"/><Relationship Id="rId5" Type="http://schemas.openxmlformats.org/officeDocument/2006/relationships/hyperlink" Target="https://www.whitehouse.gov/wp-content/uploads/2021/07/M-21-28.pdf" TargetMode="External"/><Relationship Id="rId15" Type="http://schemas.openxmlformats.org/officeDocument/2006/relationships/hyperlink" Target="https://www.purdue.edu/discoverypark/energy/assets/pdfs/History.pdf" TargetMode="External"/><Relationship Id="rId23" Type="http://schemas.openxmlformats.org/officeDocument/2006/relationships/hyperlink" Target="https://www.nrel.gov/docs/fy11osti/51978.pdf" TargetMode="External"/><Relationship Id="rId28" Type="http://schemas.openxmlformats.org/officeDocument/2006/relationships/hyperlink" Target="https://www.spp.org/documents/62057/2019%20annual%20report%2020200428%20web.pdf" TargetMode="External"/><Relationship Id="rId36" Type="http://schemas.openxmlformats.org/officeDocument/2006/relationships/hyperlink" Target="https://www.nerc.com/comm/RSTC_Reliability_Guidelines/Reliability_Guideline_BESS_Hybrid_Performance_Modeling_Studies_.pdf" TargetMode="External"/><Relationship Id="rId49" Type="http://schemas.openxmlformats.org/officeDocument/2006/relationships/hyperlink" Target="https://ieeexplore.ieee.org/document/7935410" TargetMode="External"/><Relationship Id="rId57" Type="http://schemas.openxmlformats.org/officeDocument/2006/relationships/hyperlink" Target="https://www.energy.gov/gc/downloads/doe-cooperative-research-and-development-agreements" TargetMode="External"/><Relationship Id="rId61" Type="http://schemas.openxmlformats.org/officeDocument/2006/relationships/hyperlink" Target="https://www.energy.gov/sites/default/files/2021-12/Interim%20COI%20Policy%20FAL2022-02%20to%20SPEs.pdf" TargetMode="External"/><Relationship Id="rId10" Type="http://schemas.openxmlformats.org/officeDocument/2006/relationships/hyperlink" Target="https://www.whitehouse.gov/wp-content/uploads/2021/07/M-21-28.pdf" TargetMode="External"/><Relationship Id="rId19" Type="http://schemas.openxmlformats.org/officeDocument/2006/relationships/hyperlink" Target="https://gridarchitecture.pnnl.gov/media/advanced/GMLC_Grid_Services_Master_List.xlsx" TargetMode="External"/><Relationship Id="rId31" Type="http://schemas.openxmlformats.org/officeDocument/2006/relationships/hyperlink" Target="https://www.ferc.gov/sites/default/files/2020-06/Order-842.pdf" TargetMode="External"/><Relationship Id="rId44" Type="http://schemas.openxmlformats.org/officeDocument/2006/relationships/hyperlink" Target="https://www.aemc.gov.au/sites/default/files/documents/aemc_-_sa_black_system_review_-_final_report.pdf" TargetMode="External"/><Relationship Id="rId52" Type="http://schemas.openxmlformats.org/officeDocument/2006/relationships/hyperlink" Target="https://ieeexplore.ieee.org/document/8233582" TargetMode="External"/><Relationship Id="rId60" Type="http://schemas.openxmlformats.org/officeDocument/2006/relationships/hyperlink" Target="http://www.nsf.gov/awards/managing/rtc.jsp" TargetMode="External"/><Relationship Id="rId4" Type="http://schemas.openxmlformats.org/officeDocument/2006/relationships/hyperlink" Target="https://www.whitehouse.gov/wp-content/uploads/2021/07/M-21-28.pdf" TargetMode="External"/><Relationship Id="rId9" Type="http://schemas.openxmlformats.org/officeDocument/2006/relationships/hyperlink" Target="https://www2.ed.gov/about/offices/list/ocr/edlite-minorityinst.html" TargetMode="External"/><Relationship Id="rId14" Type="http://schemas.openxmlformats.org/officeDocument/2006/relationships/hyperlink" Target="https://www.rff.org/publications/explainers/us-electricity-markets-101/" TargetMode="External"/><Relationship Id="rId22" Type="http://schemas.openxmlformats.org/officeDocument/2006/relationships/hyperlink" Target="https://emp.lbl.gov/publications/variable-renewable-energy" TargetMode="External"/><Relationship Id="rId27" Type="http://schemas.openxmlformats.org/officeDocument/2006/relationships/hyperlink" Target="http://www.caiso.com/market/Pages/ReportsBulletins/RenewablesReporting.aspx" TargetMode="External"/><Relationship Id="rId30" Type="http://schemas.openxmlformats.org/officeDocument/2006/relationships/hyperlink" Target="https://www.ercot.com/gridmktinfo/dashboards/combinedwindandsolar" TargetMode="External"/><Relationship Id="rId35" Type="http://schemas.openxmlformats.org/officeDocument/2006/relationships/hyperlink" Target="https://www.energy.gov/eere/solar/solar-integration-inverters-and-grid-services-basics" TargetMode="External"/><Relationship Id="rId43" Type="http://schemas.openxmlformats.org/officeDocument/2006/relationships/hyperlink" Target="https://www.nerc.com/pa/rrm/ea/Documents/Odessa_Disturbance_Report.pdf" TargetMode="External"/><Relationship Id="rId48" Type="http://schemas.openxmlformats.org/officeDocument/2006/relationships/hyperlink" Target="https://www.epri.com/research/products/000000003002016197" TargetMode="External"/><Relationship Id="rId56" Type="http://schemas.openxmlformats.org/officeDocument/2006/relationships/hyperlink" Target="https://www.naspi.org/sites/default/files/reference_documents/naspi_2016_tr_007_power_system_protection_final.pdf" TargetMode="External"/><Relationship Id="rId8" Type="http://schemas.openxmlformats.org/officeDocument/2006/relationships/hyperlink" Target="https://www.energy.gov/articles/introducing-minorities-energy-initiative" TargetMode="External"/><Relationship Id="rId51" Type="http://schemas.openxmlformats.org/officeDocument/2006/relationships/hyperlink" Target="https://ieeexplore.ieee.org/document/9233925" TargetMode="External"/><Relationship Id="rId3" Type="http://schemas.openxmlformats.org/officeDocument/2006/relationships/hyperlink" Target="https://www.whitehouse.gov/wp-content/uploads/2021/07/M-21-28.pdf" TargetMode="External"/><Relationship Id="rId12" Type="http://schemas.openxmlformats.org/officeDocument/2006/relationships/hyperlink" Target="https://www.ferc.gov/sites/default/files/2020-05/rm95-8-00w.txt" TargetMode="External"/><Relationship Id="rId17" Type="http://schemas.openxmlformats.org/officeDocument/2006/relationships/hyperlink" Target="https://www.energy.gov/sites/default/files/2019/10/f68/EAC_Optimizing%20Reserves%20%28October%202019%29.pdf" TargetMode="External"/><Relationship Id="rId25" Type="http://schemas.openxmlformats.org/officeDocument/2006/relationships/hyperlink" Target="https://www.hawaiianelectric.com/documents/about_us/company_facts/power_facts.pdf" TargetMode="External"/><Relationship Id="rId33" Type="http://schemas.openxmlformats.org/officeDocument/2006/relationships/hyperlink" Target="https://www.caiso.com/Documents/WindPowerPlantTestResults.pdf" TargetMode="External"/><Relationship Id="rId38" Type="http://schemas.openxmlformats.org/officeDocument/2006/relationships/hyperlink" Target="https://news.energysage.com/states-with-100-renewable-targets/" TargetMode="External"/><Relationship Id="rId46" Type="http://schemas.openxmlformats.org/officeDocument/2006/relationships/hyperlink" Target="https://insideclimatenews.org/news/02022022/pjm-solar-backlog-eastern-power-grid/" TargetMode="External"/><Relationship Id="rId59" Type="http://schemas.openxmlformats.org/officeDocument/2006/relationships/hyperlink" Target="https://www.dol.gov/sites/dolgov/files/ofccp/Construction/files/ConstructionTAG.pdf?msclkid=9e397d68c4b111ec9d8e6fecb6c710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524AA080FF3444AAAA29CBC5956058" ma:contentTypeVersion="6" ma:contentTypeDescription="Create a new document." ma:contentTypeScope="" ma:versionID="4652b509c5cbe6df2a72d82d601b1b0f">
  <xsd:schema xmlns:xsd="http://www.w3.org/2001/XMLSchema" xmlns:xs="http://www.w3.org/2001/XMLSchema" xmlns:p="http://schemas.microsoft.com/office/2006/metadata/properties" xmlns:ns2="c6d9b406-8ab6-4e35-b189-c607f551e6ff" xmlns:ns3="42d58ce9-d395-40e1-be5e-8d52a29324a8" xmlns:ns4="8df1a368-12c3-4a9c-b33c-eedb2fa087d9" targetNamespace="http://schemas.microsoft.com/office/2006/metadata/properties" ma:root="true" ma:fieldsID="0689fac33fc51abc6cca6abfcdd609c0" ns2:_="" ns3:_="" ns4:_="">
    <xsd:import namespace="c6d9b406-8ab6-4e35-b189-c607f551e6ff"/>
    <xsd:import namespace="42d58ce9-d395-40e1-be5e-8d52a29324a8"/>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Bran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d58ce9-d395-40e1-be5e-8d52a29324a8" elementFormDefault="qualified">
    <xsd:import namespace="http://schemas.microsoft.com/office/2006/documentManagement/types"/>
    <xsd:import namespace="http://schemas.microsoft.com/office/infopath/2007/PartnerControls"/>
    <xsd:element name="Brand" ma:index="13" nillable="true" ma:displayName="Brand" ma:format="Dropdown" ma:internalName="Brand">
      <xsd:simpleType>
        <xsd:restriction base="dms:Choice">
          <xsd:enumeration value="Budget"/>
          <xsd:enumeration value="Communications"/>
          <xsd:enumeration value="Contacts"/>
          <xsd:enumeration value="Correspondence"/>
          <xsd:enumeration value="Draft"/>
          <xsd:enumeration value="Final"/>
          <xsd:enumeration value="FOA Development"/>
          <xsd:enumeration value="Invoices"/>
          <xsd:enumeration value="Memo"/>
          <xsd:enumeration value="Notes"/>
          <xsd:enumeration value="Poster"/>
          <xsd:enumeration value="Presentations"/>
          <xsd:enumeration value="Progress Report"/>
          <xsd:enumeration value="Proposal"/>
          <xsd:enumeration value="Quarterly Report"/>
          <xsd:enumeration value="Reference"/>
          <xsd:enumeration value="Report"/>
          <xsd:enumeration value="Resume"/>
          <xsd:enumeration value="Review"/>
        </xsd:restriction>
      </xsd:simple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bd8d32-57eb-4c25-a7af-abe0816fa3e8"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c6d9b406-8ab6-4e35-b189-c607f551e6ff"/>
    <Brand xmlns="42d58ce9-d395-40e1-be5e-8d52a29324a8" xsi:nil="true"/>
  </documentManagement>
</p: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0C255-B2D1-4706-BAA1-8BF850882EE7}">
  <ds:schemaRefs>
    <ds:schemaRef ds:uri="http://schemas.openxmlformats.org/officeDocument/2006/bibliography"/>
  </ds:schemaRefs>
</ds:datastoreItem>
</file>

<file path=customXml/itemProps2.xml><?xml version="1.0" encoding="utf-8"?>
<ds:datastoreItem xmlns:ds="http://schemas.openxmlformats.org/officeDocument/2006/customXml" ds:itemID="{C4A87EFC-C5BA-46E0-A56D-183A5B69C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42d58ce9-d395-40e1-be5e-8d52a29324a8"/>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D7633-2101-447C-9B74-31E7B88E84A2}">
  <ds:schemaRefs>
    <ds:schemaRef ds:uri="Microsoft.SharePoint.Taxonomy.ContentTypeSync"/>
  </ds:schemaRefs>
</ds:datastoreItem>
</file>

<file path=customXml/itemProps4.xml><?xml version="1.0" encoding="utf-8"?>
<ds:datastoreItem xmlns:ds="http://schemas.openxmlformats.org/officeDocument/2006/customXml" ds:itemID="{C1011FBC-EE3C-400A-8353-085F24942C93}">
  <ds:schemaRefs>
    <ds:schemaRef ds:uri="http://schemas.microsoft.com/office/2006/metadata/properties"/>
    <ds:schemaRef ds:uri="http://schemas.microsoft.com/office/infopath/2007/PartnerControls"/>
    <ds:schemaRef ds:uri="c6d9b406-8ab6-4e35-b189-c607f551e6ff"/>
    <ds:schemaRef ds:uri="42d58ce9-d395-40e1-be5e-8d52a29324a8"/>
  </ds:schemaRefs>
</ds:datastoreItem>
</file>

<file path=customXml/itemProps5.xml><?xml version="1.0" encoding="utf-8"?>
<ds:datastoreItem xmlns:ds="http://schemas.openxmlformats.org/officeDocument/2006/customXml" ds:itemID="{436ADF72-BC15-483A-B131-4CED36A85DBD}">
  <ds:schemaRefs>
    <ds:schemaRef ds:uri="http://schemas.microsoft.com/sharepoint/events"/>
  </ds:schemaRefs>
</ds:datastoreItem>
</file>

<file path=customXml/itemProps6.xml><?xml version="1.0" encoding="utf-8"?>
<ds:datastoreItem xmlns:ds="http://schemas.openxmlformats.org/officeDocument/2006/customXml" ds:itemID="{7A98F723-63A2-494A-B05D-B0FB7EBC9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46091</Words>
  <Characters>262725</Characters>
  <Application>Microsoft Office Word</Application>
  <DocSecurity>0</DocSecurity>
  <Lines>2189</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2022-12-12T18:24:00Z</dcterms:created>
  <dcterms:modified xsi:type="dcterms:W3CDTF">2022-12-12T21:09:00Z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0x01010080524AA080FF3444AAAA29CBC5956058</vt:lpwstr>
  </property>
</Properties>
</file>